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绥宁县城市管理和综合执法局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城管执法及公用事业管理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项目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资金自评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价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报告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一、基本情况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专项资金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或项目资金绩效目标情况。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hint="default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1、财政项目指标下达情况：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2021年财政安排城管经费300万元，用于开展城市管理以及公用事业管理，因工作任务量大，年初安排的经费严重不足，年中增加经费383.21万元。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2、项目绩效目标值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城市管理和公用事业管理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工作要求，积极开展好临聘人员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管理、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路灯及景观工程电费以及路灯维修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市容整治、户外广告管理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城区绿化、公园绿地养护及病虫害防治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以及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燃气安全管理。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（二）预算单位分解下达预算资金情况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项目资金下达后，全部用于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城市管理及公用事业管理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等。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二、绩效自评工作开展情况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8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认真开展前期工作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8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组织相关人员参加培训，熟悉相关政策规定，领会绩效评价文件精神，认真对待、切实开展绩效评价工作。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精心制定评价方案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根据《关于开展2021年度各预算单位专项资金和项目资金支出绩效自评价工作的通知》（绥财绩〔2022〕7号）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要求，充分考虑绩效评价工作的性质制定了绩效评价方案。同时，绩效评价方案对绩效评价的各个阶段及主要工作内容进行了明确，对绩效评价工作提出了总体要求，保证了绩效评价工作的顺利开展。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8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仿宋" w:hAnsi="仿宋" w:eastAsia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有序开展绩效评价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8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精心组织，有序推进。项目单位认真做好基础资料和相关数据的收集、整理工作，根据收集的数据资料，详细填报自评有关报表。项目单位将《项目基本情况表》、《项目绩效评分表》、《自评报告》报送绩效评价小组，评价小组依据项目实施单位收集的数据，参考自评报告和对自评情况的审核分析结果，对项目绩效进行分析评价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三、综合评价结论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按我单位制定的《项目自评分值表》进行考核，该项目绩效综合评价为良。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四、绩效目标实现情况分析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（一）项目资金情况分析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hint="default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该项目资金到位1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00%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，支出率1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00%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资金使用严格执行项目经费管理，所有支出均通过财政直接支付。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（二）项目绩效指标完成情况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1、产出指标完成情况分析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300" w:firstLineChars="100"/>
        <w:jc w:val="both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（1）项目完成数量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Calibri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①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市容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环境卫生“地毯式”大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整治</w:t>
      </w:r>
      <w:r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行动等活24次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整治店外经营136家，占道经营300余人次，下达责令限期整改通知书372份，行政处罚42起，处理投诉、举报186起，清理斜坡200余处，发送宣传信息2万条，出动宣传车160余次，劝导乱停乱摆车辆600余辆，暂扣20辆，处理违章车辆8辆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②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园林绿化管理。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全年共进行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城区绿地及花草树木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病虫害防治3次、施肥2次、修剪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6次</w:t>
      </w:r>
      <w:r>
        <w:rPr>
          <w:rFonts w:hint="eastAsia" w:ascii="仿宋_GB2312" w:hAnsi="仿宋_GB2312" w:eastAsia="仿宋_GB2312" w:cs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补栽行道树26棵，排险砍树13棵，建设树池树围1600个，安装绿化带护栏680米，树木涂白6000余株，花带冲洗32次，抗旱浇水45天，立体绿化6处，清理毁绿种菜面积2300平方米。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_GB2312" w:hAnsi="仿宋_GB2312" w:eastAsia="仿宋_GB2312" w:cs="仿宋_GB2312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③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开展燃气安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全检查100余次，入户检查2000余户，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排查整改隐患75处，查处非法经营行为5起、经营网点3家，查扣液化石油气钢瓶100余个；广泛开展燃气安全宣传教育，发放宣传资料10000余份，设置宣传展板、标语30余处，接受群众咨询 200余人次，推送安全用气短信1万余条，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开展突发事故应急演练2次。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0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④路灯管理。处理路灯故障325次，抢修210处，敷设电缆3250米，确保了日常亮灯率在95%以上，重大节日活动期间达到98%以上。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00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⑤协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w w:val="10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管员管理。聘请协管员29人，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从事宣传教育、巡查、信息收集、违法行为劝助等辅助性工作。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62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项目完成质量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通过开展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城市管理及公用事业管理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工作，实现城市精细化管理，建设美丽绥宁，全面提升城市的卫生质量。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62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项目实施进度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该项目该项目实施时间为全年。</w:t>
      </w:r>
    </w:p>
    <w:p>
      <w:pPr>
        <w:pStyle w:val="3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62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项目成本节约情况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该项目零星费用支出项目，无节约资金。</w:t>
      </w:r>
    </w:p>
    <w:p>
      <w:pPr>
        <w:pStyle w:val="3"/>
        <w:keepNext w:val="0"/>
        <w:keepLines w:val="0"/>
        <w:pageBreakBefore w:val="0"/>
        <w:numPr>
          <w:numId w:val="0"/>
        </w:numP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 w:firstLineChars="200"/>
        <w:textAlignment w:val="auto"/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效益指标完成情况分析</w:t>
      </w:r>
    </w:p>
    <w:p>
      <w:pPr>
        <w:keepNext w:val="0"/>
        <w:keepLines w:val="0"/>
        <w:pageBreakBefore w:val="0"/>
        <w:numPr>
          <w:numId w:val="0"/>
        </w:numPr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602" w:firstLineChars="20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①项目的经济效益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城市管理及公用事业管理，城市管理水平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明显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提升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，使得更多的人愿意来绥宁县投资兴业，从而带动本地的经济发展。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48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②项目的社会效益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持续深入的开展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城市管理及公用事业管理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，市容市貌、公共秩序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市政设施</w:t>
      </w:r>
      <w:r>
        <w:rPr>
          <w:rFonts w:hint="eastAsia" w:ascii="仿宋" w:hAnsi="仿宋" w:eastAsia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得到显著改观，基础设施不断完善，市民素质明显提高，市民满意度大幅提升。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③可持续影响</w:t>
      </w:r>
    </w:p>
    <w:p>
      <w:pPr>
        <w:pStyle w:val="8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firstLine="600"/>
        <w:textAlignment w:val="auto"/>
        <w:rPr>
          <w:rFonts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通过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开展城市管理与公用事业管理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城市水平不断提升，创造了宜居乐业的生产生活环境，</w:t>
      </w:r>
      <w:r>
        <w:rPr>
          <w:rFonts w:hint="eastAsia" w:ascii="仿宋" w:hAnsi="仿宋" w:eastAsia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有利于社会可持续发展。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五、存在的主要问题及产生的原因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00" w:firstLineChars="200"/>
        <w:textAlignment w:val="auto"/>
        <w:rPr>
          <w:rStyle w:val="6"/>
          <w:rFonts w:hint="default" w:ascii="仿宋" w:hAnsi="仿宋" w:eastAsia="仿宋" w:cs="Times New Roman"/>
          <w:color w:val="000000" w:themeColor="text1"/>
          <w:kern w:val="2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 w:bidi="ar-SA"/>
          <w14:textFill>
            <w14:solidFill>
              <w14:schemeClr w14:val="tx1"/>
            </w14:solidFill>
          </w14:textFill>
        </w:rPr>
        <w:t>年初预算不足，后期追加经费较多，导致预决算差异较大。会计核功能分类经济科目分类比较混乱，导致项目核算难度高。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560" w:lineRule="exact"/>
        <w:ind w:firstLine="585"/>
        <w:textAlignment w:val="auto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六、下一步改进措施及建议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300" w:firstLineChars="100"/>
        <w:jc w:val="left"/>
        <w:textAlignment w:val="auto"/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Calibri" w:hAnsi="Calibri" w:eastAsia="仿宋" w:cs="Calibri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  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）完善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城市管理及公用事业管理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长效机制，坚持不懈的抓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管理</w:t>
      </w:r>
      <w:r>
        <w:rPr>
          <w:rFonts w:hint="eastAsia" w:ascii="仿宋" w:hAnsi="仿宋" w:eastAsia="仿宋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，努力把已经形成的好思路、好制度、好措施坚持下去，把好的做法和经验进行推广。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600" w:firstLineChars="200"/>
        <w:jc w:val="left"/>
        <w:textAlignment w:val="auto"/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eastAsia="仿宋_GB2312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仿宋_GB2312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增强专项资金专款专用意识，规范会计核算，提高会计信息质量。加大专项资金跟踪监管力度，确保专项资金使用的合规性。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480"/>
        <w:jc w:val="right"/>
        <w:textAlignment w:val="auto"/>
        <w:rPr>
          <w:rFonts w:ascii="仿宋" w:hAnsi="仿宋" w:eastAsia="仿宋" w:cs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480"/>
        <w:jc w:val="right"/>
        <w:textAlignment w:val="auto"/>
        <w:rPr>
          <w:rFonts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绥宁县城市管理和综合执法局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480"/>
        <w:jc w:val="right"/>
        <w:textAlignment w:val="auto"/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02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480"/>
        <w:jc w:val="right"/>
        <w:textAlignment w:val="auto"/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480"/>
        <w:jc w:val="right"/>
        <w:textAlignment w:val="auto"/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方正小标宋_GBK" w:hAnsi="宋体" w:eastAsia="方正小标宋_GBK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宋体" w:eastAsia="方正小标宋_GBK" w:cs="宋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项目支出绩效评价共性指标体系框架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ascii="方正小标宋_GBK" w:eastAsia="方正小标宋_GBK"/>
          <w:color w:val="000000" w:themeColor="text1"/>
          <w:spacing w:val="-6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708"/>
        <w:gridCol w:w="340"/>
        <w:gridCol w:w="653"/>
        <w:gridCol w:w="708"/>
        <w:gridCol w:w="709"/>
        <w:gridCol w:w="2123"/>
        <w:gridCol w:w="2402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一级指标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二级指标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指标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分值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具体指标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评价标准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420" w:hanging="420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420" w:hanging="420"/>
              <w:jc w:val="center"/>
              <w:textAlignment w:val="auto"/>
              <w:rPr>
                <w:rFonts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策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设立了项目绩效目标；目标明确；目标细化；目标量化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设有目标（1分）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目标明确（1分）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目标细化（1分）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目标量化（1分）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依据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符合法律法规（1分）符合经济社会发展规划（1分）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部门年度工作计划（1分）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针对某一实际问题和需求（1分）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程序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项目符合申报条件；申报、批复程序符合相关管理办法；项目调整履行了相应手续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符合申报条件（2分）项目申报、批复程序符合管理办法（1分）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项目调整履行了相应手续（1分）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办法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有相应的资金管理办法（1分）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办法健全、规范（1分）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因素全面合理（1分）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资金分配符合相关管理办法；分配结果公平合理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符合分配办法（2分）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分配公平合理（3分）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理 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到位率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实际到位/计划到位*100%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根据项目资金的实际到位率计算得分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到位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资金及时到位；若未及时到位，是否影响项目进度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到位及时（2分）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不及时但未影响项目进度 （1分）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不及时并影响项目进度（0.5分）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理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使用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虚列套取扣4-7分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依据不合规扣2分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截留、挤占、挪用    扣3-6分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超标准开支扣2-5分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超预算扣2-5分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资金管理、费用支出等制度健全；制度执行严格；会计核算规范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财务制度健全（1分）严格执行制度（1分）会计核算规范（1分）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施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机构健全、分工明确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00" w:hanging="200" w:hangingChars="100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机构健全、分工明确  （1分）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ind w:left="200" w:hanging="200" w:hangingChars="100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实施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项目按计划开工；按计划进度开展；按计划完工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按计划开工（1分）   按计划开展（1分）   按计划完工（1分）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项目管理制度健全；严格执行相关管理制度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管理制度健全（2分）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制度执行严格（4分）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出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根据该项目实际，标识具体明确的产出数量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对照绩效目标，按实际产出数量率计算得分（7分）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质量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根据该项目实际，标识具体明确的产出质量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对照绩效目标，按实际产出质量率计算得分（6分）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时效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根据该项目实际，标识具体明确的产出时效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对照绩效目标，按实际产出时效率计算得分（6分）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产出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成本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根据该项目实际，标识具体明确的产出成本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对照绩效目标，按实际产出成本率计算得分（6分）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目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</w:tc>
        <w:tc>
          <w:tcPr>
            <w:tcW w:w="6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根据项目实际，标识所产生的直接或间接的经济效益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对照绩效目标，按经济效益实现程度计算得分（6分）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根据项目实际，标识所产生的社会效益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对照绩效目标，按社会效益实现程度计算得分（6分）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环境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效益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根据项目实际，标识对环境所产生的积极或消极影响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对照绩效目标，按对环境所产生的实际影响程度计算得分（6分）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可持续影响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项目产出能持续运用；项目运行所依赖的政策制度能持续执行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项目产出能持续运用（3分）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所依赖的政策制度能持续执行（3分）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5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满意度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项目预期服务对象对项目实施的满意程度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left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按收集到的项目服务对象的满意率计算得分（6分）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总分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3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7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21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2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7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黑体" w:eastAsia="黑体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snapToGrid/>
        <w:spacing w:line="560" w:lineRule="exact"/>
        <w:ind w:firstLine="480"/>
        <w:jc w:val="right"/>
        <w:textAlignment w:val="auto"/>
        <w:rPr>
          <w:rFonts w:hint="eastAsia" w:ascii="仿宋" w:hAnsi="仿宋" w:eastAsia="仿宋" w:cs="仿宋_GB2312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16C863"/>
    <w:multiLevelType w:val="singleLevel"/>
    <w:tmpl w:val="2716C863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kMzNjMjc1OTg0MGNlMmU2NTQ1YzNiOTlmMDU0ZDMifQ=="/>
  </w:docVars>
  <w:rsids>
    <w:rsidRoot w:val="001D6734"/>
    <w:rsid w:val="000059CA"/>
    <w:rsid w:val="000155D6"/>
    <w:rsid w:val="00023FC2"/>
    <w:rsid w:val="00070CAA"/>
    <w:rsid w:val="00150D1B"/>
    <w:rsid w:val="0016289F"/>
    <w:rsid w:val="00165673"/>
    <w:rsid w:val="001D6734"/>
    <w:rsid w:val="003806E8"/>
    <w:rsid w:val="003C0587"/>
    <w:rsid w:val="005250EC"/>
    <w:rsid w:val="00557583"/>
    <w:rsid w:val="006F3138"/>
    <w:rsid w:val="00760620"/>
    <w:rsid w:val="008A385E"/>
    <w:rsid w:val="008E1168"/>
    <w:rsid w:val="008E5B13"/>
    <w:rsid w:val="008F1CD2"/>
    <w:rsid w:val="00953816"/>
    <w:rsid w:val="00971CFA"/>
    <w:rsid w:val="009B0AAA"/>
    <w:rsid w:val="00A37753"/>
    <w:rsid w:val="00B04318"/>
    <w:rsid w:val="00B42886"/>
    <w:rsid w:val="00B46462"/>
    <w:rsid w:val="00B46D81"/>
    <w:rsid w:val="00B77D5E"/>
    <w:rsid w:val="00B9495F"/>
    <w:rsid w:val="00BA716C"/>
    <w:rsid w:val="00BD136A"/>
    <w:rsid w:val="00C058A0"/>
    <w:rsid w:val="00D91297"/>
    <w:rsid w:val="00E73A43"/>
    <w:rsid w:val="00EA0999"/>
    <w:rsid w:val="00EB123C"/>
    <w:rsid w:val="00EC3E9B"/>
    <w:rsid w:val="00ED6769"/>
    <w:rsid w:val="00F10C27"/>
    <w:rsid w:val="00F67188"/>
    <w:rsid w:val="00FD1B60"/>
    <w:rsid w:val="00FE4B25"/>
    <w:rsid w:val="104E7EF5"/>
    <w:rsid w:val="12BC5F85"/>
    <w:rsid w:val="1FED6CAC"/>
    <w:rsid w:val="44D26556"/>
    <w:rsid w:val="6689258E"/>
    <w:rsid w:val="71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hAnsi="微软雅黑" w:eastAsia="宋体" w:cs="微软雅黑"/>
      <w:color w:val="000000"/>
      <w:kern w:val="0"/>
      <w:sz w:val="24"/>
      <w:szCs w:val="24"/>
      <w:lang w:val="en-US" w:eastAsia="zh-CN" w:bidi="ar-SA"/>
    </w:rPr>
  </w:style>
  <w:style w:type="paragraph" w:customStyle="1" w:styleId="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3123</Words>
  <Characters>3239</Characters>
  <Lines>15</Lines>
  <Paragraphs>4</Paragraphs>
  <TotalTime>247</TotalTime>
  <ScaleCrop>false</ScaleCrop>
  <LinksUpToDate>false</LinksUpToDate>
  <CharactersWithSpaces>3273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2021-04-28T03:47:00Z</dcterms:created>
  <dc:creator>Administrator</dc:creator>
  <cp:lastModifiedBy>Administrator</cp:lastModifiedBy>
  <cp:lastPrinted>2021-05-25T08:22:00Z</cp:lastPrinted>
  <dcterms:modified xsi:type="dcterms:W3CDTF">2022-08-31T08:10:47Z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18ECC06F0065451BB297FF24623280AF</vt:lpwstr>
  </property>
</Properties>
</file>