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C71E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880" w:firstLineChars="200"/>
        <w:jc w:val="center"/>
        <w:rPr>
          <w:rFonts w:hint="eastAsia" w:ascii="黑体" w:hAnsi="黑体" w:eastAsia="黑体" w:cs="黑体"/>
          <w:i w:val="0"/>
          <w:iCs w:val="0"/>
          <w:caps w:val="0"/>
          <w:color w:val="000000"/>
          <w:spacing w:val="0"/>
          <w:sz w:val="44"/>
          <w:szCs w:val="44"/>
          <w:shd w:val="clear" w:fill="FFFFFF"/>
        </w:rPr>
      </w:pPr>
      <w:r>
        <w:rPr>
          <w:rFonts w:hint="eastAsia" w:ascii="黑体" w:hAnsi="黑体" w:eastAsia="黑体" w:cs="黑体"/>
          <w:i w:val="0"/>
          <w:iCs w:val="0"/>
          <w:caps w:val="0"/>
          <w:color w:val="000000"/>
          <w:spacing w:val="0"/>
          <w:sz w:val="44"/>
          <w:szCs w:val="44"/>
          <w:shd w:val="clear" w:fill="FFFFFF"/>
          <w:lang w:val="en-US" w:eastAsia="zh-CN"/>
        </w:rPr>
        <w:t>2024年度</w:t>
      </w:r>
      <w:r>
        <w:rPr>
          <w:rFonts w:hint="eastAsia" w:ascii="黑体" w:hAnsi="黑体" w:eastAsia="黑体" w:cs="黑体"/>
          <w:i w:val="0"/>
          <w:iCs w:val="0"/>
          <w:caps w:val="0"/>
          <w:color w:val="000000"/>
          <w:spacing w:val="0"/>
          <w:sz w:val="44"/>
          <w:szCs w:val="44"/>
          <w:shd w:val="clear" w:fill="FFFFFF"/>
        </w:rPr>
        <w:t>部门整体支出绩效自评报告</w:t>
      </w:r>
    </w:p>
    <w:p w14:paraId="72B76F8C">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center"/>
        <w:rPr>
          <w:rFonts w:hint="eastAsia" w:ascii="楷体" w:hAnsi="楷体" w:eastAsia="楷体" w:cs="楷体"/>
          <w:i w:val="0"/>
          <w:iCs w:val="0"/>
          <w:caps w:val="0"/>
          <w:color w:val="000000"/>
          <w:spacing w:val="0"/>
          <w:sz w:val="32"/>
          <w:szCs w:val="32"/>
          <w:shd w:val="clear" w:fill="FFFFFF"/>
          <w:lang w:eastAsia="zh-CN"/>
        </w:rPr>
      </w:pPr>
      <w:r>
        <w:rPr>
          <w:rFonts w:hint="eastAsia" w:ascii="楷体" w:hAnsi="楷体" w:eastAsia="楷体" w:cs="楷体"/>
          <w:i w:val="0"/>
          <w:iCs w:val="0"/>
          <w:caps w:val="0"/>
          <w:color w:val="000000"/>
          <w:spacing w:val="0"/>
          <w:sz w:val="32"/>
          <w:szCs w:val="32"/>
          <w:shd w:val="clear" w:fill="FFFFFF"/>
          <w:lang w:eastAsia="zh-CN"/>
        </w:rPr>
        <w:t>（</w:t>
      </w:r>
      <w:r>
        <w:rPr>
          <w:rFonts w:hint="eastAsia" w:ascii="楷体" w:hAnsi="楷体" w:eastAsia="楷体" w:cs="楷体"/>
          <w:i w:val="0"/>
          <w:iCs w:val="0"/>
          <w:caps w:val="0"/>
          <w:color w:val="000000"/>
          <w:spacing w:val="0"/>
          <w:sz w:val="32"/>
          <w:szCs w:val="32"/>
          <w:shd w:val="clear" w:fill="FFFFFF"/>
          <w:lang w:val="en-US" w:eastAsia="zh-CN"/>
        </w:rPr>
        <w:t>绥宁县</w:t>
      </w:r>
      <w:r>
        <w:rPr>
          <w:rFonts w:hint="eastAsia" w:ascii="楷体" w:hAnsi="楷体" w:eastAsia="楷体" w:cs="楷体"/>
          <w:color w:val="000000"/>
          <w:kern w:val="0"/>
          <w:sz w:val="32"/>
          <w:szCs w:val="32"/>
          <w:lang w:val="en-US" w:eastAsia="zh-CN" w:bidi="ar"/>
        </w:rPr>
        <w:t>长铺镇人民政府</w:t>
      </w:r>
      <w:r>
        <w:rPr>
          <w:rFonts w:hint="eastAsia" w:ascii="楷体" w:hAnsi="楷体" w:eastAsia="楷体" w:cs="楷体"/>
          <w:i w:val="0"/>
          <w:iCs w:val="0"/>
          <w:caps w:val="0"/>
          <w:color w:val="000000"/>
          <w:spacing w:val="0"/>
          <w:sz w:val="32"/>
          <w:szCs w:val="32"/>
          <w:shd w:val="clear" w:fill="FFFFFF"/>
          <w:lang w:eastAsia="zh-CN"/>
        </w:rPr>
        <w:t>）</w:t>
      </w:r>
    </w:p>
    <w:p w14:paraId="3B57DE3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center"/>
        <w:rPr>
          <w:rFonts w:hint="default" w:ascii="黑体" w:hAnsi="黑体" w:eastAsia="黑体" w:cs="黑体"/>
          <w:i w:val="0"/>
          <w:iCs w:val="0"/>
          <w:caps w:val="0"/>
          <w:color w:val="000000"/>
          <w:spacing w:val="0"/>
          <w:sz w:val="44"/>
          <w:szCs w:val="44"/>
          <w:shd w:val="clear" w:fill="FFFFFF"/>
          <w:lang w:val="en-US" w:eastAsia="zh-CN"/>
        </w:rPr>
      </w:pPr>
      <w:r>
        <w:rPr>
          <w:rFonts w:hint="eastAsia" w:ascii="楷体" w:hAnsi="楷体" w:eastAsia="楷体" w:cs="楷体"/>
          <w:i w:val="0"/>
          <w:iCs w:val="0"/>
          <w:caps w:val="0"/>
          <w:color w:val="000000"/>
          <w:spacing w:val="0"/>
          <w:sz w:val="32"/>
          <w:szCs w:val="32"/>
          <w:shd w:val="clear" w:fill="FFFFFF"/>
          <w:lang w:val="en-US" w:eastAsia="zh-CN"/>
        </w:rPr>
        <w:t>2024年</w:t>
      </w:r>
      <w:r>
        <w:rPr>
          <w:rFonts w:hint="eastAsia" w:ascii="楷体" w:hAnsi="楷体" w:eastAsia="楷体" w:cs="楷体"/>
          <w:color w:val="000000"/>
          <w:kern w:val="0"/>
          <w:sz w:val="32"/>
          <w:szCs w:val="32"/>
          <w:lang w:val="en-US" w:eastAsia="zh-CN" w:bidi="ar"/>
        </w:rPr>
        <w:t>12月31日</w:t>
      </w:r>
    </w:p>
    <w:p w14:paraId="433DB243">
      <w:pPr>
        <w:keepNext w:val="0"/>
        <w:keepLines w:val="0"/>
        <w:widowControl/>
        <w:suppressLineNumbers w:val="0"/>
        <w:ind w:firstLine="640" w:firstLineChars="200"/>
        <w:jc w:val="both"/>
        <w:rPr>
          <w:rFonts w:hint="eastAsia" w:ascii="仿宋" w:hAnsi="仿宋" w:eastAsia="仿宋" w:cs="仿宋"/>
          <w:i w:val="0"/>
          <w:iCs w:val="0"/>
          <w:caps w:val="0"/>
          <w:color w:val="000000"/>
          <w:spacing w:val="0"/>
          <w:sz w:val="32"/>
          <w:szCs w:val="32"/>
        </w:rPr>
      </w:pPr>
      <w:r>
        <w:rPr>
          <w:rFonts w:hint="eastAsia" w:ascii="仿宋" w:hAnsi="仿宋" w:eastAsia="仿宋" w:cs="仿宋"/>
          <w:color w:val="000000"/>
          <w:kern w:val="0"/>
          <w:sz w:val="32"/>
          <w:szCs w:val="32"/>
          <w:lang w:val="en-US" w:eastAsia="zh-CN" w:bidi="ar"/>
        </w:rPr>
        <w:t>为进一步规范和加强预算资金管理，提高财政资金使用绩效，根据县财政局《关于开展2024年度财政支出绩效自评工作的通知》（绥财绩〔2025〕1号）相关要求，我部门对部门整体支出情况实施了绩效自评，现将自评情况报告如下：</w:t>
      </w:r>
    </w:p>
    <w:p w14:paraId="2CFD12D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640" w:firstLineChars="200"/>
        <w:rPr>
          <w:rFonts w:hint="eastAsia" w:ascii="黑体" w:hAnsi="黑体" w:eastAsia="黑体" w:cs="黑体"/>
          <w:i w:val="0"/>
          <w:iCs w:val="0"/>
          <w:caps w:val="0"/>
          <w:color w:val="000000"/>
          <w:spacing w:val="0"/>
          <w:sz w:val="32"/>
          <w:szCs w:val="32"/>
        </w:rPr>
      </w:pPr>
      <w:r>
        <w:rPr>
          <w:rFonts w:hint="eastAsia" w:ascii="黑体" w:hAnsi="黑体" w:eastAsia="黑体" w:cs="黑体"/>
          <w:i w:val="0"/>
          <w:iCs w:val="0"/>
          <w:caps w:val="0"/>
          <w:color w:val="000000"/>
          <w:spacing w:val="0"/>
          <w:sz w:val="32"/>
          <w:szCs w:val="32"/>
          <w:shd w:val="clear" w:fill="FFFFFF"/>
        </w:rPr>
        <w:t>一、部门基本情况</w:t>
      </w:r>
    </w:p>
    <w:p w14:paraId="517A779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643" w:firstLineChars="20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部门职能职责</w:t>
      </w:r>
    </w:p>
    <w:p w14:paraId="7022F32B">
      <w:pPr>
        <w:ind w:firstLine="640" w:firstLineChars="200"/>
        <w:rPr>
          <w:rFonts w:ascii="仿宋" w:hAnsi="仿宋" w:eastAsia="仿宋" w:cs="仿宋"/>
          <w:color w:val="000000"/>
          <w:sz w:val="32"/>
          <w:szCs w:val="32"/>
          <w:shd w:val="clear" w:color="auto" w:fill="FFFFFF"/>
        </w:rPr>
      </w:pPr>
      <w:r>
        <w:rPr>
          <w:rFonts w:hint="eastAsia" w:ascii="仿宋" w:hAnsi="仿宋" w:eastAsia="仿宋" w:cs="仿宋"/>
          <w:color w:val="000000"/>
          <w:sz w:val="32"/>
          <w:szCs w:val="32"/>
          <w:shd w:val="clear" w:color="auto" w:fill="FFFFFF"/>
        </w:rPr>
        <w:t>1.</w:t>
      </w:r>
      <w:r>
        <w:rPr>
          <w:rFonts w:hint="eastAsia" w:ascii="仿宋" w:eastAsia="仿宋"/>
          <w:sz w:val="32"/>
          <w:szCs w:val="32"/>
        </w:rPr>
        <w:t>执行上级国家行政机关的决定、命令和国家制定的法令、法规，接受同级党委的领导，执行本级人民代表大会的各项决议，并报告执行决议、决定和命令的情况。</w:t>
      </w:r>
    </w:p>
    <w:p w14:paraId="66E979BB">
      <w:pPr>
        <w:pStyle w:val="5"/>
        <w:widowControl/>
        <w:shd w:val="clear" w:color="auto" w:fill="FFFFFF"/>
        <w:spacing w:beforeAutospacing="0" w:afterAutospacing="0" w:line="480" w:lineRule="atLeast"/>
        <w:ind w:left="640" w:firstLine="640" w:firstLineChars="200"/>
        <w:rPr>
          <w:rFonts w:hint="eastAsia" w:ascii="仿宋_GB2312" w:hAnsi="仿宋_GB2312" w:eastAsia="仿宋_GB2312" w:cs="仿宋_GB2312"/>
          <w:color w:val="000000"/>
          <w:sz w:val="31"/>
          <w:szCs w:val="31"/>
        </w:rPr>
      </w:pPr>
      <w:r>
        <w:rPr>
          <w:rFonts w:hint="eastAsia" w:ascii="仿宋" w:hAnsi="仿宋" w:eastAsia="仿宋" w:cs="仿宋"/>
          <w:color w:val="000000"/>
          <w:sz w:val="32"/>
          <w:szCs w:val="32"/>
          <w:shd w:val="clear" w:color="auto" w:fill="FFFFFF"/>
        </w:rPr>
        <w:t>2.</w:t>
      </w:r>
      <w:r>
        <w:rPr>
          <w:rFonts w:hint="eastAsia" w:ascii="仿宋" w:eastAsia="仿宋"/>
          <w:sz w:val="32"/>
          <w:szCs w:val="32"/>
        </w:rPr>
        <w:t>制定并落实本行政区域的经济计划和措施，促进产业结构调整及其他经济保持平衡协调发展，全面提高人民群众的生活水平和生活质量</w:t>
      </w:r>
      <w:r>
        <w:rPr>
          <w:rFonts w:hint="eastAsia" w:ascii="仿宋_GB2312" w:hAnsi="仿宋_GB2312" w:eastAsia="仿宋_GB2312" w:cs="仿宋_GB2312"/>
          <w:color w:val="000000"/>
          <w:sz w:val="31"/>
          <w:szCs w:val="31"/>
        </w:rPr>
        <w:t>。</w:t>
      </w:r>
    </w:p>
    <w:p w14:paraId="57D26239">
      <w:pPr>
        <w:ind w:firstLine="620" w:firstLineChars="200"/>
        <w:rPr>
          <w:rFonts w:hint="eastAsia" w:ascii="仿宋" w:eastAsia="仿宋"/>
          <w:sz w:val="32"/>
          <w:szCs w:val="32"/>
        </w:rPr>
      </w:pPr>
      <w:r>
        <w:rPr>
          <w:rFonts w:hint="eastAsia" w:ascii="仿宋_GB2312" w:hAnsi="仿宋_GB2312" w:eastAsia="仿宋_GB2312" w:cs="仿宋_GB2312"/>
          <w:color w:val="000000"/>
          <w:sz w:val="31"/>
          <w:szCs w:val="31"/>
          <w:lang w:val="en-US" w:eastAsia="zh-CN"/>
        </w:rPr>
        <w:t>3.</w:t>
      </w:r>
      <w:r>
        <w:rPr>
          <w:rFonts w:hint="eastAsia" w:ascii="仿宋" w:eastAsia="仿宋"/>
          <w:sz w:val="32"/>
          <w:szCs w:val="32"/>
        </w:rPr>
        <w:t>承担国有资产、集体资产管理、监督及增值保值责任;保护公民私人所有合法财产，保障集体经济组织应有的自主权;监督企业和各种经济联合体、个体户认真执行国家的法律、法令和政策，履行经济合同。</w:t>
      </w:r>
    </w:p>
    <w:p w14:paraId="39405E67">
      <w:pPr>
        <w:ind w:firstLine="640" w:firstLineChars="200"/>
        <w:rPr>
          <w:rFonts w:hint="eastAsia" w:ascii="仿宋" w:eastAsia="仿宋"/>
          <w:sz w:val="32"/>
          <w:szCs w:val="32"/>
        </w:rPr>
      </w:pPr>
      <w:r>
        <w:rPr>
          <w:rFonts w:hint="eastAsia" w:ascii="仿宋" w:eastAsia="仿宋"/>
          <w:sz w:val="32"/>
          <w:szCs w:val="32"/>
          <w:lang w:val="en-US" w:eastAsia="zh-CN"/>
        </w:rPr>
        <w:t>4.</w:t>
      </w:r>
      <w:r>
        <w:rPr>
          <w:rFonts w:hint="eastAsia" w:ascii="仿宋" w:eastAsia="仿宋"/>
          <w:sz w:val="32"/>
          <w:szCs w:val="32"/>
        </w:rPr>
        <w:t>开展社会主义民-主和法制的宣传教育，保障公民的权利;制定社会治安综合治理工作规划并组织实施;加强社区管理工作，依法管理外来流动人口，处理人民来信来访，调解民间纠纷，打击违法犯罪，维护社会稳定。</w:t>
      </w:r>
    </w:p>
    <w:p w14:paraId="6EABA739">
      <w:pPr>
        <w:pStyle w:val="6"/>
        <w:ind w:left="0" w:leftChars="0" w:firstLine="640" w:firstLineChars="200"/>
        <w:rPr>
          <w:rFonts w:hint="eastAsia" w:ascii="仿宋" w:eastAsia="仿宋"/>
          <w:sz w:val="32"/>
          <w:szCs w:val="32"/>
        </w:rPr>
      </w:pPr>
      <w:r>
        <w:rPr>
          <w:rFonts w:hint="eastAsia" w:ascii="仿宋" w:eastAsia="仿宋"/>
          <w:sz w:val="32"/>
          <w:szCs w:val="32"/>
          <w:lang w:val="en-US" w:eastAsia="zh-CN"/>
        </w:rPr>
        <w:t>5.</w:t>
      </w:r>
      <w:r>
        <w:rPr>
          <w:rFonts w:hint="eastAsia" w:ascii="仿宋" w:eastAsia="仿宋"/>
          <w:sz w:val="32"/>
          <w:szCs w:val="32"/>
        </w:rPr>
        <w:t>制定社会各项事业发展计划，发展教育、卫生、科技、民政、广播电视、文化、体育事业;组织实施义务教育和其他各类教育;加强计划生育工作;推进社会保障、社会福利事业和养老保险工作;做好劳动管理、科普、老龄及宗教、侨务等工作。</w:t>
      </w:r>
    </w:p>
    <w:p w14:paraId="14BCE69E">
      <w:pPr>
        <w:ind w:firstLine="640" w:firstLineChars="200"/>
        <w:rPr>
          <w:rFonts w:hint="eastAsia" w:ascii="仿宋" w:eastAsia="仿宋"/>
          <w:sz w:val="32"/>
          <w:szCs w:val="32"/>
        </w:rPr>
      </w:pPr>
      <w:r>
        <w:rPr>
          <w:rFonts w:hint="eastAsia" w:ascii="仿宋" w:eastAsia="仿宋"/>
          <w:sz w:val="32"/>
          <w:szCs w:val="32"/>
          <w:lang w:val="en-US" w:eastAsia="zh-CN"/>
        </w:rPr>
        <w:t>6.</w:t>
      </w:r>
      <w:r>
        <w:rPr>
          <w:rFonts w:hint="eastAsia" w:ascii="仿宋" w:eastAsia="仿宋"/>
          <w:sz w:val="32"/>
          <w:szCs w:val="32"/>
        </w:rPr>
        <w:t>加强镇级财政的监督和管理，按计划组织、管理镇财政收入和支出，执行国家有关财经纪律和政策，保证国家财政收入的完成;做好统计工作。</w:t>
      </w:r>
    </w:p>
    <w:p w14:paraId="4282FE4E">
      <w:pPr>
        <w:ind w:firstLine="640" w:firstLineChars="200"/>
        <w:rPr>
          <w:rFonts w:hint="eastAsia" w:ascii="仿宋" w:eastAsia="仿宋"/>
          <w:sz w:val="32"/>
          <w:szCs w:val="32"/>
        </w:rPr>
      </w:pPr>
      <w:r>
        <w:rPr>
          <w:rFonts w:hint="eastAsia" w:ascii="仿宋" w:eastAsia="仿宋"/>
          <w:sz w:val="32"/>
          <w:szCs w:val="32"/>
          <w:lang w:val="en-US" w:eastAsia="zh-CN"/>
        </w:rPr>
        <w:t>7.</w:t>
      </w:r>
      <w:r>
        <w:rPr>
          <w:rFonts w:hint="eastAsia" w:ascii="仿宋" w:eastAsia="仿宋"/>
          <w:sz w:val="32"/>
          <w:szCs w:val="32"/>
        </w:rPr>
        <w:t>指导、支持、帮助村(居)民委员会的组织制度建设和业务建设，促进村(居)民委员会民-主自治。</w:t>
      </w:r>
    </w:p>
    <w:p w14:paraId="7BE15B0B">
      <w:pPr>
        <w:ind w:firstLine="640" w:firstLineChars="200"/>
        <w:rPr>
          <w:rFonts w:hint="eastAsia" w:ascii="仿宋" w:eastAsia="仿宋"/>
          <w:sz w:val="32"/>
          <w:szCs w:val="32"/>
        </w:rPr>
      </w:pPr>
      <w:r>
        <w:rPr>
          <w:rFonts w:hint="eastAsia" w:ascii="仿宋" w:eastAsia="仿宋"/>
          <w:sz w:val="32"/>
          <w:szCs w:val="32"/>
          <w:lang w:val="en-US" w:eastAsia="zh-CN"/>
        </w:rPr>
        <w:t>8.</w:t>
      </w:r>
      <w:r>
        <w:rPr>
          <w:rFonts w:hint="eastAsia" w:ascii="仿宋" w:eastAsia="仿宋"/>
          <w:sz w:val="32"/>
          <w:szCs w:val="32"/>
        </w:rPr>
        <w:t>制定和组织实施镇村建设规划;加强公用、市政设施、水利建设和管理以及房屋土地管理和环境综合整治工作，保护和改善生活环境和生态环境。</w:t>
      </w:r>
    </w:p>
    <w:p w14:paraId="4E6D518A">
      <w:pPr>
        <w:ind w:firstLine="640" w:firstLineChars="200"/>
        <w:rPr>
          <w:rFonts w:hint="eastAsia" w:ascii="仿宋" w:eastAsia="仿宋"/>
          <w:sz w:val="32"/>
          <w:szCs w:val="32"/>
        </w:rPr>
      </w:pPr>
      <w:r>
        <w:rPr>
          <w:rFonts w:hint="eastAsia" w:ascii="仿宋" w:eastAsia="仿宋"/>
          <w:sz w:val="32"/>
          <w:szCs w:val="32"/>
          <w:lang w:val="en-US" w:eastAsia="zh-CN"/>
        </w:rPr>
        <w:t>9.</w:t>
      </w:r>
      <w:r>
        <w:rPr>
          <w:rFonts w:hint="eastAsia" w:ascii="仿宋" w:eastAsia="仿宋"/>
          <w:sz w:val="32"/>
          <w:szCs w:val="32"/>
        </w:rPr>
        <w:t>协助和支持设置在本行政区域内不隶属于镇的国家机关和企事业单位工作，监督其遵守和执行国家的法律、法规和政策。</w:t>
      </w:r>
    </w:p>
    <w:p w14:paraId="1ACA4262">
      <w:pPr>
        <w:ind w:firstLine="640" w:firstLineChars="200"/>
        <w:rPr>
          <w:rFonts w:hint="eastAsia"/>
        </w:rPr>
      </w:pPr>
      <w:r>
        <w:rPr>
          <w:rFonts w:hint="eastAsia" w:ascii="仿宋" w:eastAsia="仿宋"/>
          <w:sz w:val="32"/>
          <w:szCs w:val="32"/>
          <w:lang w:val="en-US" w:eastAsia="zh-CN"/>
        </w:rPr>
        <w:t>10.</w:t>
      </w:r>
      <w:r>
        <w:rPr>
          <w:rFonts w:hint="eastAsia" w:ascii="仿宋" w:eastAsia="仿宋"/>
          <w:sz w:val="32"/>
          <w:szCs w:val="32"/>
        </w:rPr>
        <w:t>承办县人民政府交办的其它事项。</w:t>
      </w:r>
    </w:p>
    <w:p w14:paraId="0B9A0B7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643" w:firstLineChars="200"/>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机构设置情况</w:t>
      </w:r>
    </w:p>
    <w:p w14:paraId="69306C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firstLine="640" w:firstLineChars="20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2024年末，我部门内设股室5个，所属事业单位0个。</w:t>
      </w:r>
    </w:p>
    <w:p w14:paraId="52699190">
      <w:pPr>
        <w:pStyle w:val="5"/>
        <w:bidi w:val="0"/>
        <w:rPr>
          <w:rFonts w:hint="eastAsia"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内设股室分别是：</w:t>
      </w:r>
      <w:r>
        <w:rPr>
          <w:rFonts w:hint="eastAsia" w:ascii="仿宋_GB2312" w:hAnsi="仿宋_GB2312" w:eastAsia="仿宋_GB2312" w:cs="仿宋_GB2312"/>
          <w:color w:val="000000"/>
          <w:sz w:val="31"/>
          <w:szCs w:val="31"/>
        </w:rPr>
        <w:t>综合执法大队，社会事务综合服务中心，政务服务中心，农业综合服务中心，退役军人事务中心。</w:t>
      </w:r>
    </w:p>
    <w:p w14:paraId="4F0EA54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640" w:firstLineChars="200"/>
        <w:rPr>
          <w:rFonts w:hint="default" w:ascii="Arial" w:hAnsi="Arial" w:eastAsia="楷体" w:cs="Arial"/>
          <w:b/>
          <w:bCs/>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所属事业单位分别是：</w:t>
      </w:r>
      <w:r>
        <w:rPr>
          <w:rFonts w:hint="eastAsia" w:ascii="仿宋_GB2312" w:hAnsi="仿宋_GB2312" w:eastAsia="仿宋_GB2312" w:cs="仿宋_GB2312"/>
          <w:color w:val="000000"/>
          <w:kern w:val="0"/>
          <w:sz w:val="31"/>
          <w:szCs w:val="31"/>
          <w:lang w:val="en-US" w:eastAsia="zh-CN" w:bidi="ar"/>
        </w:rPr>
        <w:t>无。</w:t>
      </w:r>
    </w:p>
    <w:p w14:paraId="7A084AFD">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left="641" w:right="0" w:firstLine="643" w:firstLineChars="200"/>
        <w:textAlignment w:val="auto"/>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（三）</w:t>
      </w:r>
      <w:r>
        <w:rPr>
          <w:rFonts w:hint="eastAsia" w:ascii="楷体" w:hAnsi="楷体" w:eastAsia="楷体" w:cs="楷体"/>
          <w:b/>
          <w:bCs/>
          <w:i w:val="0"/>
          <w:iCs w:val="0"/>
          <w:caps w:val="0"/>
          <w:color w:val="000000"/>
          <w:spacing w:val="0"/>
          <w:sz w:val="32"/>
          <w:szCs w:val="32"/>
          <w:shd w:val="clear" w:fill="FFFFFF"/>
          <w:lang w:val="en-US" w:eastAsia="zh-CN"/>
        </w:rPr>
        <w:t>人员编制情况</w:t>
      </w:r>
    </w:p>
    <w:p w14:paraId="7324B458">
      <w:pPr>
        <w:pStyle w:val="5"/>
        <w:keepNext w:val="0"/>
        <w:keepLines w:val="0"/>
        <w:pageBreakBefore w:val="0"/>
        <w:widowControl w:val="0"/>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atLeast"/>
        <w:ind w:right="0" w:firstLine="640" w:firstLineChars="200"/>
        <w:jc w:val="left"/>
        <w:textAlignment w:val="auto"/>
        <w:rPr>
          <w:rFonts w:hint="default" w:ascii="仿宋" w:hAnsi="仿宋" w:eastAsia="仿宋" w:cs="仿宋"/>
          <w:b w:val="0"/>
          <w:bCs w:val="0"/>
          <w:i w:val="0"/>
          <w:iCs w:val="0"/>
          <w:caps w:val="0"/>
          <w:color w:val="000000"/>
          <w:spacing w:val="0"/>
          <w:sz w:val="32"/>
          <w:szCs w:val="32"/>
          <w:shd w:val="clear" w:fill="FFFFFF"/>
          <w:lang w:val="en-US" w:eastAsia="zh-CN"/>
        </w:rPr>
      </w:pPr>
      <w:r>
        <w:rPr>
          <w:rFonts w:hint="eastAsia" w:ascii="仿宋" w:hAnsi="仿宋" w:eastAsia="仿宋" w:cs="仿宋"/>
          <w:b w:val="0"/>
          <w:bCs w:val="0"/>
          <w:i w:val="0"/>
          <w:iCs w:val="0"/>
          <w:caps w:val="0"/>
          <w:color w:val="000000"/>
          <w:spacing w:val="0"/>
          <w:sz w:val="32"/>
          <w:szCs w:val="32"/>
          <w:shd w:val="clear" w:fill="FFFFFF"/>
          <w:lang w:val="en-US" w:eastAsia="zh-CN"/>
        </w:rPr>
        <w:t>2024</w:t>
      </w:r>
      <w:r>
        <w:rPr>
          <w:rFonts w:hint="default" w:ascii="仿宋" w:hAnsi="仿宋" w:eastAsia="仿宋" w:cs="仿宋"/>
          <w:b w:val="0"/>
          <w:bCs w:val="0"/>
          <w:i w:val="0"/>
          <w:iCs w:val="0"/>
          <w:caps w:val="0"/>
          <w:color w:val="000000"/>
          <w:spacing w:val="0"/>
          <w:sz w:val="32"/>
          <w:szCs w:val="32"/>
          <w:shd w:val="clear" w:fill="FFFFFF"/>
          <w:lang w:val="en-US" w:eastAsia="zh-CN"/>
        </w:rPr>
        <w:t>年末，我</w:t>
      </w:r>
      <w:r>
        <w:rPr>
          <w:rFonts w:hint="eastAsia" w:ascii="仿宋" w:hAnsi="仿宋" w:eastAsia="仿宋" w:cs="仿宋"/>
          <w:b w:val="0"/>
          <w:bCs w:val="0"/>
          <w:i w:val="0"/>
          <w:iCs w:val="0"/>
          <w:caps w:val="0"/>
          <w:color w:val="000000"/>
          <w:spacing w:val="0"/>
          <w:sz w:val="32"/>
          <w:szCs w:val="32"/>
          <w:shd w:val="clear" w:fill="FFFFFF"/>
          <w:lang w:val="en-US" w:eastAsia="zh-CN"/>
        </w:rPr>
        <w:t>部门</w:t>
      </w:r>
      <w:r>
        <w:rPr>
          <w:rFonts w:hint="default" w:ascii="仿宋" w:hAnsi="仿宋" w:eastAsia="仿宋" w:cs="仿宋"/>
          <w:b w:val="0"/>
          <w:bCs w:val="0"/>
          <w:i w:val="0"/>
          <w:iCs w:val="0"/>
          <w:caps w:val="0"/>
          <w:color w:val="000000"/>
          <w:spacing w:val="0"/>
          <w:sz w:val="32"/>
          <w:szCs w:val="32"/>
          <w:shd w:val="clear" w:fill="FFFFFF"/>
          <w:lang w:val="en-US" w:eastAsia="zh-CN"/>
        </w:rPr>
        <w:t>共有编制</w:t>
      </w:r>
      <w:r>
        <w:rPr>
          <w:rFonts w:hint="eastAsia" w:ascii="仿宋" w:hAnsi="仿宋" w:eastAsia="仿宋" w:cs="仿宋"/>
          <w:b w:val="0"/>
          <w:bCs w:val="0"/>
          <w:i w:val="0"/>
          <w:iCs w:val="0"/>
          <w:caps w:val="0"/>
          <w:color w:val="000000"/>
          <w:spacing w:val="0"/>
          <w:sz w:val="32"/>
          <w:szCs w:val="32"/>
          <w:shd w:val="clear" w:fill="FFFFFF"/>
          <w:lang w:val="en-US" w:eastAsia="zh-CN"/>
        </w:rPr>
        <w:t>58</w:t>
      </w:r>
      <w:r>
        <w:rPr>
          <w:rFonts w:hint="default" w:ascii="仿宋" w:hAnsi="仿宋" w:eastAsia="仿宋" w:cs="仿宋"/>
          <w:b w:val="0"/>
          <w:bCs w:val="0"/>
          <w:i w:val="0"/>
          <w:iCs w:val="0"/>
          <w:caps w:val="0"/>
          <w:color w:val="000000"/>
          <w:spacing w:val="0"/>
          <w:sz w:val="32"/>
          <w:szCs w:val="32"/>
          <w:shd w:val="clear" w:fill="FFFFFF"/>
          <w:lang w:val="en-US" w:eastAsia="zh-CN"/>
        </w:rPr>
        <w:t>人，其中行政编制</w:t>
      </w:r>
      <w:r>
        <w:rPr>
          <w:rFonts w:hint="eastAsia" w:ascii="仿宋" w:hAnsi="仿宋" w:eastAsia="仿宋" w:cs="仿宋"/>
          <w:b w:val="0"/>
          <w:bCs w:val="0"/>
          <w:i w:val="0"/>
          <w:iCs w:val="0"/>
          <w:caps w:val="0"/>
          <w:color w:val="000000"/>
          <w:spacing w:val="0"/>
          <w:sz w:val="32"/>
          <w:szCs w:val="32"/>
          <w:shd w:val="clear" w:fill="FFFFFF"/>
          <w:lang w:val="en-US" w:eastAsia="zh-CN"/>
        </w:rPr>
        <w:t>22</w:t>
      </w:r>
      <w:r>
        <w:rPr>
          <w:rFonts w:hint="default" w:ascii="仿宋" w:hAnsi="仿宋" w:eastAsia="仿宋" w:cs="仿宋"/>
          <w:b w:val="0"/>
          <w:bCs w:val="0"/>
          <w:i w:val="0"/>
          <w:iCs w:val="0"/>
          <w:caps w:val="0"/>
          <w:color w:val="000000"/>
          <w:spacing w:val="0"/>
          <w:sz w:val="32"/>
          <w:szCs w:val="32"/>
          <w:shd w:val="clear" w:fill="FFFFFF"/>
          <w:lang w:val="en-US" w:eastAsia="zh-CN"/>
        </w:rPr>
        <w:t>人，事业编制</w:t>
      </w:r>
      <w:r>
        <w:rPr>
          <w:rFonts w:hint="eastAsia" w:ascii="仿宋" w:hAnsi="仿宋" w:eastAsia="仿宋" w:cs="仿宋"/>
          <w:b w:val="0"/>
          <w:bCs w:val="0"/>
          <w:i w:val="0"/>
          <w:iCs w:val="0"/>
          <w:caps w:val="0"/>
          <w:color w:val="000000"/>
          <w:spacing w:val="0"/>
          <w:sz w:val="32"/>
          <w:szCs w:val="32"/>
          <w:shd w:val="clear" w:fill="FFFFFF"/>
          <w:lang w:val="en-US" w:eastAsia="zh-CN"/>
        </w:rPr>
        <w:t>36</w:t>
      </w:r>
      <w:r>
        <w:rPr>
          <w:rFonts w:hint="default" w:ascii="仿宋" w:hAnsi="仿宋" w:eastAsia="仿宋" w:cs="仿宋"/>
          <w:b w:val="0"/>
          <w:bCs w:val="0"/>
          <w:i w:val="0"/>
          <w:iCs w:val="0"/>
          <w:caps w:val="0"/>
          <w:color w:val="000000"/>
          <w:spacing w:val="0"/>
          <w:sz w:val="32"/>
          <w:szCs w:val="32"/>
          <w:shd w:val="clear" w:fill="FFFFFF"/>
          <w:lang w:val="en-US" w:eastAsia="zh-CN"/>
        </w:rPr>
        <w:t>人。年末实有在职人员</w:t>
      </w:r>
      <w:r>
        <w:rPr>
          <w:rFonts w:hint="eastAsia" w:ascii="仿宋" w:hAnsi="仿宋" w:eastAsia="仿宋" w:cs="仿宋"/>
          <w:b w:val="0"/>
          <w:bCs w:val="0"/>
          <w:i w:val="0"/>
          <w:iCs w:val="0"/>
          <w:caps w:val="0"/>
          <w:color w:val="000000"/>
          <w:spacing w:val="0"/>
          <w:sz w:val="32"/>
          <w:szCs w:val="32"/>
          <w:shd w:val="clear" w:fill="FFFFFF"/>
          <w:lang w:val="en-US" w:eastAsia="zh-CN"/>
        </w:rPr>
        <w:t>58</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退休人员29</w:t>
      </w:r>
      <w:r>
        <w:rPr>
          <w:rFonts w:hint="default" w:ascii="仿宋" w:hAnsi="仿宋" w:eastAsia="仿宋" w:cs="仿宋"/>
          <w:b w:val="0"/>
          <w:bCs w:val="0"/>
          <w:i w:val="0"/>
          <w:iCs w:val="0"/>
          <w:caps w:val="0"/>
          <w:color w:val="000000"/>
          <w:spacing w:val="0"/>
          <w:sz w:val="32"/>
          <w:szCs w:val="32"/>
          <w:shd w:val="clear" w:fill="FFFFFF"/>
          <w:lang w:val="en-US" w:eastAsia="zh-CN"/>
        </w:rPr>
        <w:t>人</w:t>
      </w:r>
      <w:r>
        <w:rPr>
          <w:rFonts w:hint="eastAsia" w:ascii="仿宋" w:hAnsi="仿宋" w:eastAsia="仿宋" w:cs="仿宋"/>
          <w:b w:val="0"/>
          <w:bCs w:val="0"/>
          <w:i w:val="0"/>
          <w:iCs w:val="0"/>
          <w:caps w:val="0"/>
          <w:color w:val="000000"/>
          <w:spacing w:val="0"/>
          <w:sz w:val="32"/>
          <w:szCs w:val="32"/>
          <w:shd w:val="clear" w:fill="FFFFFF"/>
          <w:lang w:val="en-US" w:eastAsia="zh-CN"/>
        </w:rPr>
        <w:t>，</w:t>
      </w:r>
      <w:r>
        <w:rPr>
          <w:rFonts w:hint="default" w:ascii="仿宋" w:hAnsi="仿宋" w:eastAsia="仿宋" w:cs="仿宋"/>
          <w:b w:val="0"/>
          <w:bCs w:val="0"/>
          <w:i w:val="0"/>
          <w:iCs w:val="0"/>
          <w:caps w:val="0"/>
          <w:color w:val="000000"/>
          <w:spacing w:val="0"/>
          <w:sz w:val="32"/>
          <w:szCs w:val="32"/>
          <w:shd w:val="clear" w:fill="FFFFFF"/>
          <w:lang w:val="en-US" w:eastAsia="zh-CN"/>
        </w:rPr>
        <w:t>离休人员</w:t>
      </w:r>
      <w:r>
        <w:rPr>
          <w:rFonts w:hint="eastAsia" w:ascii="仿宋" w:hAnsi="仿宋" w:eastAsia="仿宋" w:cs="仿宋"/>
          <w:b w:val="0"/>
          <w:bCs w:val="0"/>
          <w:i w:val="0"/>
          <w:iCs w:val="0"/>
          <w:caps w:val="0"/>
          <w:color w:val="000000"/>
          <w:spacing w:val="0"/>
          <w:sz w:val="32"/>
          <w:szCs w:val="32"/>
          <w:shd w:val="clear" w:fill="FFFFFF"/>
          <w:lang w:val="en-US" w:eastAsia="zh-CN"/>
        </w:rPr>
        <w:t>0</w:t>
      </w:r>
      <w:r>
        <w:rPr>
          <w:rFonts w:hint="default" w:ascii="仿宋" w:hAnsi="仿宋" w:eastAsia="仿宋" w:cs="仿宋"/>
          <w:b w:val="0"/>
          <w:bCs w:val="0"/>
          <w:i w:val="0"/>
          <w:iCs w:val="0"/>
          <w:caps w:val="0"/>
          <w:color w:val="000000"/>
          <w:spacing w:val="0"/>
          <w:sz w:val="32"/>
          <w:szCs w:val="32"/>
          <w:shd w:val="clear" w:fill="FFFFFF"/>
          <w:lang w:val="en-US" w:eastAsia="zh-CN"/>
        </w:rPr>
        <w:t>人。</w:t>
      </w:r>
    </w:p>
    <w:p w14:paraId="0496365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二、一般公共预算支出情况</w:t>
      </w:r>
    </w:p>
    <w:p w14:paraId="017824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643" w:firstLineChars="200"/>
        <w:jc w:val="left"/>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（一）</w:t>
      </w:r>
      <w:r>
        <w:rPr>
          <w:rFonts w:hint="eastAsia" w:ascii="楷体" w:hAnsi="楷体" w:eastAsia="楷体" w:cs="楷体"/>
          <w:b/>
          <w:bCs/>
          <w:i w:val="0"/>
          <w:iCs w:val="0"/>
          <w:caps w:val="0"/>
          <w:color w:val="000000"/>
          <w:spacing w:val="0"/>
          <w:sz w:val="32"/>
          <w:szCs w:val="32"/>
          <w:shd w:val="clear" w:fill="FFFFFF"/>
          <w:lang w:val="en-US" w:eastAsia="zh-CN"/>
        </w:rPr>
        <w:t>基本支出情况</w:t>
      </w:r>
    </w:p>
    <w:p w14:paraId="2EA0135B">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default" w:ascii="Times New Roman" w:hAnsi="Times New Roman" w:eastAsia="仿宋_GB2312" w:cs="Times New Roman"/>
          <w:color w:val="0C0C0C"/>
          <w:sz w:val="32"/>
          <w:szCs w:val="32"/>
          <w:lang w:val="en-US" w:eastAsia="zh-CN"/>
        </w:rPr>
      </w:pPr>
      <w:r>
        <w:rPr>
          <w:rFonts w:hint="eastAsia" w:eastAsia="仿宋_GB2312" w:cs="Times New Roman"/>
          <w:color w:val="0C0C0C"/>
          <w:sz w:val="32"/>
          <w:szCs w:val="32"/>
          <w:lang w:eastAsia="zh-CN"/>
        </w:rPr>
        <w:t>2024</w:t>
      </w:r>
      <w:r>
        <w:rPr>
          <w:rFonts w:hint="default" w:ascii="Times New Roman" w:hAnsi="Times New Roman" w:eastAsia="仿宋_GB2312" w:cs="Times New Roman"/>
          <w:color w:val="0C0C0C"/>
          <w:sz w:val="32"/>
          <w:szCs w:val="32"/>
        </w:rPr>
        <w:t>年基本支出共计</w:t>
      </w:r>
      <w:r>
        <w:rPr>
          <w:rFonts w:hint="eastAsia" w:ascii="仿宋_GB2312" w:hAnsi="仿宋_GB2312" w:eastAsia="仿宋_GB2312" w:cs="仿宋_GB2312"/>
          <w:color w:val="000000"/>
          <w:kern w:val="0"/>
          <w:sz w:val="31"/>
          <w:szCs w:val="31"/>
          <w:lang w:val="en-US" w:eastAsia="zh-CN" w:bidi="ar"/>
        </w:rPr>
        <w:t>2023.37</w:t>
      </w:r>
      <w:r>
        <w:rPr>
          <w:rFonts w:hint="default" w:ascii="Times New Roman" w:hAnsi="Times New Roman" w:eastAsia="仿宋_GB2312" w:cs="Times New Roman"/>
          <w:color w:val="0C0C0C"/>
          <w:sz w:val="32"/>
          <w:szCs w:val="32"/>
        </w:rPr>
        <w:t>万元</w:t>
      </w:r>
      <w:r>
        <w:rPr>
          <w:rFonts w:hint="eastAsia" w:eastAsia="仿宋_GB2312" w:cs="Times New Roman"/>
          <w:color w:val="0C0C0C"/>
          <w:sz w:val="32"/>
          <w:szCs w:val="32"/>
          <w:lang w:eastAsia="zh-CN"/>
        </w:rPr>
        <w:t>，</w:t>
      </w:r>
      <w:r>
        <w:rPr>
          <w:rFonts w:hint="eastAsia" w:eastAsia="仿宋_GB2312" w:cs="Times New Roman"/>
          <w:color w:val="0C0C0C"/>
          <w:sz w:val="32"/>
          <w:szCs w:val="32"/>
          <w:lang w:val="en-US" w:eastAsia="zh-CN"/>
        </w:rPr>
        <w:t>其中</w:t>
      </w:r>
      <w:r>
        <w:rPr>
          <w:rFonts w:hint="default" w:ascii="Times New Roman" w:hAnsi="Times New Roman" w:eastAsia="仿宋_GB2312" w:cs="Times New Roman"/>
          <w:color w:val="0C0C0C"/>
          <w:sz w:val="32"/>
          <w:szCs w:val="32"/>
          <w:lang w:val="en-US" w:eastAsia="zh-CN"/>
        </w:rPr>
        <w:t>人员经费</w:t>
      </w:r>
      <w:r>
        <w:rPr>
          <w:rFonts w:hint="eastAsia" w:eastAsia="仿宋_GB2312" w:cs="Times New Roman"/>
          <w:color w:val="0C0C0C"/>
          <w:sz w:val="32"/>
          <w:szCs w:val="32"/>
          <w:lang w:val="en-US" w:eastAsia="zh-CN"/>
        </w:rPr>
        <w:t>1236.95</w:t>
      </w:r>
      <w:r>
        <w:rPr>
          <w:rFonts w:hint="default" w:ascii="Times New Roman" w:hAnsi="Times New Roman" w:eastAsia="仿宋_GB2312" w:cs="Times New Roman"/>
          <w:color w:val="0C0C0C"/>
          <w:sz w:val="32"/>
          <w:szCs w:val="32"/>
          <w:lang w:val="en-US" w:eastAsia="zh-CN"/>
        </w:rPr>
        <w:t>万元</w:t>
      </w:r>
      <w:r>
        <w:rPr>
          <w:rFonts w:hint="eastAsia" w:ascii="Times New Roman" w:hAnsi="Times New Roman" w:eastAsia="仿宋_GB2312" w:cs="Times New Roman"/>
          <w:color w:val="0C0C0C"/>
          <w:sz w:val="32"/>
          <w:szCs w:val="32"/>
          <w:lang w:val="en-US" w:eastAsia="zh-CN"/>
        </w:rPr>
        <w:t>，</w:t>
      </w:r>
      <w:r>
        <w:rPr>
          <w:rFonts w:hint="eastAsia" w:eastAsia="仿宋_GB2312" w:cs="Times New Roman"/>
          <w:color w:val="0C0C0C"/>
          <w:sz w:val="32"/>
          <w:szCs w:val="32"/>
          <w:lang w:val="en-US" w:eastAsia="zh-CN"/>
        </w:rPr>
        <w:t>公用</w:t>
      </w:r>
      <w:r>
        <w:rPr>
          <w:rFonts w:hint="default" w:ascii="Times New Roman" w:hAnsi="Times New Roman" w:eastAsia="仿宋_GB2312" w:cs="Times New Roman"/>
          <w:color w:val="0C0C0C"/>
          <w:sz w:val="32"/>
          <w:szCs w:val="32"/>
          <w:lang w:val="en-US" w:eastAsia="zh-CN"/>
        </w:rPr>
        <w:t>经费</w:t>
      </w:r>
      <w:r>
        <w:rPr>
          <w:rFonts w:hint="eastAsia" w:eastAsia="仿宋_GB2312" w:cs="Times New Roman"/>
          <w:color w:val="0C0C0C"/>
          <w:sz w:val="32"/>
          <w:szCs w:val="32"/>
          <w:lang w:val="en-US" w:eastAsia="zh-CN"/>
        </w:rPr>
        <w:t>338.26</w:t>
      </w:r>
      <w:r>
        <w:rPr>
          <w:rFonts w:hint="default" w:ascii="Times New Roman" w:hAnsi="Times New Roman" w:eastAsia="仿宋_GB2312" w:cs="Times New Roman"/>
          <w:color w:val="0C0C0C"/>
          <w:sz w:val="32"/>
          <w:szCs w:val="32"/>
          <w:lang w:val="en-US" w:eastAsia="zh-CN"/>
        </w:rPr>
        <w:t>万元</w:t>
      </w:r>
      <w:r>
        <w:rPr>
          <w:rFonts w:hint="eastAsia" w:eastAsia="仿宋_GB2312" w:cs="Times New Roman"/>
          <w:color w:val="0C0C0C"/>
          <w:sz w:val="32"/>
          <w:szCs w:val="32"/>
          <w:lang w:val="en-US" w:eastAsia="zh-CN"/>
        </w:rPr>
        <w:t>，项目支出448.17万元</w:t>
      </w:r>
      <w:r>
        <w:rPr>
          <w:rFonts w:hint="eastAsia" w:ascii="Times New Roman" w:hAnsi="Times New Roman" w:eastAsia="仿宋_GB2312" w:cs="Times New Roman"/>
          <w:color w:val="0C0C0C"/>
          <w:sz w:val="32"/>
          <w:szCs w:val="32"/>
          <w:lang w:val="en-US" w:eastAsia="zh-CN"/>
        </w:rPr>
        <w:t>。</w:t>
      </w:r>
    </w:p>
    <w:p w14:paraId="453B9560">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eastAsia" w:ascii="仿宋" w:hAnsi="仿宋" w:eastAsia="仿宋" w:cs="仿宋"/>
          <w:b/>
          <w:bCs/>
          <w:color w:val="0C0C0C"/>
          <w:sz w:val="32"/>
          <w:szCs w:val="32"/>
          <w:lang w:val="en-US" w:eastAsia="zh-CN"/>
        </w:rPr>
        <w:t>1.人员经费</w:t>
      </w:r>
      <w:r>
        <w:rPr>
          <w:rFonts w:hint="eastAsia" w:eastAsia="仿宋_GB2312" w:cs="Times New Roman"/>
          <w:color w:val="0C0C0C"/>
          <w:sz w:val="32"/>
          <w:szCs w:val="32"/>
          <w:lang w:val="en-US" w:eastAsia="zh-CN"/>
        </w:rPr>
        <w:t>1236.95</w:t>
      </w:r>
      <w:r>
        <w:rPr>
          <w:rFonts w:hint="eastAsia"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主要用于在职人员工资津补贴、奖金、离休费、社保缴费、住房公积金缴费、老干医疗费、抚恤金等。人员经费支出严格按照相关政策和标准列支。</w:t>
      </w:r>
    </w:p>
    <w:p w14:paraId="7961F76D">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3" w:firstLineChars="200"/>
        <w:jc w:val="both"/>
        <w:textAlignment w:val="auto"/>
        <w:outlineLvl w:val="9"/>
        <w:rPr>
          <w:rFonts w:hint="default" w:ascii="Times New Roman" w:hAnsi="Times New Roman" w:eastAsia="仿宋_GB2312" w:cs="Times New Roman"/>
          <w:color w:val="0C0C0C"/>
          <w:sz w:val="32"/>
          <w:szCs w:val="32"/>
        </w:rPr>
      </w:pPr>
      <w:r>
        <w:rPr>
          <w:rFonts w:hint="default" w:ascii="仿宋" w:hAnsi="仿宋" w:eastAsia="仿宋" w:cs="仿宋"/>
          <w:b/>
          <w:bCs/>
          <w:color w:val="0C0C0C"/>
          <w:sz w:val="32"/>
          <w:szCs w:val="32"/>
          <w:lang w:val="en-US" w:eastAsia="zh-CN"/>
        </w:rPr>
        <w:t>2</w:t>
      </w:r>
      <w:r>
        <w:rPr>
          <w:rFonts w:hint="eastAsia" w:ascii="仿宋" w:hAnsi="仿宋" w:eastAsia="仿宋" w:cs="仿宋"/>
          <w:b/>
          <w:bCs/>
          <w:color w:val="0C0C0C"/>
          <w:sz w:val="32"/>
          <w:szCs w:val="32"/>
          <w:lang w:val="en-US" w:eastAsia="zh-CN"/>
        </w:rPr>
        <w:t>.</w:t>
      </w:r>
      <w:r>
        <w:rPr>
          <w:rFonts w:hint="default" w:ascii="仿宋" w:hAnsi="仿宋" w:eastAsia="仿宋" w:cs="仿宋"/>
          <w:b/>
          <w:bCs/>
          <w:color w:val="0C0C0C"/>
          <w:sz w:val="32"/>
          <w:szCs w:val="32"/>
          <w:lang w:val="en-US" w:eastAsia="zh-CN"/>
        </w:rPr>
        <w:t>公用经费</w:t>
      </w:r>
      <w:r>
        <w:rPr>
          <w:rFonts w:hint="eastAsia" w:eastAsia="仿宋_GB2312" w:cs="Times New Roman"/>
          <w:color w:val="0C0C0C"/>
          <w:sz w:val="32"/>
          <w:szCs w:val="32"/>
          <w:lang w:val="en-US" w:eastAsia="zh-CN"/>
        </w:rPr>
        <w:t>338.26</w:t>
      </w:r>
      <w:r>
        <w:rPr>
          <w:rFonts w:hint="default" w:ascii="仿宋" w:hAnsi="仿宋" w:eastAsia="仿宋" w:cs="仿宋"/>
          <w:b/>
          <w:bCs/>
          <w:color w:val="0C0C0C"/>
          <w:sz w:val="32"/>
          <w:szCs w:val="32"/>
          <w:lang w:val="en-US" w:eastAsia="zh-CN"/>
        </w:rPr>
        <w:t>万元。</w:t>
      </w:r>
      <w:r>
        <w:rPr>
          <w:rFonts w:hint="default" w:ascii="Times New Roman" w:hAnsi="Times New Roman" w:eastAsia="仿宋_GB2312" w:cs="Times New Roman"/>
          <w:color w:val="0C0C0C"/>
          <w:sz w:val="32"/>
          <w:szCs w:val="32"/>
        </w:rPr>
        <w:t>主要用于为保障基本运行而发生的办公费、印刷费、邮电费、水费、电费、物业管理费、取暖费、维修费、差旅费等。公用经费支出严格执行部门预算，厉行节约，控制运行成本。</w:t>
      </w:r>
    </w:p>
    <w:p w14:paraId="44BBC3E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643" w:firstLineChars="200"/>
        <w:jc w:val="both"/>
        <w:rPr>
          <w:rFonts w:hint="eastAsia" w:ascii="楷体" w:hAnsi="楷体" w:eastAsia="楷体" w:cs="楷体"/>
          <w:b/>
          <w:bCs/>
          <w:i w:val="0"/>
          <w:iCs w:val="0"/>
          <w:caps w:val="0"/>
          <w:color w:val="000000"/>
          <w:spacing w:val="0"/>
          <w:sz w:val="32"/>
          <w:szCs w:val="32"/>
          <w:shd w:val="clear" w:fill="FFFFFF"/>
          <w:lang w:val="en-US" w:eastAsia="zh-CN"/>
        </w:rPr>
      </w:pPr>
      <w:r>
        <w:rPr>
          <w:rFonts w:hint="eastAsia" w:ascii="楷体" w:hAnsi="楷体" w:eastAsia="楷体" w:cs="楷体"/>
          <w:b/>
          <w:bCs/>
          <w:i w:val="0"/>
          <w:iCs w:val="0"/>
          <w:caps w:val="0"/>
          <w:color w:val="000000"/>
          <w:spacing w:val="0"/>
          <w:sz w:val="32"/>
          <w:szCs w:val="32"/>
          <w:shd w:val="clear" w:fill="FFFFFF"/>
        </w:rPr>
        <w:t>（二）</w:t>
      </w:r>
      <w:r>
        <w:rPr>
          <w:rFonts w:hint="eastAsia" w:ascii="楷体" w:hAnsi="楷体" w:eastAsia="楷体" w:cs="楷体"/>
          <w:b/>
          <w:bCs/>
          <w:i w:val="0"/>
          <w:iCs w:val="0"/>
          <w:caps w:val="0"/>
          <w:color w:val="000000"/>
          <w:spacing w:val="0"/>
          <w:sz w:val="32"/>
          <w:szCs w:val="32"/>
          <w:shd w:val="clear" w:fill="FFFFFF"/>
          <w:lang w:val="en-US" w:eastAsia="zh-CN"/>
        </w:rPr>
        <w:t>项目支出情况</w:t>
      </w:r>
    </w:p>
    <w:p w14:paraId="0541009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rPr>
      </w:pPr>
      <w:r>
        <w:rPr>
          <w:rFonts w:hint="eastAsia" w:ascii="仿宋" w:hAnsi="仿宋" w:eastAsia="仿宋" w:cs="仿宋"/>
          <w:color w:val="0C0C0C"/>
          <w:sz w:val="32"/>
          <w:szCs w:val="32"/>
          <w:lang w:eastAsia="zh-CN"/>
        </w:rPr>
        <w:t>2024</w:t>
      </w:r>
      <w:r>
        <w:rPr>
          <w:rFonts w:hint="eastAsia" w:ascii="仿宋" w:hAnsi="仿宋" w:eastAsia="仿宋" w:cs="仿宋"/>
          <w:color w:val="0C0C0C"/>
          <w:sz w:val="32"/>
          <w:szCs w:val="32"/>
        </w:rPr>
        <w:t>年项目</w:t>
      </w:r>
      <w:r>
        <w:rPr>
          <w:rFonts w:hint="eastAsia" w:ascii="仿宋" w:hAnsi="仿宋" w:eastAsia="仿宋" w:cs="仿宋"/>
          <w:color w:val="0C0C0C"/>
          <w:sz w:val="32"/>
          <w:szCs w:val="32"/>
          <w:lang w:eastAsia="zh-CN"/>
        </w:rPr>
        <w:t>预算</w:t>
      </w:r>
      <w:r>
        <w:rPr>
          <w:rFonts w:hint="eastAsia" w:ascii="仿宋" w:hAnsi="仿宋" w:eastAsia="仿宋" w:cs="仿宋"/>
          <w:color w:val="0C0C0C"/>
          <w:sz w:val="32"/>
          <w:szCs w:val="32"/>
        </w:rPr>
        <w:t>支出共计</w:t>
      </w:r>
      <w:r>
        <w:rPr>
          <w:rFonts w:hint="eastAsia" w:ascii="仿宋" w:hAnsi="仿宋" w:eastAsia="仿宋" w:cs="仿宋"/>
          <w:color w:val="000000"/>
          <w:kern w:val="0"/>
          <w:sz w:val="32"/>
          <w:szCs w:val="32"/>
          <w:lang w:val="en-US" w:eastAsia="zh-CN" w:bidi="ar"/>
        </w:rPr>
        <w:t>448.17</w:t>
      </w:r>
      <w:r>
        <w:rPr>
          <w:rFonts w:hint="eastAsia" w:ascii="仿宋" w:hAnsi="仿宋" w:eastAsia="仿宋" w:cs="仿宋"/>
          <w:color w:val="0C0C0C"/>
          <w:sz w:val="32"/>
          <w:szCs w:val="32"/>
        </w:rPr>
        <w:t>万元，其中业务工作经费</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运行维护</w:t>
      </w:r>
      <w:r>
        <w:rPr>
          <w:rFonts w:hint="eastAsia" w:ascii="仿宋" w:hAnsi="仿宋" w:eastAsia="仿宋" w:cs="仿宋"/>
          <w:color w:val="0C0C0C"/>
          <w:sz w:val="32"/>
          <w:szCs w:val="32"/>
        </w:rPr>
        <w:t>经费</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val="en-US" w:eastAsia="zh-CN"/>
        </w:rPr>
        <w:t>专项资金</w:t>
      </w:r>
      <w:r>
        <w:rPr>
          <w:rFonts w:hint="eastAsia" w:ascii="仿宋" w:hAnsi="仿宋" w:eastAsia="仿宋" w:cs="仿宋"/>
          <w:color w:val="000000"/>
          <w:kern w:val="0"/>
          <w:sz w:val="32"/>
          <w:szCs w:val="32"/>
          <w:lang w:val="en-US" w:eastAsia="zh-CN" w:bidi="ar"/>
        </w:rPr>
        <w:t>0</w:t>
      </w:r>
      <w:r>
        <w:rPr>
          <w:rFonts w:hint="eastAsia" w:ascii="仿宋" w:hAnsi="仿宋" w:eastAsia="仿宋" w:cs="仿宋"/>
          <w:color w:val="0C0C0C"/>
          <w:sz w:val="32"/>
          <w:szCs w:val="32"/>
        </w:rPr>
        <w:t>万元</w:t>
      </w:r>
      <w:r>
        <w:rPr>
          <w:rFonts w:hint="eastAsia" w:ascii="仿宋" w:hAnsi="仿宋" w:eastAsia="仿宋" w:cs="仿宋"/>
          <w:color w:val="0C0C0C"/>
          <w:sz w:val="32"/>
          <w:szCs w:val="32"/>
          <w:lang w:eastAsia="zh-CN"/>
        </w:rPr>
        <w:t>，</w:t>
      </w:r>
      <w:r>
        <w:rPr>
          <w:rFonts w:hint="eastAsia" w:ascii="仿宋" w:hAnsi="仿宋" w:eastAsia="仿宋" w:cs="仿宋"/>
          <w:color w:val="0C0C0C"/>
          <w:sz w:val="32"/>
          <w:szCs w:val="32"/>
          <w:lang w:val="en-US" w:eastAsia="zh-CN"/>
        </w:rPr>
        <w:t>主要用于社区资金及四城同创城市基础设施建设资金</w:t>
      </w:r>
      <w:r>
        <w:rPr>
          <w:rFonts w:hint="eastAsia" w:ascii="仿宋" w:hAnsi="仿宋" w:eastAsia="仿宋" w:cs="仿宋"/>
          <w:color w:val="0C0C0C"/>
          <w:sz w:val="32"/>
          <w:szCs w:val="32"/>
        </w:rPr>
        <w:t>。</w:t>
      </w:r>
    </w:p>
    <w:p w14:paraId="586EE082">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三、政府性基金预算支出情况</w:t>
      </w:r>
    </w:p>
    <w:p w14:paraId="2ECC5E33">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2024年度政府性基金预算支出49.11万元，主要用于香料厂D级危房改造项目工作经费。</w:t>
      </w:r>
    </w:p>
    <w:p w14:paraId="2EE7BB62">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国有资本经营预算支出情况</w:t>
      </w:r>
    </w:p>
    <w:p w14:paraId="766A5C66">
      <w:pPr>
        <w:keepNext w:val="0"/>
        <w:keepLines w:val="0"/>
        <w:pageBreakBefore w:val="0"/>
        <w:widowControl w:val="0"/>
        <w:pBdr>
          <w:top w:val="none" w:color="auto" w:sz="0" w:space="1"/>
          <w:left w:val="none" w:color="auto" w:sz="0" w:space="4"/>
          <w:bottom w:val="none" w:color="auto" w:sz="0" w:space="1"/>
          <w:right w:val="none" w:color="auto" w:sz="0" w:space="4"/>
          <w:between w:val="none" w:color="auto" w:sz="0" w:space="0"/>
        </w:pBdr>
        <w:kinsoku/>
        <w:wordWrap/>
        <w:overflowPunct/>
        <w:topLinePunct w:val="0"/>
        <w:autoSpaceDE/>
        <w:autoSpaceDN/>
        <w:bidi w:val="0"/>
        <w:adjustRightInd/>
        <w:snapToGrid w:val="0"/>
        <w:spacing w:line="586" w:lineRule="exact"/>
        <w:ind w:firstLine="640" w:firstLineChars="200"/>
        <w:jc w:val="both"/>
        <w:textAlignment w:val="auto"/>
        <w:outlineLvl w:val="9"/>
        <w:rPr>
          <w:rFonts w:hint="eastAsia" w:ascii="仿宋" w:hAnsi="仿宋" w:eastAsia="仿宋" w:cs="仿宋"/>
          <w:color w:val="0C0C0C"/>
          <w:sz w:val="32"/>
          <w:szCs w:val="32"/>
          <w:lang w:val="en-US" w:eastAsia="zh-CN"/>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年度国有资本经营预算支出</w:t>
      </w:r>
      <w:r>
        <w:rPr>
          <w:rFonts w:hint="eastAsia" w:ascii="仿宋" w:hAnsi="仿宋" w:eastAsia="仿宋" w:cs="仿宋"/>
          <w:color w:val="0C0C0C"/>
          <w:sz w:val="32"/>
          <w:szCs w:val="32"/>
          <w:lang w:val="en-US" w:eastAsia="zh-CN"/>
        </w:rPr>
        <w:t>10.66万元，国有企业退休人员管理费支出</w:t>
      </w:r>
      <w:r>
        <w:rPr>
          <w:rFonts w:hint="default" w:ascii="仿宋" w:hAnsi="仿宋" w:eastAsia="仿宋" w:cs="仿宋"/>
          <w:color w:val="0C0C0C"/>
          <w:sz w:val="32"/>
          <w:szCs w:val="32"/>
          <w:lang w:val="en-US" w:eastAsia="zh-CN"/>
        </w:rPr>
        <w:t>。</w:t>
      </w:r>
    </w:p>
    <w:p w14:paraId="25A7CBFC">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leftChars="0" w:right="0"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社会保险基金预算支出情况</w:t>
      </w:r>
    </w:p>
    <w:p w14:paraId="0AFB1DA1">
      <w:pPr>
        <w:keepNext w:val="0"/>
        <w:keepLines w:val="0"/>
        <w:widowControl/>
        <w:suppressLineNumbers w:val="0"/>
        <w:ind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仿宋" w:hAnsi="仿宋" w:eastAsia="仿宋" w:cs="仿宋"/>
          <w:color w:val="0C0C0C"/>
          <w:sz w:val="32"/>
          <w:szCs w:val="32"/>
          <w:lang w:val="en-US" w:eastAsia="zh-CN"/>
        </w:rPr>
        <w:t>2024</w:t>
      </w:r>
      <w:r>
        <w:rPr>
          <w:rFonts w:hint="default" w:ascii="仿宋" w:hAnsi="仿宋" w:eastAsia="仿宋" w:cs="仿宋"/>
          <w:color w:val="0C0C0C"/>
          <w:sz w:val="32"/>
          <w:szCs w:val="32"/>
          <w:lang w:val="en-US" w:eastAsia="zh-CN"/>
        </w:rPr>
        <w:t>年度无社会保险基金预算支出。</w:t>
      </w:r>
    </w:p>
    <w:p w14:paraId="6367AB6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六、部门整体支出绩效情况</w:t>
      </w:r>
    </w:p>
    <w:p w14:paraId="7975338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仿宋" w:hAnsi="仿宋" w:eastAsia="仿宋" w:cs="仿宋"/>
          <w:color w:val="0C0C0C"/>
          <w:kern w:val="2"/>
          <w:sz w:val="32"/>
          <w:szCs w:val="32"/>
          <w:lang w:val="en-US" w:eastAsia="zh-CN" w:bidi="ar-SA"/>
        </w:rPr>
      </w:pPr>
      <w:r>
        <w:rPr>
          <w:rFonts w:hint="eastAsia" w:ascii="仿宋" w:hAnsi="仿宋" w:eastAsia="仿宋" w:cs="仿宋"/>
          <w:color w:val="0C0C0C"/>
          <w:kern w:val="2"/>
          <w:sz w:val="32"/>
          <w:szCs w:val="32"/>
          <w:lang w:val="en-US" w:eastAsia="zh-CN" w:bidi="ar-SA"/>
        </w:rPr>
        <w:t>2024年，在县委、县政府的领导下，坚持依法行政、执法为民，稳中求进，改革创新，积极作为，突出抓改革强监管促发展，各方面工作稳步推进。根据部门整体支出绩效自评评分（详见附件2），得分</w:t>
      </w:r>
      <w:r>
        <w:rPr>
          <w:rFonts w:hint="eastAsia" w:ascii="仿宋" w:hAnsi="仿宋" w:eastAsia="仿宋" w:cs="仿宋"/>
          <w:color w:val="0C0C0C"/>
          <w:sz w:val="32"/>
          <w:szCs w:val="32"/>
          <w:lang w:val="en-US" w:eastAsia="zh-CN"/>
        </w:rPr>
        <w:t>95</w:t>
      </w:r>
      <w:r>
        <w:rPr>
          <w:rFonts w:hint="eastAsia" w:ascii="仿宋" w:hAnsi="仿宋" w:eastAsia="仿宋" w:cs="仿宋"/>
          <w:color w:val="0C0C0C"/>
          <w:kern w:val="2"/>
          <w:sz w:val="32"/>
          <w:szCs w:val="32"/>
          <w:lang w:val="en-US" w:eastAsia="zh-CN" w:bidi="ar-SA"/>
        </w:rPr>
        <w:t>分，部门整体支出绩效为“优”。主要绩效如下：</w:t>
      </w:r>
    </w:p>
    <w:p w14:paraId="2DE4D38F">
      <w:pPr>
        <w:keepNext w:val="0"/>
        <w:keepLines w:val="0"/>
        <w:pageBreakBefore w:val="0"/>
        <w:widowControl w:val="0"/>
        <w:kinsoku/>
        <w:wordWrap/>
        <w:overflowPunct/>
        <w:topLinePunct w:val="0"/>
        <w:autoSpaceDE/>
        <w:autoSpaceDN/>
        <w:bidi w:val="0"/>
        <w:adjustRightInd/>
        <w:snapToGrid/>
        <w:spacing w:line="560" w:lineRule="exact"/>
        <w:ind w:left="0" w:leftChars="0" w:firstLine="643" w:firstLineChars="200"/>
        <w:jc w:val="both"/>
        <w:textAlignment w:val="auto"/>
        <w:rPr>
          <w:rFonts w:hint="eastAsia" w:ascii="黑体" w:hAnsi="黑体" w:eastAsia="黑体" w:cs="黑体"/>
          <w:color w:val="000000"/>
          <w:sz w:val="32"/>
          <w:szCs w:val="32"/>
          <w:highlight w:val="none"/>
          <w:lang w:val="en-US" w:eastAsia="zh-CN"/>
        </w:rPr>
      </w:pPr>
      <w:r>
        <w:rPr>
          <w:rFonts w:hint="default" w:ascii="仿宋_GB2312" w:eastAsia="仿宋_GB2312"/>
          <w:b/>
          <w:sz w:val="32"/>
          <w:szCs w:val="32"/>
          <w:lang w:eastAsia="zh-CN"/>
        </w:rPr>
        <w:t>（</w:t>
      </w:r>
      <w:r>
        <w:rPr>
          <w:rFonts w:hint="eastAsia" w:ascii="仿宋_GB2312" w:eastAsia="仿宋_GB2312"/>
          <w:b/>
          <w:sz w:val="32"/>
          <w:szCs w:val="32"/>
          <w:lang w:eastAsia="zh-CN"/>
        </w:rPr>
        <w:t>一</w:t>
      </w:r>
      <w:r>
        <w:rPr>
          <w:rFonts w:hint="default" w:ascii="仿宋_GB2312" w:eastAsia="仿宋_GB2312"/>
          <w:b/>
          <w:sz w:val="32"/>
          <w:szCs w:val="32"/>
          <w:lang w:eastAsia="zh-CN"/>
        </w:rPr>
        <w:t>）</w:t>
      </w:r>
      <w:r>
        <w:rPr>
          <w:rFonts w:hint="eastAsia" w:ascii="黑体" w:hAnsi="黑体" w:eastAsia="黑体" w:cs="黑体"/>
          <w:color w:val="000000"/>
          <w:sz w:val="32"/>
          <w:szCs w:val="32"/>
          <w:highlight w:val="none"/>
          <w:lang w:eastAsia="zh-CN"/>
        </w:rPr>
        <w:t>、</w:t>
      </w:r>
      <w:r>
        <w:rPr>
          <w:rFonts w:hint="eastAsia" w:ascii="黑体" w:hAnsi="黑体" w:eastAsia="黑体" w:cs="黑体"/>
          <w:color w:val="000000"/>
          <w:sz w:val="32"/>
          <w:szCs w:val="32"/>
          <w:highlight w:val="none"/>
          <w:lang w:val="en-US" w:eastAsia="zh-CN"/>
        </w:rPr>
        <w:t>完成收入任务成效</w:t>
      </w:r>
    </w:p>
    <w:p w14:paraId="29DA7D6B">
      <w:pPr>
        <w:keepNext w:val="0"/>
        <w:keepLines w:val="0"/>
        <w:pageBreakBefore w:val="0"/>
        <w:kinsoku/>
        <w:wordWrap/>
        <w:overflowPunct/>
        <w:topLinePunct w:val="0"/>
        <w:autoSpaceDE/>
        <w:autoSpaceDN/>
        <w:bidi w:val="0"/>
        <w:adjustRightInd/>
        <w:snapToGrid/>
        <w:spacing w:line="560" w:lineRule="exact"/>
        <w:ind w:firstLine="640"/>
        <w:jc w:val="left"/>
        <w:textAlignment w:val="auto"/>
        <w:rPr>
          <w:rFonts w:hint="eastAsia" w:ascii="黑体" w:hAnsi="黑体" w:eastAsia="黑体" w:cs="黑体"/>
          <w:color w:val="000000"/>
          <w:sz w:val="32"/>
          <w:szCs w:val="32"/>
          <w:highlight w:val="none"/>
          <w:lang w:eastAsia="zh-CN"/>
        </w:rPr>
      </w:pPr>
      <w:r>
        <w:rPr>
          <w:rFonts w:hint="eastAsia" w:ascii="仿宋" w:hAnsi="仿宋" w:eastAsia="仿宋" w:cs="仿宋"/>
          <w:sz w:val="32"/>
          <w:szCs w:val="32"/>
          <w:lang w:eastAsia="zh-CN"/>
        </w:rPr>
        <w:t>2024</w:t>
      </w:r>
      <w:r>
        <w:rPr>
          <w:rFonts w:hint="eastAsia" w:ascii="仿宋" w:hAnsi="仿宋" w:eastAsia="仿宋" w:cs="仿宋"/>
          <w:sz w:val="32"/>
          <w:szCs w:val="32"/>
        </w:rPr>
        <w:t>年，</w:t>
      </w:r>
      <w:r>
        <w:rPr>
          <w:rFonts w:hint="eastAsia" w:ascii="仿宋_GB2312" w:hAnsi="仿宋_GB2312" w:eastAsia="仿宋_GB2312" w:cs="仿宋_GB2312"/>
          <w:sz w:val="32"/>
          <w:szCs w:val="32"/>
        </w:rPr>
        <w:t xml:space="preserve"> 我</w:t>
      </w:r>
      <w:r>
        <w:rPr>
          <w:rFonts w:hint="eastAsia" w:ascii="仿宋_GB2312" w:hAnsi="仿宋_GB2312" w:eastAsia="仿宋_GB2312" w:cs="仿宋_GB2312"/>
          <w:sz w:val="32"/>
          <w:szCs w:val="32"/>
          <w:lang w:eastAsia="zh-CN"/>
        </w:rPr>
        <w:t>镇</w:t>
      </w:r>
      <w:r>
        <w:rPr>
          <w:rFonts w:hint="eastAsia" w:ascii="仿宋_GB2312" w:hAnsi="仿宋_GB2312" w:eastAsia="仿宋_GB2312" w:cs="仿宋_GB2312"/>
          <w:sz w:val="32"/>
          <w:szCs w:val="32"/>
        </w:rPr>
        <w:t>财政任务为3</w:t>
      </w:r>
      <w:r>
        <w:rPr>
          <w:rFonts w:hint="eastAsia" w:ascii="仿宋_GB2312" w:hAnsi="仿宋_GB2312" w:eastAsia="仿宋_GB2312" w:cs="仿宋_GB2312"/>
          <w:sz w:val="32"/>
          <w:szCs w:val="32"/>
          <w:lang w:val="en-US" w:eastAsia="zh-CN"/>
        </w:rPr>
        <w:t>886.25</w:t>
      </w:r>
      <w:r>
        <w:rPr>
          <w:rFonts w:hint="eastAsia" w:ascii="仿宋_GB2312" w:hAnsi="仿宋_GB2312" w:eastAsia="仿宋_GB2312" w:cs="仿宋_GB2312"/>
          <w:sz w:val="32"/>
          <w:szCs w:val="32"/>
        </w:rPr>
        <w:t>万元，完成</w:t>
      </w:r>
      <w:r>
        <w:rPr>
          <w:rFonts w:hint="eastAsia" w:ascii="仿宋_GB2312" w:hAnsi="仿宋_GB2312" w:eastAsia="仿宋_GB2312" w:cs="仿宋_GB2312"/>
          <w:sz w:val="32"/>
          <w:szCs w:val="32"/>
          <w:lang w:val="en-US" w:eastAsia="zh-CN"/>
        </w:rPr>
        <w:t>3886.5</w:t>
      </w:r>
      <w:r>
        <w:rPr>
          <w:rFonts w:hint="eastAsia" w:ascii="仿宋_GB2312" w:hAnsi="仿宋_GB2312" w:eastAsia="仿宋_GB2312" w:cs="仿宋_GB2312"/>
          <w:sz w:val="32"/>
          <w:szCs w:val="32"/>
        </w:rPr>
        <w:t>万元，完成</w:t>
      </w:r>
      <w:r>
        <w:rPr>
          <w:rFonts w:hint="eastAsia" w:ascii="仿宋_GB2312" w:hAnsi="仿宋_GB2312" w:eastAsia="仿宋_GB2312" w:cs="仿宋_GB2312"/>
          <w:sz w:val="32"/>
          <w:szCs w:val="32"/>
          <w:lang w:val="en-US" w:eastAsia="zh-CN"/>
        </w:rPr>
        <w:t>率100</w:t>
      </w:r>
      <w:r>
        <w:rPr>
          <w:rFonts w:ascii="仿宋_GB2312" w:hAnsi="仿宋_GB2312" w:eastAsia="仿宋_GB2312" w:cs="仿宋_GB2312"/>
          <w:sz w:val="32"/>
          <w:szCs w:val="32"/>
        </w:rPr>
        <w:t>%</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eastAsia="zh-CN"/>
        </w:rPr>
        <w:t>：竹木税收完成</w:t>
      </w:r>
      <w:r>
        <w:rPr>
          <w:rFonts w:hint="eastAsia" w:ascii="仿宋_GB2312" w:hAnsi="仿宋_GB2312" w:eastAsia="仿宋_GB2312" w:cs="仿宋_GB2312"/>
          <w:sz w:val="32"/>
          <w:szCs w:val="32"/>
          <w:lang w:val="en-US" w:eastAsia="zh-CN"/>
        </w:rPr>
        <w:t>2.75万元；</w:t>
      </w:r>
      <w:r>
        <w:rPr>
          <w:rFonts w:hint="eastAsia" w:ascii="仿宋_GB2312" w:hAnsi="仿宋_GB2312" w:eastAsia="仿宋_GB2312" w:cs="仿宋_GB2312"/>
          <w:sz w:val="32"/>
          <w:szCs w:val="32"/>
        </w:rPr>
        <w:t>其他税收完成</w:t>
      </w:r>
      <w:r>
        <w:rPr>
          <w:rFonts w:hint="eastAsia" w:ascii="仿宋_GB2312" w:hAnsi="仿宋_GB2312" w:eastAsia="仿宋_GB2312" w:cs="仿宋_GB2312"/>
          <w:sz w:val="32"/>
          <w:szCs w:val="32"/>
          <w:lang w:val="en-US" w:eastAsia="zh-CN"/>
        </w:rPr>
        <w:t>3833.75</w:t>
      </w:r>
      <w:r>
        <w:rPr>
          <w:rFonts w:hint="eastAsia" w:ascii="仿宋_GB2312" w:hAnsi="仿宋_GB2312" w:eastAsia="仿宋_GB2312" w:cs="仿宋_GB2312"/>
          <w:sz w:val="32"/>
          <w:szCs w:val="32"/>
        </w:rPr>
        <w:t>万元，耕地占用税</w:t>
      </w:r>
      <w:r>
        <w:rPr>
          <w:rFonts w:hint="eastAsia" w:ascii="仿宋_GB2312" w:hAnsi="仿宋_GB2312" w:eastAsia="仿宋_GB2312" w:cs="仿宋_GB2312"/>
          <w:sz w:val="32"/>
          <w:szCs w:val="32"/>
          <w:lang w:val="en-US" w:eastAsia="zh-CN"/>
        </w:rPr>
        <w:t>48</w:t>
      </w:r>
      <w:r>
        <w:rPr>
          <w:rFonts w:hint="eastAsia" w:ascii="仿宋_GB2312" w:hAnsi="仿宋_GB2312" w:eastAsia="仿宋_GB2312" w:cs="仿宋_GB2312"/>
          <w:sz w:val="32"/>
          <w:szCs w:val="32"/>
        </w:rPr>
        <w:t>万元</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综合</w:t>
      </w:r>
      <w:r>
        <w:rPr>
          <w:rFonts w:hint="eastAsia" w:ascii="仿宋_GB2312" w:hAnsi="仿宋_GB2312" w:eastAsia="仿宋_GB2312" w:cs="仿宋_GB2312"/>
          <w:sz w:val="32"/>
          <w:szCs w:val="32"/>
          <w:lang w:eastAsia="zh-CN"/>
        </w:rPr>
        <w:t>非税</w:t>
      </w:r>
      <w:r>
        <w:rPr>
          <w:rFonts w:hint="eastAsia" w:ascii="仿宋_GB2312" w:hAnsi="仿宋_GB2312" w:eastAsia="仿宋_GB2312" w:cs="仿宋_GB2312"/>
          <w:sz w:val="32"/>
          <w:szCs w:val="32"/>
        </w:rPr>
        <w:t>收入完成</w:t>
      </w: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万元。</w:t>
      </w:r>
    </w:p>
    <w:p w14:paraId="6650F606">
      <w:pPr>
        <w:keepNext w:val="0"/>
        <w:keepLines w:val="0"/>
        <w:pageBreakBefore w:val="0"/>
        <w:widowControl w:val="0"/>
        <w:numPr>
          <w:ilvl w:val="0"/>
          <w:numId w:val="2"/>
        </w:numPr>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000000"/>
          <w:sz w:val="32"/>
          <w:szCs w:val="32"/>
          <w:highlight w:val="none"/>
          <w:lang w:eastAsia="zh-CN"/>
        </w:rPr>
      </w:pPr>
      <w:r>
        <w:rPr>
          <w:rFonts w:hint="eastAsia" w:ascii="黑体" w:hAnsi="黑体" w:eastAsia="黑体" w:cs="黑体"/>
          <w:color w:val="000000"/>
          <w:sz w:val="32"/>
          <w:szCs w:val="32"/>
          <w:highlight w:val="none"/>
          <w:lang w:eastAsia="zh-CN"/>
        </w:rPr>
        <w:t>、党建工作成效</w:t>
      </w:r>
    </w:p>
    <w:p w14:paraId="7A48F47B">
      <w:pPr>
        <w:ind w:firstLine="643" w:firstLineChars="200"/>
        <w:rPr>
          <w:rFonts w:hint="eastAsia" w:ascii="华文仿宋" w:hAnsi="华文仿宋" w:eastAsia="华文仿宋" w:cs="华文仿宋"/>
          <w:sz w:val="32"/>
          <w:szCs w:val="32"/>
          <w:lang w:val="en-US" w:eastAsia="zh-CN"/>
        </w:rPr>
      </w:pPr>
      <w:r>
        <w:rPr>
          <w:rFonts w:hint="eastAsia" w:ascii="楷体" w:hAnsi="楷体" w:eastAsia="楷体" w:cs="楷体"/>
          <w:b/>
          <w:bCs/>
          <w:color w:val="auto"/>
          <w:sz w:val="32"/>
          <w:lang w:val="en-US" w:eastAsia="zh-CN"/>
        </w:rPr>
        <w:t>强化</w:t>
      </w:r>
      <w:r>
        <w:rPr>
          <w:rFonts w:hint="eastAsia" w:ascii="楷体" w:hAnsi="楷体" w:eastAsia="楷体" w:cs="楷体"/>
          <w:b/>
          <w:bCs/>
          <w:color w:val="auto"/>
          <w:sz w:val="32"/>
          <w:lang w:eastAsia="zh-CN"/>
        </w:rPr>
        <w:t>党建</w:t>
      </w:r>
      <w:r>
        <w:rPr>
          <w:rFonts w:hint="eastAsia" w:ascii="楷体" w:hAnsi="楷体" w:eastAsia="楷体" w:cs="楷体"/>
          <w:b/>
          <w:bCs/>
          <w:color w:val="auto"/>
          <w:sz w:val="32"/>
          <w:lang w:val="en-US" w:eastAsia="zh-CN"/>
        </w:rPr>
        <w:t>引领</w:t>
      </w:r>
      <w:r>
        <w:rPr>
          <w:rFonts w:hint="eastAsia" w:ascii="楷体" w:hAnsi="楷体" w:eastAsia="楷体" w:cs="楷体"/>
          <w:b/>
          <w:bCs/>
          <w:color w:val="auto"/>
          <w:sz w:val="32"/>
          <w:lang w:eastAsia="zh-CN"/>
        </w:rPr>
        <w:t>，推进</w:t>
      </w:r>
      <w:r>
        <w:rPr>
          <w:rFonts w:hint="eastAsia" w:ascii="楷体" w:hAnsi="楷体" w:eastAsia="楷体" w:cs="楷体"/>
          <w:b/>
          <w:bCs/>
          <w:color w:val="auto"/>
          <w:sz w:val="32"/>
          <w:lang w:val="en-US" w:eastAsia="zh-CN"/>
        </w:rPr>
        <w:t>基层</w:t>
      </w:r>
      <w:r>
        <w:rPr>
          <w:rFonts w:hint="eastAsia" w:ascii="楷体" w:hAnsi="楷体" w:eastAsia="楷体" w:cs="楷体"/>
          <w:b/>
          <w:bCs/>
          <w:color w:val="auto"/>
          <w:sz w:val="32"/>
          <w:lang w:eastAsia="zh-CN"/>
        </w:rPr>
        <w:t>组织建设。</w:t>
      </w:r>
      <w:r>
        <w:rPr>
          <w:rFonts w:hint="eastAsia" w:ascii="华文仿宋" w:hAnsi="华文仿宋" w:eastAsia="华文仿宋" w:cs="华文仿宋"/>
          <w:b/>
          <w:bCs/>
          <w:sz w:val="32"/>
          <w:szCs w:val="32"/>
          <w:lang w:val="en-US" w:eastAsia="zh-CN"/>
        </w:rPr>
        <w:t>一是</w:t>
      </w:r>
      <w:r>
        <w:rPr>
          <w:rFonts w:hint="eastAsia" w:ascii="华文仿宋" w:hAnsi="华文仿宋" w:eastAsia="华文仿宋" w:cs="华文仿宋"/>
          <w:sz w:val="32"/>
          <w:szCs w:val="32"/>
          <w:lang w:eastAsia="zh-CN"/>
        </w:rPr>
        <w:t>提升引领力，</w:t>
      </w:r>
      <w:r>
        <w:rPr>
          <w:rFonts w:hint="eastAsia" w:ascii="华文仿宋" w:hAnsi="华文仿宋" w:eastAsia="华文仿宋" w:cs="华文仿宋"/>
          <w:sz w:val="32"/>
          <w:szCs w:val="32"/>
        </w:rPr>
        <w:t>铸牢</w:t>
      </w:r>
      <w:r>
        <w:rPr>
          <w:rFonts w:hint="eastAsia" w:ascii="华文仿宋" w:hAnsi="华文仿宋" w:eastAsia="华文仿宋" w:cs="华文仿宋"/>
          <w:sz w:val="32"/>
          <w:szCs w:val="32"/>
          <w:lang w:eastAsia="zh-CN"/>
        </w:rPr>
        <w:t>党建“压舱石”。</w:t>
      </w:r>
      <w:r>
        <w:rPr>
          <w:rFonts w:hint="eastAsia" w:ascii="华文仿宋" w:hAnsi="华文仿宋" w:eastAsia="华文仿宋" w:cs="华文仿宋"/>
          <w:sz w:val="32"/>
          <w:szCs w:val="32"/>
        </w:rPr>
        <w:t>切实履行党建主体责任，深化责任目标清单指引，科学统筹党建工作，专题研究部署党建重点工作</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次。</w:t>
      </w:r>
      <w:r>
        <w:rPr>
          <w:rFonts w:hint="default" w:ascii="仿宋" w:hAnsi="仿宋" w:eastAsia="仿宋" w:cs="仿宋"/>
          <w:kern w:val="2"/>
          <w:sz w:val="32"/>
          <w:szCs w:val="32"/>
          <w:lang w:val="en-US" w:eastAsia="zh-CN" w:bidi="ar-SA"/>
        </w:rPr>
        <w:t>认真履行党委书记党建“第一责任人”职责，推动党委落实全面从严治党主体责任，带头并督促其他班子成员严格履行“一岗双责”，逐层传导、压实责任</w:t>
      </w:r>
      <w:r>
        <w:rPr>
          <w:rFonts w:hint="eastAsia" w:ascii="华文仿宋" w:hAnsi="华文仿宋" w:eastAsia="华文仿宋" w:cs="华文仿宋"/>
          <w:sz w:val="32"/>
          <w:szCs w:val="32"/>
        </w:rPr>
        <w:t>。</w:t>
      </w:r>
      <w:r>
        <w:rPr>
          <w:rFonts w:hint="eastAsia" w:ascii="华文仿宋" w:hAnsi="华文仿宋" w:eastAsia="华文仿宋" w:cs="华文仿宋"/>
          <w:b/>
          <w:bCs/>
          <w:sz w:val="32"/>
          <w:szCs w:val="32"/>
          <w:lang w:val="en-US" w:eastAsia="zh-CN"/>
        </w:rPr>
        <w:t>二是</w:t>
      </w:r>
      <w:r>
        <w:rPr>
          <w:rFonts w:hint="eastAsia" w:ascii="华文仿宋" w:hAnsi="华文仿宋" w:eastAsia="华文仿宋" w:cs="华文仿宋"/>
          <w:sz w:val="32"/>
          <w:szCs w:val="32"/>
        </w:rPr>
        <w:t>提升学习力，</w:t>
      </w:r>
      <w:r>
        <w:rPr>
          <w:rFonts w:hint="eastAsia" w:ascii="华文仿宋" w:hAnsi="华文仿宋" w:eastAsia="华文仿宋" w:cs="华文仿宋"/>
          <w:sz w:val="32"/>
          <w:szCs w:val="32"/>
          <w:lang w:eastAsia="zh-CN"/>
        </w:rPr>
        <w:t>激活党建创新源泉。</w:t>
      </w:r>
      <w:r>
        <w:rPr>
          <w:rFonts w:hint="eastAsia" w:ascii="华文仿宋" w:hAnsi="华文仿宋" w:eastAsia="华文仿宋" w:cs="华文仿宋"/>
          <w:sz w:val="32"/>
          <w:szCs w:val="32"/>
        </w:rPr>
        <w:t>认真落实“第一议题”、理论学习中心组学习等制度</w:t>
      </w:r>
      <w:r>
        <w:rPr>
          <w:rFonts w:hint="eastAsia" w:ascii="华文仿宋" w:hAnsi="华文仿宋" w:eastAsia="华文仿宋" w:cs="华文仿宋"/>
          <w:sz w:val="32"/>
          <w:szCs w:val="32"/>
          <w:lang w:eastAsia="zh-CN"/>
        </w:rPr>
        <w:t>。</w:t>
      </w:r>
      <w:r>
        <w:rPr>
          <w:rFonts w:hint="default" w:ascii="仿宋" w:hAnsi="仿宋" w:eastAsia="仿宋" w:cs="仿宋"/>
          <w:kern w:val="2"/>
          <w:sz w:val="32"/>
          <w:szCs w:val="32"/>
          <w:lang w:val="en-US" w:eastAsia="zh-CN" w:bidi="ar-SA"/>
        </w:rPr>
        <w:t>全年共组织党委理论学习中心组专题学习12次，</w:t>
      </w:r>
      <w:r>
        <w:rPr>
          <w:rFonts w:hint="eastAsia" w:ascii="仿宋" w:hAnsi="仿宋" w:eastAsia="仿宋" w:cs="仿宋"/>
          <w:b w:val="0"/>
          <w:sz w:val="32"/>
          <w:lang w:eastAsia="zh-CN"/>
        </w:rPr>
        <w:t>党委班子成员共上</w:t>
      </w:r>
      <w:r>
        <w:rPr>
          <w:rFonts w:hint="eastAsia" w:ascii="仿宋" w:hAnsi="仿宋" w:eastAsia="仿宋" w:cs="仿宋"/>
          <w:b w:val="0"/>
          <w:sz w:val="32"/>
          <w:lang w:val="en-US" w:eastAsia="zh-CN"/>
        </w:rPr>
        <w:t>纪律党课10次，党员上微党课712人次，</w:t>
      </w:r>
      <w:r>
        <w:rPr>
          <w:rFonts w:hint="eastAsia" w:ascii="仿宋" w:hAnsi="仿宋" w:eastAsia="仿宋" w:cs="仿宋"/>
          <w:sz w:val="32"/>
          <w:szCs w:val="32"/>
          <w:lang w:val="en-US" w:eastAsia="zh-CN"/>
        </w:rPr>
        <w:t>开展“周五大讲堂”42期，</w:t>
      </w:r>
      <w:r>
        <w:rPr>
          <w:rFonts w:hint="default" w:ascii="仿宋" w:hAnsi="仿宋" w:eastAsia="仿宋" w:cs="仿宋"/>
          <w:kern w:val="2"/>
          <w:sz w:val="32"/>
          <w:szCs w:val="32"/>
          <w:lang w:val="en-US" w:eastAsia="zh-CN" w:bidi="ar-SA"/>
        </w:rPr>
        <w:t>以上率下提升质效。</w:t>
      </w:r>
      <w:r>
        <w:rPr>
          <w:rFonts w:hint="eastAsia" w:ascii="华文仿宋" w:hAnsi="华文仿宋" w:eastAsia="华文仿宋" w:cs="华文仿宋"/>
          <w:b/>
          <w:bCs/>
          <w:sz w:val="32"/>
          <w:szCs w:val="32"/>
          <w:lang w:val="en-US" w:eastAsia="zh-CN"/>
        </w:rPr>
        <w:t>三是</w:t>
      </w:r>
      <w:r>
        <w:rPr>
          <w:rFonts w:hint="eastAsia" w:ascii="华文仿宋" w:hAnsi="华文仿宋" w:eastAsia="华文仿宋" w:cs="华文仿宋"/>
          <w:sz w:val="32"/>
          <w:szCs w:val="32"/>
        </w:rPr>
        <w:t>提升组织力，砥砺成锋强化队伍素质</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配齐配强党务干部，突出选用具备党务工作实践经验的人才，今年有</w:t>
      </w:r>
      <w:r>
        <w:rPr>
          <w:rFonts w:hint="eastAsia" w:ascii="华文仿宋" w:hAnsi="华文仿宋" w:eastAsia="华文仿宋" w:cs="华文仿宋"/>
          <w:sz w:val="32"/>
          <w:szCs w:val="32"/>
          <w:lang w:val="en-US" w:eastAsia="zh-CN"/>
        </w:rPr>
        <w:t>62</w:t>
      </w:r>
      <w:r>
        <w:rPr>
          <w:rFonts w:hint="eastAsia" w:ascii="华文仿宋" w:hAnsi="华文仿宋" w:eastAsia="华文仿宋" w:cs="华文仿宋"/>
          <w:sz w:val="32"/>
          <w:szCs w:val="32"/>
        </w:rPr>
        <w:t>位同志受到组织表彰。统筹干部考核和各类工作考核，将考核结果与干部选育管用结合起来，引导干部树立和践行正确政绩观，切实以班子建设带动队伍建设。严把党员“入口关”，规范发展党员工作程序，做到“成熟一个、发展一个”，今年新发展</w:t>
      </w:r>
      <w:r>
        <w:rPr>
          <w:rFonts w:hint="eastAsia" w:ascii="华文仿宋" w:hAnsi="华文仿宋" w:eastAsia="华文仿宋" w:cs="华文仿宋"/>
          <w:sz w:val="32"/>
          <w:szCs w:val="32"/>
          <w:lang w:val="en-US" w:eastAsia="zh-CN"/>
        </w:rPr>
        <w:t>8</w:t>
      </w:r>
      <w:r>
        <w:rPr>
          <w:rFonts w:hint="eastAsia" w:ascii="华文仿宋" w:hAnsi="华文仿宋" w:eastAsia="华文仿宋" w:cs="华文仿宋"/>
          <w:sz w:val="32"/>
          <w:szCs w:val="32"/>
        </w:rPr>
        <w:t>名入党积极分子和</w:t>
      </w:r>
      <w:r>
        <w:rPr>
          <w:rFonts w:hint="eastAsia" w:ascii="华文仿宋" w:hAnsi="华文仿宋" w:eastAsia="华文仿宋" w:cs="华文仿宋"/>
          <w:sz w:val="32"/>
          <w:szCs w:val="32"/>
          <w:lang w:val="en-US" w:eastAsia="zh-CN"/>
        </w:rPr>
        <w:t>6</w:t>
      </w:r>
      <w:r>
        <w:rPr>
          <w:rFonts w:hint="eastAsia" w:ascii="华文仿宋" w:hAnsi="华文仿宋" w:eastAsia="华文仿宋" w:cs="华文仿宋"/>
          <w:sz w:val="32"/>
          <w:szCs w:val="32"/>
        </w:rPr>
        <w:t>名预备党员，增强了党员队伍的生机与活力。与共建社区定期联系协商，</w:t>
      </w:r>
      <w:r>
        <w:rPr>
          <w:rFonts w:hint="eastAsia" w:ascii="华文仿宋" w:hAnsi="华文仿宋" w:eastAsia="华文仿宋" w:cs="华文仿宋"/>
          <w:sz w:val="32"/>
          <w:szCs w:val="32"/>
          <w:lang w:eastAsia="zh-CN"/>
        </w:rPr>
        <w:t>积极开展</w:t>
      </w:r>
      <w:r>
        <w:rPr>
          <w:rFonts w:hint="eastAsia" w:ascii="华文仿宋" w:hAnsi="华文仿宋" w:eastAsia="华文仿宋" w:cs="华文仿宋"/>
          <w:sz w:val="32"/>
          <w:szCs w:val="32"/>
          <w:lang w:val="en-US" w:eastAsia="zh-CN"/>
        </w:rPr>
        <w:t>环境整治、惠民政策宣传、关爱未成年人、妇女、老年人等重点群体志愿服务活动，</w:t>
      </w:r>
      <w:r>
        <w:rPr>
          <w:rFonts w:hint="eastAsia" w:ascii="华文仿宋" w:hAnsi="华文仿宋" w:eastAsia="华文仿宋" w:cs="华文仿宋"/>
          <w:sz w:val="32"/>
          <w:szCs w:val="32"/>
        </w:rPr>
        <w:t>共计</w:t>
      </w:r>
      <w:r>
        <w:rPr>
          <w:rFonts w:hint="eastAsia" w:ascii="华文仿宋" w:hAnsi="华文仿宋" w:eastAsia="华文仿宋" w:cs="华文仿宋"/>
          <w:sz w:val="32"/>
          <w:szCs w:val="32"/>
          <w:lang w:val="en-US" w:eastAsia="zh-CN"/>
        </w:rPr>
        <w:t>536</w:t>
      </w:r>
      <w:r>
        <w:rPr>
          <w:rFonts w:hint="eastAsia" w:ascii="华文仿宋" w:hAnsi="华文仿宋" w:eastAsia="华文仿宋" w:cs="华文仿宋"/>
          <w:sz w:val="32"/>
          <w:szCs w:val="32"/>
        </w:rPr>
        <w:t>名在职党员主动到居住地社区报到，为社区基层治理建言献策、贡献力量。</w:t>
      </w:r>
      <w:r>
        <w:rPr>
          <w:rFonts w:hint="eastAsia" w:ascii="华文仿宋" w:hAnsi="华文仿宋" w:eastAsia="华文仿宋" w:cs="华文仿宋"/>
          <w:b/>
          <w:bCs/>
          <w:sz w:val="32"/>
          <w:szCs w:val="32"/>
          <w:lang w:val="en-US" w:eastAsia="zh-CN"/>
        </w:rPr>
        <w:t>四是</w:t>
      </w:r>
      <w:r>
        <w:rPr>
          <w:rFonts w:hint="eastAsia" w:ascii="华文仿宋" w:hAnsi="华文仿宋" w:eastAsia="华文仿宋" w:cs="华文仿宋"/>
          <w:sz w:val="32"/>
          <w:szCs w:val="32"/>
        </w:rPr>
        <w:t>提升监督力，久久为功净化内部生态</w:t>
      </w:r>
      <w:r>
        <w:rPr>
          <w:rFonts w:hint="eastAsia" w:ascii="华文仿宋" w:hAnsi="华文仿宋" w:eastAsia="华文仿宋" w:cs="华文仿宋"/>
          <w:sz w:val="32"/>
          <w:szCs w:val="32"/>
          <w:lang w:eastAsia="zh-CN"/>
        </w:rPr>
        <w:t>。</w:t>
      </w:r>
      <w:r>
        <w:rPr>
          <w:rFonts w:hint="default" w:ascii="仿宋" w:hAnsi="仿宋" w:eastAsia="仿宋" w:cs="仿宋"/>
          <w:kern w:val="2"/>
          <w:sz w:val="32"/>
          <w:szCs w:val="32"/>
          <w:lang w:val="en-US" w:eastAsia="zh-CN" w:bidi="ar-SA"/>
        </w:rPr>
        <w:t>重抓党风廉政建设，强化廉洁教育，</w:t>
      </w:r>
      <w:r>
        <w:rPr>
          <w:rFonts w:hint="eastAsia" w:ascii="仿宋_GB2312" w:hAnsi="仿宋_GB2312" w:eastAsia="仿宋_GB2312" w:cs="仿宋_GB2312"/>
          <w:sz w:val="32"/>
          <w:szCs w:val="32"/>
          <w:lang w:val="en-US" w:eastAsia="zh-CN"/>
        </w:rPr>
        <w:t>常态化开展警示教育，传达学习典型案例通报，开展警示教育10余次，组织观看警示教育片，推动以案促改。于2024年6月28日</w:t>
      </w:r>
      <w:r>
        <w:rPr>
          <w:rFonts w:hint="eastAsia" w:ascii="仿宋" w:hAnsi="仿宋" w:eastAsia="仿宋" w:cs="仿宋"/>
          <w:b w:val="0"/>
          <w:bCs w:val="0"/>
          <w:snapToGrid w:val="0"/>
          <w:color w:val="auto"/>
          <w:spacing w:val="0"/>
          <w:kern w:val="0"/>
          <w:sz w:val="32"/>
          <w:szCs w:val="32"/>
          <w:u w:val="none" w:color="auto"/>
          <w:lang w:val="en-US" w:eastAsia="zh-CN"/>
        </w:rPr>
        <w:t>召开警示教育会，引导党员、干部常敲思想警钟、常紧纪律之弦、常存敬畏之心。</w:t>
      </w:r>
      <w:r>
        <w:rPr>
          <w:rFonts w:hint="eastAsia" w:ascii="仿宋_GB2312" w:hAnsi="仿宋_GB2312" w:eastAsia="仿宋_GB2312" w:cs="仿宋_GB2312"/>
          <w:sz w:val="32"/>
          <w:szCs w:val="32"/>
          <w:lang w:val="en-US" w:eastAsia="zh-CN"/>
        </w:rPr>
        <w:t>各基层党支部书记各上纪律党课2次，观看警示教育片7部，进一步强化纪律规矩意识。</w:t>
      </w:r>
      <w:r>
        <w:rPr>
          <w:rFonts w:hint="eastAsia" w:ascii="仿宋_GB2312" w:hAnsi="仿宋_GB2312" w:eastAsia="仿宋_GB2312" w:cs="仿宋_GB2312"/>
          <w:sz w:val="32"/>
          <w:szCs w:val="32"/>
        </w:rPr>
        <w:t>今年以来，</w:t>
      </w:r>
      <w:r>
        <w:rPr>
          <w:rFonts w:hint="eastAsia" w:ascii="仿宋_GB2312" w:hAnsi="仿宋_GB2312" w:eastAsia="仿宋_GB2312" w:cs="仿宋_GB2312"/>
          <w:sz w:val="32"/>
          <w:szCs w:val="32"/>
          <w:lang w:eastAsia="zh-CN"/>
        </w:rPr>
        <w:t>我</w:t>
      </w:r>
      <w:r>
        <w:rPr>
          <w:rFonts w:hint="eastAsia" w:ascii="仿宋_GB2312" w:hAnsi="仿宋_GB2312" w:eastAsia="仿宋_GB2312" w:cs="仿宋_GB2312"/>
          <w:sz w:val="32"/>
          <w:szCs w:val="32"/>
        </w:rPr>
        <w:t>镇纪委共受理上级转交办和群众举报</w:t>
      </w:r>
      <w:r>
        <w:rPr>
          <w:rFonts w:hint="eastAsia" w:ascii="仿宋_GB2312" w:hAnsi="仿宋_GB2312" w:eastAsia="仿宋_GB2312" w:cs="仿宋_GB2312"/>
          <w:sz w:val="32"/>
          <w:szCs w:val="32"/>
          <w:lang w:eastAsia="zh-CN"/>
        </w:rPr>
        <w:t>、监督检查中发现案件</w:t>
      </w:r>
      <w:r>
        <w:rPr>
          <w:rFonts w:hint="eastAsia" w:ascii="仿宋_GB2312" w:hAnsi="仿宋_GB2312" w:eastAsia="仿宋_GB2312" w:cs="仿宋_GB2312"/>
          <w:sz w:val="32"/>
          <w:szCs w:val="32"/>
          <w:lang w:val="en-US" w:eastAsia="zh-CN"/>
        </w:rPr>
        <w:t>17</w:t>
      </w:r>
      <w:r>
        <w:rPr>
          <w:rFonts w:hint="eastAsia" w:ascii="仿宋_GB2312" w:hAnsi="仿宋_GB2312" w:eastAsia="仿宋_GB2312" w:cs="仿宋_GB2312"/>
          <w:sz w:val="32"/>
          <w:szCs w:val="32"/>
        </w:rPr>
        <w:t>件，立案调查</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起，给予党纪政纪处分</w:t>
      </w:r>
      <w:r>
        <w:rPr>
          <w:rFonts w:hint="eastAsia" w:ascii="仿宋_GB2312" w:hAnsi="仿宋_GB2312" w:eastAsia="仿宋_GB2312" w:cs="仿宋_GB2312"/>
          <w:sz w:val="32"/>
          <w:szCs w:val="32"/>
          <w:lang w:val="en-US" w:eastAsia="zh-CN"/>
        </w:rPr>
        <w:t>14</w:t>
      </w:r>
      <w:r>
        <w:rPr>
          <w:rFonts w:hint="eastAsia" w:ascii="仿宋_GB2312" w:hAnsi="仿宋_GB2312" w:eastAsia="仿宋_GB2312" w:cs="仿宋_GB2312"/>
          <w:sz w:val="32"/>
          <w:szCs w:val="32"/>
        </w:rPr>
        <w:t>人，其中党内警告</w:t>
      </w: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人，严重警告</w:t>
      </w: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人</w:t>
      </w:r>
      <w:r>
        <w:rPr>
          <w:rFonts w:hint="eastAsia" w:ascii="仿宋_GB2312" w:hAnsi="仿宋_GB2312" w:eastAsia="仿宋_GB2312" w:cs="仿宋_GB2312"/>
          <w:sz w:val="32"/>
          <w:szCs w:val="32"/>
          <w:lang w:eastAsia="zh-CN"/>
        </w:rPr>
        <w:t>，政务警告</w:t>
      </w:r>
      <w:r>
        <w:rPr>
          <w:rFonts w:hint="eastAsia" w:ascii="仿宋_GB2312" w:hAnsi="仿宋_GB2312" w:eastAsia="仿宋_GB2312" w:cs="仿宋_GB2312"/>
          <w:sz w:val="32"/>
          <w:szCs w:val="32"/>
          <w:lang w:val="en-US" w:eastAsia="zh-CN"/>
        </w:rPr>
        <w:t>3人</w:t>
      </w:r>
      <w:r>
        <w:rPr>
          <w:rFonts w:hint="eastAsia" w:ascii="仿宋_GB2312" w:hAnsi="仿宋_GB2312" w:eastAsia="仿宋_GB2312" w:cs="仿宋_GB2312"/>
          <w:sz w:val="32"/>
          <w:szCs w:val="32"/>
        </w:rPr>
        <w:t>。第一形态责令检查</w:t>
      </w:r>
      <w:r>
        <w:rPr>
          <w:rFonts w:hint="eastAsia" w:ascii="仿宋_GB2312" w:hAnsi="仿宋_GB2312" w:eastAsia="仿宋_GB2312" w:cs="仿宋_GB2312"/>
          <w:sz w:val="32"/>
          <w:szCs w:val="32"/>
          <w:lang w:val="en-US" w:eastAsia="zh-CN"/>
        </w:rPr>
        <w:t>11人，提醒谈话3人，诫勉谈话1人。</w:t>
      </w:r>
      <w:r>
        <w:rPr>
          <w:rFonts w:hint="eastAsia" w:ascii="仿宋_GB2312" w:hAnsi="仿宋_GB2312" w:eastAsia="仿宋_GB2312" w:cs="仿宋_GB2312"/>
          <w:sz w:val="32"/>
          <w:szCs w:val="32"/>
        </w:rPr>
        <w:t>通过严肃查办案件，有效震慑违纪违法行为，维护党纪国法的严肃性。</w:t>
      </w:r>
      <w:r>
        <w:rPr>
          <w:rFonts w:hint="eastAsia" w:ascii="仿宋_GB2312" w:hAnsi="仿宋_GB2312" w:eastAsia="仿宋_GB2312" w:cs="仿宋_GB2312"/>
          <w:b/>
          <w:bCs/>
          <w:sz w:val="32"/>
          <w:szCs w:val="32"/>
          <w:lang w:val="en-US" w:eastAsia="zh-CN"/>
        </w:rPr>
        <w:t>五是</w:t>
      </w:r>
      <w:r>
        <w:rPr>
          <w:rFonts w:hint="default" w:ascii="仿宋" w:hAnsi="仿宋" w:eastAsia="仿宋" w:cs="仿宋"/>
          <w:kern w:val="2"/>
          <w:sz w:val="32"/>
          <w:szCs w:val="32"/>
          <w:lang w:val="en-US" w:eastAsia="zh-CN" w:bidi="ar-SA"/>
        </w:rPr>
        <w:t>加强意识形态管控，</w:t>
      </w:r>
      <w:r>
        <w:rPr>
          <w:rFonts w:hint="eastAsia" w:ascii="仿宋" w:hAnsi="仿宋" w:eastAsia="仿宋" w:cs="仿宋"/>
          <w:sz w:val="32"/>
          <w:szCs w:val="32"/>
          <w:lang w:val="en-US" w:eastAsia="zh-CN"/>
        </w:rPr>
        <w:t>专题研究意识形态工作2次，每季度对意识形态领域工作进行综合分析研判，</w:t>
      </w:r>
      <w:r>
        <w:rPr>
          <w:rFonts w:hint="default" w:ascii="仿宋" w:hAnsi="仿宋" w:eastAsia="仿宋" w:cs="仿宋"/>
          <w:kern w:val="2"/>
          <w:sz w:val="32"/>
          <w:szCs w:val="32"/>
          <w:lang w:val="en-US" w:eastAsia="zh-CN" w:bidi="ar-SA"/>
        </w:rPr>
        <w:t>牵头制定专项清单，推动措施落实到位</w:t>
      </w:r>
      <w:r>
        <w:rPr>
          <w:rFonts w:hint="eastAsia" w:ascii="华文仿宋" w:hAnsi="华文仿宋" w:eastAsia="华文仿宋" w:cs="华文仿宋"/>
          <w:sz w:val="32"/>
          <w:szCs w:val="32"/>
        </w:rPr>
        <w:t>。坚持把意识形态工作情况纳入领导班子述职述廉、民主生活会对照检查等内容，切实担负起政治责任。守牢意识形态阵地，加强党员网上活动管理，严格规范党员网络言行。</w:t>
      </w:r>
      <w:r>
        <w:rPr>
          <w:rFonts w:hint="eastAsia" w:ascii="华文仿宋" w:hAnsi="华文仿宋" w:eastAsia="华文仿宋" w:cs="华文仿宋"/>
          <w:b/>
          <w:bCs/>
          <w:sz w:val="32"/>
          <w:szCs w:val="32"/>
          <w:lang w:val="en-US" w:eastAsia="zh-CN"/>
        </w:rPr>
        <w:t>六是</w:t>
      </w:r>
      <w:r>
        <w:rPr>
          <w:rFonts w:hint="eastAsia" w:ascii="华文仿宋" w:hAnsi="华文仿宋" w:eastAsia="华文仿宋" w:cs="华文仿宋"/>
          <w:sz w:val="32"/>
          <w:szCs w:val="32"/>
        </w:rPr>
        <w:t>提升战斗力，笃行实干彰显先锋力量</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rPr>
        <w:t>深化党</w:t>
      </w:r>
      <w:r>
        <w:rPr>
          <w:rFonts w:hint="eastAsia" w:ascii="华文仿宋" w:hAnsi="华文仿宋" w:eastAsia="华文仿宋" w:cs="华文仿宋"/>
          <w:sz w:val="32"/>
          <w:szCs w:val="32"/>
          <w:lang w:eastAsia="zh-CN"/>
        </w:rPr>
        <w:t>群</w:t>
      </w:r>
      <w:r>
        <w:rPr>
          <w:rFonts w:hint="eastAsia" w:ascii="华文仿宋" w:hAnsi="华文仿宋" w:eastAsia="华文仿宋" w:cs="华文仿宋"/>
          <w:sz w:val="32"/>
          <w:szCs w:val="32"/>
        </w:rPr>
        <w:t>融合</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引导党员在基层治理中打头阵、当先锋，在8个小区党支部全面实施《小区党支部党员积分激励办法》，将小区居住的党员全部纳入积分激励范围，对党员在联系服务群众、参与小区治理、参加志愿服务等方面情况进行量化积分，定期开展积分兑换，鼓励党员参选业委会成员，推选党员担任邻长、栋长，引导党员带头参与小区治理、积极投身小区公益，逐步实现“组织在小区建立、资源在小区集聚、服务在小区拓展、问题在小区化解”。</w:t>
      </w:r>
    </w:p>
    <w:p w14:paraId="1DB4667D">
      <w:pPr>
        <w:keepNext w:val="0"/>
        <w:keepLines w:val="0"/>
        <w:pageBreakBefore w:val="0"/>
        <w:numPr>
          <w:ilvl w:val="0"/>
          <w:numId w:val="0"/>
        </w:numPr>
        <w:kinsoku/>
        <w:wordWrap/>
        <w:overflowPunct/>
        <w:topLinePunct w:val="0"/>
        <w:autoSpaceDE/>
        <w:autoSpaceDN/>
        <w:bidi w:val="0"/>
        <w:adjustRightInd/>
        <w:snapToGrid/>
        <w:spacing w:line="560" w:lineRule="exact"/>
        <w:ind w:left="640" w:leftChars="0"/>
        <w:textAlignment w:val="auto"/>
        <w:rPr>
          <w:rFonts w:ascii="仿宋_GB2312" w:eastAsia="仿宋_GB2312"/>
          <w:sz w:val="32"/>
          <w:szCs w:val="32"/>
        </w:rPr>
      </w:pPr>
      <w:r>
        <w:rPr>
          <w:rFonts w:hint="default" w:ascii="仿宋_GB2312" w:eastAsia="仿宋_GB2312"/>
          <w:b/>
          <w:sz w:val="32"/>
          <w:szCs w:val="32"/>
          <w:lang w:eastAsia="zh-CN"/>
        </w:rPr>
        <w:t>（三）</w:t>
      </w:r>
      <w:r>
        <w:rPr>
          <w:rFonts w:hint="eastAsia" w:ascii="仿宋_GB2312" w:eastAsia="仿宋_GB2312"/>
          <w:b/>
          <w:sz w:val="32"/>
          <w:szCs w:val="32"/>
          <w:lang w:eastAsia="zh-CN"/>
        </w:rPr>
        <w:t>紧锣密鼓抓项目。</w:t>
      </w:r>
    </w:p>
    <w:p w14:paraId="0EF7229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eastAsia="等线"/>
          <w:lang w:val="en-US" w:eastAsia="zh-CN"/>
        </w:rPr>
      </w:pPr>
      <w:r>
        <w:rPr>
          <w:rFonts w:hint="eastAsia" w:ascii="楷体_GB2312" w:eastAsia="楷体_GB2312"/>
          <w:b/>
          <w:bCs/>
          <w:color w:val="auto"/>
          <w:sz w:val="32"/>
          <w:highlight w:val="none"/>
          <w:lang w:val="en-US" w:eastAsia="zh-CN"/>
        </w:rPr>
        <w:t>一是</w:t>
      </w:r>
      <w:r>
        <w:rPr>
          <w:rFonts w:hint="eastAsia" w:ascii="仿宋" w:hAnsi="仿宋" w:eastAsia="仿宋" w:cs="仿宋"/>
          <w:color w:val="000000"/>
          <w:sz w:val="32"/>
          <w:szCs w:val="32"/>
        </w:rPr>
        <w:t>牢牢树立大抓项目建设推动全镇经济高质量发展的鲜明导向，进一步拉高工作标杆，牢牢把握关键具体环节，有序推进重点项目建设。组建工作专班，实行分组包干制，集中力量、明确责任、限定时限，及时掌握征拆户各种信息、问题及思想动态，定期组织召开研判会分析，针对问题提出切实可行的建议，并经常以入户或者约见的方式，与征拆户商谈，履行好主战场主力军的职责，打好主动仗。</w:t>
      </w:r>
      <w:r>
        <w:rPr>
          <w:rFonts w:hint="eastAsia" w:ascii="仿宋" w:hAnsi="仿宋" w:eastAsia="仿宋" w:cs="仿宋"/>
          <w:b/>
          <w:bCs/>
          <w:color w:val="000000"/>
          <w:sz w:val="32"/>
          <w:szCs w:val="32"/>
          <w:lang w:val="en-US" w:eastAsia="zh-CN"/>
        </w:rPr>
        <w:t>二是</w:t>
      </w:r>
      <w:r>
        <w:rPr>
          <w:rFonts w:hint="eastAsia" w:ascii="仿宋" w:hAnsi="仿宋" w:eastAsia="仿宋" w:cs="仿宋"/>
          <w:color w:val="000000"/>
          <w:sz w:val="32"/>
          <w:szCs w:val="32"/>
        </w:rPr>
        <w:t>攻坚克难，稳步推进</w:t>
      </w:r>
      <w:r>
        <w:rPr>
          <w:rFonts w:hint="eastAsia" w:ascii="仿宋" w:hAnsi="仿宋" w:eastAsia="仿宋" w:cs="仿宋"/>
          <w:color w:val="000000"/>
          <w:sz w:val="32"/>
          <w:szCs w:val="32"/>
          <w:lang w:val="en-US" w:eastAsia="zh-CN"/>
        </w:rPr>
        <w:t>重点项目建设</w:t>
      </w:r>
      <w:r>
        <w:rPr>
          <w:rFonts w:hint="eastAsia" w:ascii="仿宋" w:hAnsi="仿宋" w:eastAsia="仿宋" w:cs="仿宋"/>
          <w:color w:val="000000"/>
          <w:sz w:val="32"/>
          <w:szCs w:val="32"/>
        </w:rPr>
        <w:t>。</w:t>
      </w:r>
      <w:r>
        <w:rPr>
          <w:rFonts w:hint="eastAsia" w:ascii="仿宋" w:hAnsi="仿宋" w:eastAsia="仿宋" w:cs="仿宋"/>
          <w:color w:val="000000"/>
          <w:sz w:val="32"/>
          <w:szCs w:val="32"/>
          <w:lang w:val="en-US" w:eastAsia="zh-CN"/>
        </w:rPr>
        <w:t>通过</w:t>
      </w:r>
      <w:r>
        <w:rPr>
          <w:rFonts w:hint="eastAsia" w:ascii="仿宋" w:hAnsi="仿宋" w:eastAsia="仿宋" w:cs="仿宋"/>
          <w:color w:val="000000"/>
          <w:sz w:val="32"/>
          <w:szCs w:val="32"/>
        </w:rPr>
        <w:t>不厌其烦上门上户做工作、讲政策，采取签一户、腾一户、倒一户的办法，加快腾空倒房，影响带动未签约户签约。</w:t>
      </w:r>
      <w:r>
        <w:rPr>
          <w:rFonts w:hint="eastAsia" w:ascii="仿宋" w:hAnsi="仿宋" w:eastAsia="仿宋" w:cs="仿宋"/>
          <w:color w:val="000000"/>
          <w:sz w:val="32"/>
          <w:szCs w:val="32"/>
          <w:lang w:val="en-US" w:eastAsia="zh-CN"/>
        </w:rPr>
        <w:t>2024年</w:t>
      </w:r>
      <w:r>
        <w:rPr>
          <w:rFonts w:hint="eastAsia" w:ascii="华文仿宋" w:hAnsi="华文仿宋" w:eastAsia="华文仿宋" w:cs="华文仿宋"/>
          <w:sz w:val="32"/>
          <w:szCs w:val="32"/>
          <w:lang w:eastAsia="zh-CN" w:bidi="ar-SA"/>
        </w:rPr>
        <w:t>完成了邓三妹房屋的倒房及信访矛盾的处理；完成了长坪公路刘子燕等</w:t>
      </w:r>
      <w:r>
        <w:rPr>
          <w:rFonts w:hint="eastAsia" w:ascii="华文仿宋" w:hAnsi="华文仿宋" w:eastAsia="华文仿宋" w:cs="华文仿宋"/>
          <w:sz w:val="32"/>
          <w:szCs w:val="32"/>
          <w:lang w:val="en-US" w:eastAsia="zh-CN" w:bidi="ar-SA"/>
        </w:rPr>
        <w:t>4户签约倒房工作；完成香料厂48户的签约倒房工作。</w:t>
      </w:r>
    </w:p>
    <w:p w14:paraId="5581AED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sz w:val="32"/>
          <w:szCs w:val="32"/>
          <w:highlight w:val="none"/>
          <w:lang w:eastAsia="zh-CN"/>
        </w:rPr>
      </w:pPr>
      <w:r>
        <w:rPr>
          <w:rFonts w:hint="default" w:ascii="仿宋_GB2312" w:eastAsia="仿宋_GB2312"/>
          <w:b/>
          <w:sz w:val="32"/>
          <w:szCs w:val="32"/>
          <w:highlight w:val="none"/>
        </w:rPr>
        <w:t>（</w:t>
      </w:r>
      <w:r>
        <w:rPr>
          <w:rFonts w:hint="default" w:ascii="仿宋_GB2312" w:eastAsia="仿宋_GB2312" w:cs="Times New Roman"/>
          <w:b/>
          <w:sz w:val="32"/>
          <w:szCs w:val="32"/>
          <w:highlight w:val="none"/>
        </w:rPr>
        <w:t>四）</w:t>
      </w:r>
      <w:r>
        <w:rPr>
          <w:rFonts w:hint="eastAsia" w:ascii="仿宋_GB2312" w:eastAsia="仿宋_GB2312" w:cs="Times New Roman"/>
          <w:b/>
          <w:sz w:val="32"/>
          <w:szCs w:val="32"/>
          <w:highlight w:val="none"/>
        </w:rPr>
        <w:t>巩固成果抓</w:t>
      </w:r>
      <w:r>
        <w:rPr>
          <w:rFonts w:hint="eastAsia" w:ascii="仿宋_GB2312" w:eastAsia="仿宋_GB2312" w:cs="Times New Roman"/>
          <w:b/>
          <w:sz w:val="32"/>
          <w:szCs w:val="32"/>
          <w:highlight w:val="none"/>
          <w:lang w:eastAsia="zh-CN"/>
        </w:rPr>
        <w:t>创建</w:t>
      </w:r>
    </w:p>
    <w:p w14:paraId="2B6625F2">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560" w:lineRule="exact"/>
        <w:ind w:left="0" w:right="0" w:firstLine="643" w:firstLineChars="200"/>
        <w:jc w:val="both"/>
        <w:textAlignment w:val="auto"/>
        <w:rPr>
          <w:rFonts w:hint="eastAsia" w:ascii="仿宋_GB2312" w:eastAsia="仿宋_GB2312"/>
          <w:color w:val="auto"/>
          <w:sz w:val="32"/>
        </w:rPr>
      </w:pPr>
      <w:r>
        <w:rPr>
          <w:rFonts w:hint="eastAsia" w:ascii="楷体" w:hAnsi="楷体" w:eastAsia="楷体" w:cs="楷体"/>
          <w:b/>
          <w:bCs/>
          <w:color w:val="auto"/>
          <w:kern w:val="2"/>
          <w:sz w:val="32"/>
          <w:szCs w:val="22"/>
          <w:lang w:val="en-US" w:eastAsia="zh-CN" w:bidi="ar-SA"/>
        </w:rPr>
        <w:t>围绕城市更新，</w:t>
      </w:r>
      <w:r>
        <w:rPr>
          <w:rFonts w:hint="eastAsia" w:ascii="楷体" w:hAnsi="楷体" w:eastAsia="楷体" w:cs="楷体"/>
          <w:b/>
          <w:bCs/>
          <w:color w:val="auto"/>
          <w:kern w:val="2"/>
          <w:sz w:val="32"/>
          <w:szCs w:val="22"/>
          <w:lang w:val="zh-CN" w:eastAsia="zh-CN" w:bidi="ar-SA"/>
        </w:rPr>
        <w:t>推进美丽</w:t>
      </w:r>
      <w:r>
        <w:rPr>
          <w:rFonts w:hint="eastAsia" w:ascii="楷体" w:hAnsi="楷体" w:eastAsia="楷体" w:cs="楷体"/>
          <w:b/>
          <w:bCs/>
          <w:color w:val="auto"/>
          <w:kern w:val="2"/>
          <w:sz w:val="32"/>
          <w:szCs w:val="22"/>
          <w:lang w:val="en-US" w:eastAsia="zh-CN" w:bidi="ar-SA"/>
        </w:rPr>
        <w:t>长铺</w:t>
      </w:r>
      <w:r>
        <w:rPr>
          <w:rFonts w:hint="eastAsia" w:ascii="楷体" w:hAnsi="楷体" w:eastAsia="楷体" w:cs="楷体"/>
          <w:b/>
          <w:bCs/>
          <w:color w:val="auto"/>
          <w:kern w:val="2"/>
          <w:sz w:val="32"/>
          <w:szCs w:val="22"/>
          <w:lang w:val="zh-CN" w:eastAsia="zh-CN" w:bidi="ar-SA"/>
        </w:rPr>
        <w:t>建设。</w:t>
      </w:r>
      <w:r>
        <w:rPr>
          <w:rFonts w:hint="eastAsia" w:ascii="仿宋" w:hAnsi="仿宋" w:eastAsia="仿宋" w:cs="仿宋"/>
          <w:b/>
          <w:bCs/>
          <w:sz w:val="32"/>
          <w:szCs w:val="32"/>
        </w:rPr>
        <w:t>一是</w:t>
      </w:r>
      <w:r>
        <w:rPr>
          <w:rFonts w:hint="eastAsia" w:ascii="仿宋" w:hAnsi="仿宋" w:eastAsia="仿宋" w:cs="仿宋"/>
          <w:sz w:val="32"/>
          <w:szCs w:val="32"/>
        </w:rPr>
        <w:t>开展专项整治活动。</w:t>
      </w:r>
      <w:r>
        <w:rPr>
          <w:rFonts w:hint="eastAsia" w:ascii="仿宋" w:hAnsi="仿宋" w:eastAsia="仿宋" w:cs="仿宋"/>
          <w:sz w:val="32"/>
          <w:szCs w:val="32"/>
          <w:lang w:val="en-US" w:eastAsia="zh-CN"/>
        </w:rPr>
        <w:t>2024年</w:t>
      </w:r>
      <w:r>
        <w:rPr>
          <w:rFonts w:hint="eastAsia" w:ascii="仿宋" w:hAnsi="仿宋" w:eastAsia="仿宋" w:cs="仿宋"/>
          <w:sz w:val="32"/>
          <w:szCs w:val="32"/>
        </w:rPr>
        <w:t>，先后开展了春节前县城卫生整治行动、清理“牛皮癣”专项行动、春节期间环境卫生大保洁行动、汛期河边游步道卫生整治、河道卫生大保洁行动、菜地整治，清理铲除菜地杂草</w:t>
      </w:r>
      <w:r>
        <w:rPr>
          <w:rFonts w:hint="eastAsia" w:ascii="仿宋" w:hAnsi="仿宋" w:eastAsia="仿宋" w:cs="仿宋"/>
          <w:sz w:val="32"/>
          <w:szCs w:val="32"/>
          <w:lang w:val="en-US" w:eastAsia="zh-CN"/>
        </w:rPr>
        <w:t>2600</w:t>
      </w:r>
      <w:r>
        <w:rPr>
          <w:rFonts w:hint="eastAsia" w:ascii="仿宋" w:hAnsi="仿宋" w:eastAsia="仿宋" w:cs="仿宋"/>
          <w:sz w:val="32"/>
          <w:szCs w:val="32"/>
        </w:rPr>
        <w:t>余平方米，对城区散养家禽家畜进行依法依规限期处理、取缔家禽213只，家畜9只；清除整治乱堆乱放乱搭乱建1654平方米、卫生死角80</w:t>
      </w:r>
      <w:r>
        <w:rPr>
          <w:rFonts w:hint="eastAsia" w:ascii="仿宋" w:hAnsi="仿宋" w:eastAsia="仿宋" w:cs="仿宋"/>
          <w:sz w:val="32"/>
          <w:szCs w:val="32"/>
          <w:lang w:val="en-US" w:eastAsia="zh-CN"/>
        </w:rPr>
        <w:t>0余</w:t>
      </w:r>
      <w:r>
        <w:rPr>
          <w:rFonts w:hint="eastAsia" w:ascii="仿宋" w:hAnsi="仿宋" w:eastAsia="仿宋" w:cs="仿宋"/>
          <w:sz w:val="32"/>
          <w:szCs w:val="32"/>
        </w:rPr>
        <w:t>处、户外匾牌广告牛皮癣</w:t>
      </w:r>
      <w:r>
        <w:rPr>
          <w:rFonts w:hint="eastAsia" w:ascii="仿宋" w:hAnsi="仿宋" w:eastAsia="仿宋" w:cs="仿宋"/>
          <w:sz w:val="32"/>
          <w:szCs w:val="32"/>
          <w:lang w:val="en-US" w:eastAsia="zh-CN"/>
        </w:rPr>
        <w:t>3068平方米</w:t>
      </w:r>
      <w:r>
        <w:rPr>
          <w:rFonts w:hint="eastAsia" w:ascii="仿宋" w:hAnsi="仿宋" w:eastAsia="仿宋" w:cs="仿宋"/>
          <w:sz w:val="32"/>
          <w:szCs w:val="32"/>
        </w:rPr>
        <w:t>。</w:t>
      </w:r>
      <w:r>
        <w:rPr>
          <w:rFonts w:hint="eastAsia" w:ascii="仿宋" w:hAnsi="仿宋" w:eastAsia="仿宋" w:cs="仿宋"/>
          <w:sz w:val="32"/>
          <w:szCs w:val="32"/>
          <w:lang w:val="en-US" w:eastAsia="zh-CN"/>
        </w:rPr>
        <w:t>二</w:t>
      </w:r>
      <w:r>
        <w:rPr>
          <w:rFonts w:hint="eastAsia" w:ascii="仿宋" w:hAnsi="仿宋" w:eastAsia="仿宋" w:cs="仿宋"/>
          <w:b/>
          <w:bCs/>
          <w:sz w:val="32"/>
          <w:szCs w:val="32"/>
        </w:rPr>
        <w:t>是</w:t>
      </w:r>
      <w:r>
        <w:rPr>
          <w:rFonts w:hint="eastAsia" w:ascii="仿宋" w:hAnsi="仿宋" w:eastAsia="仿宋" w:cs="仿宋"/>
          <w:sz w:val="32"/>
          <w:szCs w:val="32"/>
        </w:rPr>
        <w:t>做好市政基础设施建设</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共</w:t>
      </w:r>
      <w:r>
        <w:rPr>
          <w:rFonts w:hint="eastAsia" w:ascii="仿宋" w:hAnsi="仿宋" w:eastAsia="仿宋" w:cs="仿宋"/>
          <w:sz w:val="32"/>
          <w:szCs w:val="32"/>
        </w:rPr>
        <w:t>完成9个市政基础设施建设项目，</w:t>
      </w:r>
      <w:r>
        <w:rPr>
          <w:rFonts w:hint="eastAsia" w:ascii="仿宋" w:hAnsi="仿宋" w:eastAsia="仿宋" w:cs="仿宋"/>
          <w:sz w:val="32"/>
          <w:szCs w:val="32"/>
          <w:lang w:val="en-US" w:eastAsia="zh-CN"/>
        </w:rPr>
        <w:t>验收结算金额约146.42万元。硬化地面6处，绿化4处，消除安全隐患边坡治理2处，大大改善居民人家环境，得到居民的一致好评。</w:t>
      </w:r>
      <w:r>
        <w:rPr>
          <w:rFonts w:hint="eastAsia" w:ascii="仿宋" w:hAnsi="仿宋" w:eastAsia="仿宋" w:cs="仿宋"/>
          <w:b/>
          <w:bCs/>
          <w:sz w:val="32"/>
          <w:szCs w:val="32"/>
          <w:lang w:val="en-US" w:eastAsia="zh-CN"/>
        </w:rPr>
        <w:t>三</w:t>
      </w:r>
      <w:r>
        <w:rPr>
          <w:rFonts w:hint="eastAsia" w:ascii="仿宋" w:hAnsi="仿宋" w:eastAsia="仿宋" w:cs="仿宋"/>
          <w:b/>
          <w:bCs/>
          <w:sz w:val="32"/>
          <w:szCs w:val="32"/>
        </w:rPr>
        <w:t>是</w:t>
      </w:r>
      <w:r>
        <w:rPr>
          <w:rFonts w:hint="default" w:ascii="仿宋" w:hAnsi="仿宋" w:eastAsia="仿宋" w:cs="仿宋"/>
          <w:i w:val="0"/>
          <w:iCs w:val="0"/>
          <w:caps w:val="0"/>
          <w:color w:val="auto"/>
          <w:spacing w:val="0"/>
          <w:sz w:val="32"/>
          <w:szCs w:val="32"/>
          <w:lang w:val="zh-CN" w:eastAsia="zh-CN"/>
        </w:rPr>
        <w:t>传播文明</w:t>
      </w:r>
      <w:r>
        <w:rPr>
          <w:rFonts w:hint="eastAsia" w:ascii="仿宋" w:hAnsi="仿宋" w:eastAsia="仿宋" w:cs="仿宋"/>
          <w:i w:val="0"/>
          <w:iCs w:val="0"/>
          <w:caps w:val="0"/>
          <w:color w:val="auto"/>
          <w:spacing w:val="0"/>
          <w:sz w:val="32"/>
          <w:szCs w:val="32"/>
          <w:lang w:val="zh-CN" w:eastAsia="zh-CN"/>
        </w:rPr>
        <w:t>，</w:t>
      </w:r>
      <w:r>
        <w:rPr>
          <w:rFonts w:hint="default" w:ascii="仿宋" w:hAnsi="仿宋" w:eastAsia="仿宋" w:cs="仿宋"/>
          <w:i w:val="0"/>
          <w:iCs w:val="0"/>
          <w:caps w:val="0"/>
          <w:color w:val="auto"/>
          <w:spacing w:val="0"/>
          <w:sz w:val="32"/>
          <w:szCs w:val="32"/>
          <w:lang w:val="zh-CN" w:eastAsia="zh-CN"/>
        </w:rPr>
        <w:t>提升文明素养</w:t>
      </w:r>
      <w:r>
        <w:rPr>
          <w:rFonts w:hint="eastAsia" w:ascii="仿宋" w:hAnsi="仿宋" w:eastAsia="仿宋" w:cs="仿宋"/>
          <w:i w:val="0"/>
          <w:iCs w:val="0"/>
          <w:caps w:val="0"/>
          <w:color w:val="auto"/>
          <w:spacing w:val="0"/>
          <w:sz w:val="32"/>
          <w:szCs w:val="32"/>
          <w:lang w:val="zh-CN" w:eastAsia="zh-CN"/>
        </w:rPr>
        <w:t>。</w:t>
      </w:r>
      <w:r>
        <w:rPr>
          <w:rFonts w:hint="eastAsia" w:ascii="仿宋" w:hAnsi="仿宋" w:eastAsia="仿宋" w:cs="仿宋"/>
          <w:i w:val="0"/>
          <w:iCs w:val="0"/>
          <w:caps w:val="0"/>
          <w:color w:val="auto"/>
          <w:spacing w:val="0"/>
          <w:sz w:val="32"/>
          <w:szCs w:val="32"/>
          <w:lang w:val="zh-CN"/>
        </w:rPr>
        <w:t>大力</w:t>
      </w:r>
      <w:r>
        <w:rPr>
          <w:rFonts w:hint="default" w:ascii="仿宋" w:hAnsi="仿宋" w:eastAsia="仿宋" w:cs="仿宋"/>
          <w:i w:val="0"/>
          <w:iCs w:val="0"/>
          <w:caps w:val="0"/>
          <w:color w:val="auto"/>
          <w:spacing w:val="0"/>
          <w:sz w:val="32"/>
          <w:szCs w:val="32"/>
          <w:lang w:val="zh-CN"/>
        </w:rPr>
        <w:t>开展</w:t>
      </w:r>
      <w:r>
        <w:rPr>
          <w:rFonts w:hint="eastAsia" w:ascii="仿宋" w:hAnsi="仿宋" w:eastAsia="仿宋" w:cs="仿宋"/>
          <w:i w:val="0"/>
          <w:iCs w:val="0"/>
          <w:caps w:val="0"/>
          <w:color w:val="auto"/>
          <w:spacing w:val="0"/>
          <w:sz w:val="32"/>
          <w:szCs w:val="32"/>
          <w:lang w:val="zh-CN"/>
        </w:rPr>
        <w:t>新时代文明实践</w:t>
      </w:r>
      <w:r>
        <w:rPr>
          <w:rFonts w:hint="default" w:ascii="仿宋" w:hAnsi="仿宋" w:eastAsia="仿宋" w:cs="仿宋"/>
          <w:i w:val="0"/>
          <w:iCs w:val="0"/>
          <w:caps w:val="0"/>
          <w:color w:val="auto"/>
          <w:spacing w:val="0"/>
          <w:sz w:val="32"/>
          <w:szCs w:val="32"/>
          <w:lang w:val="zh-CN"/>
        </w:rPr>
        <w:t>活动</w:t>
      </w:r>
      <w:r>
        <w:rPr>
          <w:rFonts w:hint="eastAsia" w:ascii="仿宋" w:hAnsi="仿宋" w:eastAsia="仿宋" w:cs="仿宋"/>
          <w:i w:val="0"/>
          <w:iCs w:val="0"/>
          <w:caps w:val="0"/>
          <w:color w:val="auto"/>
          <w:spacing w:val="0"/>
          <w:sz w:val="32"/>
          <w:szCs w:val="32"/>
          <w:lang w:val="zh-CN"/>
        </w:rPr>
        <w:t>，</w:t>
      </w:r>
      <w:r>
        <w:rPr>
          <w:rFonts w:hint="eastAsia" w:ascii="仿宋" w:hAnsi="仿宋" w:eastAsia="仿宋" w:cs="仿宋"/>
          <w:i w:val="0"/>
          <w:iCs w:val="0"/>
          <w:caps w:val="0"/>
          <w:color w:val="auto"/>
          <w:spacing w:val="0"/>
          <w:sz w:val="32"/>
          <w:szCs w:val="32"/>
          <w:lang w:val="en-US" w:eastAsia="zh-CN"/>
        </w:rPr>
        <w:t>组织干部职工深入网格责任区开展“敲门行动”，入户为居民详细宣传普及讲解文明建设工作内容，呼吁居民把文明建设工作融入日常工作和生活中，培养良好的卫生习惯，养成文明健康的生活方式，为群众发放文明建设工作倡议书，以提高居民知晓率；利用社区电子显示屏、微信群、村村响等形式大力宣传文明建设工作，教育引导居民提升文明素质，积极参与、支持文明建设工作，营造了良好的氛围。</w:t>
      </w:r>
    </w:p>
    <w:p w14:paraId="5B57784A">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sz w:val="32"/>
          <w:szCs w:val="32"/>
        </w:rPr>
      </w:pPr>
      <w:r>
        <w:rPr>
          <w:rFonts w:hint="eastAsia" w:ascii="楷体" w:hAnsi="楷体" w:eastAsia="楷体" w:cs="楷体"/>
          <w:b/>
          <w:bCs/>
          <w:color w:val="auto"/>
          <w:sz w:val="32"/>
          <w:lang w:eastAsia="zh-CN"/>
        </w:rPr>
        <w:t>（</w:t>
      </w:r>
      <w:r>
        <w:rPr>
          <w:rFonts w:hint="eastAsia" w:ascii="楷体" w:hAnsi="楷体" w:eastAsia="楷体" w:cs="楷体"/>
          <w:b/>
          <w:bCs/>
          <w:color w:val="auto"/>
          <w:sz w:val="32"/>
          <w:lang w:val="en-US" w:eastAsia="zh-CN"/>
        </w:rPr>
        <w:t>五</w:t>
      </w:r>
      <w:r>
        <w:rPr>
          <w:rFonts w:hint="eastAsia" w:ascii="楷体" w:hAnsi="楷体" w:eastAsia="楷体" w:cs="楷体"/>
          <w:b/>
          <w:bCs/>
          <w:color w:val="auto"/>
          <w:sz w:val="32"/>
          <w:lang w:eastAsia="zh-CN"/>
        </w:rPr>
        <w:t>）</w:t>
      </w:r>
      <w:r>
        <w:rPr>
          <w:rFonts w:hint="eastAsia" w:ascii="楷体" w:hAnsi="楷体" w:eastAsia="楷体" w:cs="楷体"/>
          <w:b/>
          <w:bCs/>
          <w:color w:val="auto"/>
          <w:sz w:val="32"/>
          <w:lang w:val="en-US" w:eastAsia="zh-CN"/>
        </w:rPr>
        <w:t>狠抓</w:t>
      </w:r>
      <w:r>
        <w:rPr>
          <w:rFonts w:hint="eastAsia" w:ascii="楷体" w:hAnsi="楷体" w:eastAsia="楷体" w:cs="楷体"/>
          <w:b/>
          <w:bCs/>
          <w:color w:val="auto"/>
          <w:sz w:val="32"/>
          <w:lang w:eastAsia="zh-CN"/>
        </w:rPr>
        <w:t>安全生产，落实生产安全责任制。</w:t>
      </w:r>
      <w:r>
        <w:rPr>
          <w:rFonts w:hint="eastAsia" w:ascii="Times New Roman" w:hAnsi="Times New Roman" w:eastAsia="楷体" w:cs="Times New Roman"/>
          <w:b/>
          <w:bCs/>
          <w:sz w:val="32"/>
          <w:szCs w:val="32"/>
          <w:lang w:val="en-US" w:eastAsia="zh-CN"/>
        </w:rPr>
        <w:t>一是</w:t>
      </w:r>
      <w:r>
        <w:rPr>
          <w:rFonts w:hint="default" w:ascii="仿宋" w:hAnsi="仿宋" w:eastAsia="仿宋" w:cs="仿宋"/>
          <w:sz w:val="32"/>
          <w:szCs w:val="32"/>
          <w:lang w:eastAsia="zh-CN"/>
        </w:rPr>
        <w:t>高度重视，落实安全责任。</w:t>
      </w:r>
      <w:r>
        <w:rPr>
          <w:rFonts w:hint="eastAsia" w:ascii="仿宋" w:hAnsi="仿宋" w:eastAsia="仿宋" w:cs="仿宋"/>
          <w:sz w:val="32"/>
          <w:szCs w:val="32"/>
          <w:lang w:eastAsia="zh-CN"/>
        </w:rPr>
        <w:t>每季度定期召开安全生产例会，不定期召开研讨会，重要时间节点召开专题调度会，认真研判当前安全生产的严峻性，强化红线意识、底线意识、风险意识和责任意识。认真组织学习和传达贯彻中央、省、市、县关于安全生产的指示、批示和文件精神。今年来，镇党委中心组专题学习习近平总书记关于安全生产的重要论述精神</w:t>
      </w:r>
      <w:r>
        <w:rPr>
          <w:rFonts w:hint="eastAsia" w:ascii="仿宋" w:hAnsi="仿宋" w:eastAsia="仿宋" w:cs="仿宋"/>
          <w:sz w:val="32"/>
          <w:szCs w:val="32"/>
          <w:lang w:val="en-US" w:eastAsia="zh-CN"/>
        </w:rPr>
        <w:t>1次，并</w:t>
      </w:r>
      <w:r>
        <w:rPr>
          <w:rFonts w:hint="eastAsia" w:ascii="仿宋" w:hAnsi="仿宋" w:eastAsia="仿宋" w:cs="仿宋"/>
          <w:sz w:val="32"/>
          <w:szCs w:val="32"/>
          <w:lang w:eastAsia="zh-CN"/>
        </w:rPr>
        <w:t>及时组织学习和传达贯彻中央、省、市、县关于安全生产的指示、批示和文件精神。牢固</w:t>
      </w:r>
      <w:r>
        <w:rPr>
          <w:rFonts w:hint="eastAsia" w:ascii="仿宋" w:hAnsi="仿宋" w:eastAsia="仿宋" w:cs="仿宋"/>
          <w:sz w:val="32"/>
          <w:szCs w:val="32"/>
        </w:rPr>
        <w:t>树立了</w:t>
      </w:r>
      <w:r>
        <w:rPr>
          <w:rFonts w:hint="eastAsia" w:ascii="仿宋" w:hAnsi="仿宋" w:eastAsia="仿宋" w:cs="仿宋"/>
          <w:sz w:val="32"/>
          <w:szCs w:val="32"/>
          <w:lang w:eastAsia="zh-CN"/>
        </w:rPr>
        <w:t>以高水平安全促进高质量发展</w:t>
      </w:r>
      <w:r>
        <w:rPr>
          <w:rFonts w:hint="eastAsia" w:ascii="仿宋" w:hAnsi="仿宋" w:eastAsia="仿宋" w:cs="仿宋"/>
          <w:sz w:val="32"/>
          <w:szCs w:val="32"/>
        </w:rPr>
        <w:t>的意识，</w:t>
      </w:r>
      <w:r>
        <w:rPr>
          <w:rFonts w:hint="eastAsia" w:ascii="仿宋" w:hAnsi="仿宋" w:eastAsia="仿宋" w:cs="仿宋"/>
          <w:sz w:val="32"/>
          <w:szCs w:val="32"/>
          <w:lang w:eastAsia="zh-CN"/>
        </w:rPr>
        <w:t>主要领导</w:t>
      </w:r>
      <w:r>
        <w:rPr>
          <w:rFonts w:hint="eastAsia" w:ascii="仿宋" w:hAnsi="仿宋" w:eastAsia="仿宋" w:cs="仿宋"/>
          <w:sz w:val="32"/>
          <w:szCs w:val="32"/>
        </w:rPr>
        <w:t>经常</w:t>
      </w:r>
      <w:r>
        <w:rPr>
          <w:rFonts w:hint="eastAsia" w:ascii="仿宋" w:hAnsi="仿宋" w:eastAsia="仿宋" w:cs="仿宋"/>
          <w:sz w:val="32"/>
          <w:szCs w:val="32"/>
          <w:lang w:val="en-US" w:eastAsia="zh-CN"/>
        </w:rPr>
        <w:t>安排</w:t>
      </w:r>
      <w:r>
        <w:rPr>
          <w:rFonts w:hint="eastAsia" w:ascii="仿宋" w:hAnsi="仿宋" w:eastAsia="仿宋" w:cs="仿宋"/>
          <w:sz w:val="32"/>
          <w:szCs w:val="32"/>
        </w:rPr>
        <w:t>安全生产工作，亲自进行安排部署，</w:t>
      </w:r>
      <w:r>
        <w:rPr>
          <w:rFonts w:hint="eastAsia" w:ascii="仿宋" w:hAnsi="仿宋" w:eastAsia="仿宋" w:cs="仿宋"/>
          <w:sz w:val="32"/>
          <w:szCs w:val="32"/>
          <w:lang w:eastAsia="zh-CN"/>
        </w:rPr>
        <w:t>并经常深入到</w:t>
      </w:r>
      <w:r>
        <w:rPr>
          <w:rFonts w:hint="eastAsia" w:ascii="仿宋" w:hAnsi="仿宋" w:eastAsia="仿宋" w:cs="仿宋"/>
          <w:sz w:val="32"/>
          <w:szCs w:val="32"/>
        </w:rPr>
        <w:t>第一现场</w:t>
      </w:r>
      <w:r>
        <w:rPr>
          <w:rFonts w:hint="eastAsia" w:ascii="仿宋" w:hAnsi="仿宋" w:eastAsia="仿宋" w:cs="仿宋"/>
          <w:sz w:val="32"/>
          <w:szCs w:val="32"/>
          <w:lang w:eastAsia="zh-CN"/>
        </w:rPr>
        <w:t>开展安全生产隐患</w:t>
      </w:r>
      <w:r>
        <w:rPr>
          <w:rFonts w:hint="eastAsia" w:ascii="仿宋" w:hAnsi="仿宋" w:eastAsia="仿宋" w:cs="仿宋"/>
          <w:sz w:val="32"/>
          <w:szCs w:val="32"/>
        </w:rPr>
        <w:t>排查整改，及时研究解决工作开展中的各种困难问题，增加安全生产工作经费投入，将安全生产工作“一票否决”纳入了镇对</w:t>
      </w:r>
      <w:r>
        <w:rPr>
          <w:rFonts w:hint="eastAsia" w:ascii="仿宋" w:hAnsi="仿宋" w:eastAsia="仿宋" w:cs="仿宋"/>
          <w:sz w:val="32"/>
          <w:szCs w:val="32"/>
          <w:lang w:val="en-US" w:eastAsia="zh-CN"/>
        </w:rPr>
        <w:t>社区</w:t>
      </w:r>
      <w:r>
        <w:rPr>
          <w:rFonts w:hint="eastAsia" w:ascii="仿宋" w:hAnsi="仿宋" w:eastAsia="仿宋" w:cs="仿宋"/>
          <w:sz w:val="32"/>
          <w:szCs w:val="32"/>
        </w:rPr>
        <w:t>综合考核的一项重要内容，在</w:t>
      </w:r>
      <w:r>
        <w:rPr>
          <w:rFonts w:hint="eastAsia" w:ascii="仿宋" w:hAnsi="仿宋" w:eastAsia="仿宋" w:cs="仿宋"/>
          <w:sz w:val="32"/>
          <w:szCs w:val="32"/>
          <w:lang w:val="en-US" w:eastAsia="zh-CN"/>
        </w:rPr>
        <w:t>镇社</w:t>
      </w:r>
      <w:r>
        <w:rPr>
          <w:rFonts w:hint="eastAsia" w:ascii="仿宋" w:hAnsi="仿宋" w:eastAsia="仿宋" w:cs="仿宋"/>
          <w:sz w:val="32"/>
          <w:szCs w:val="32"/>
        </w:rPr>
        <w:t>干部大会上作为一项必讲内容。</w:t>
      </w:r>
      <w:r>
        <w:rPr>
          <w:rFonts w:ascii="仿宋_GB2312" w:eastAsia="仿宋_GB2312"/>
          <w:b/>
          <w:color w:val="auto"/>
          <w:sz w:val="32"/>
        </w:rPr>
        <w:t>二是</w:t>
      </w:r>
      <w:r>
        <w:rPr>
          <w:rFonts w:hint="default" w:ascii="仿宋" w:hAnsi="仿宋" w:eastAsia="仿宋" w:cs="仿宋"/>
          <w:kern w:val="2"/>
          <w:sz w:val="32"/>
          <w:szCs w:val="32"/>
          <w:lang w:val="en-US" w:eastAsia="zh-CN" w:bidi="ar-SA"/>
        </w:rPr>
        <w:t>突出重点，加强排查整治。</w:t>
      </w:r>
      <w:r>
        <w:rPr>
          <w:rFonts w:hint="eastAsia" w:ascii="仿宋" w:hAnsi="仿宋" w:eastAsia="仿宋" w:cs="仿宋"/>
          <w:kern w:val="2"/>
          <w:sz w:val="32"/>
          <w:szCs w:val="32"/>
          <w:lang w:val="en-US" w:eastAsia="zh-CN" w:bidi="ar-SA"/>
        </w:rPr>
        <w:t>今年来，镇党委、政府结合时节特点，先后开展了“幸福敲门，安全到家”、安全生产治本攻坚三年行动、“安全生产月”、“重大事故隐患专项排查整治2024行动”等专项整治行动，突出抓好危险化学品和烟花爆竹、工贸企业、交通运输、建筑施工、城镇燃气、消防、特种设备、学生防溺水等重点行业领域的隐患排查治理，强化安全监管措施，堵塞安全漏洞，确保辖区安全稳定。今年来，我镇自主排查治理重大事故隐患24处，已整改到位24处。加强“安全生产治本攻坚三年行动”工作信息宣传报道，累计发表新闻报道26篇。结合“打非治违”等专项行动，广泛开展了自查、集中检查和监督执法检查，截至10月底，共排查出安全隐患192处，已全部整改到位，严格落实安全隐患排查责任制，做到了排查出一处安全隐患就必须整改到位一处安全</w:t>
      </w:r>
      <w:r>
        <w:rPr>
          <w:rFonts w:hint="eastAsia" w:ascii="仿宋" w:hAnsi="仿宋" w:eastAsia="仿宋" w:cs="仿宋"/>
          <w:color w:val="000000"/>
          <w:sz w:val="32"/>
          <w:szCs w:val="32"/>
          <w:lang w:val="en-US" w:eastAsia="zh-CN"/>
        </w:rPr>
        <w:t>隐患。</w:t>
      </w:r>
      <w:r>
        <w:rPr>
          <w:rFonts w:hint="eastAsia" w:ascii="仿宋" w:hAnsi="仿宋" w:eastAsia="仿宋" w:cs="仿宋"/>
          <w:b/>
          <w:bCs/>
          <w:color w:val="000000"/>
          <w:sz w:val="32"/>
          <w:szCs w:val="32"/>
          <w:lang w:val="en-US" w:eastAsia="zh-CN"/>
        </w:rPr>
        <w:t>三是</w:t>
      </w:r>
      <w:r>
        <w:rPr>
          <w:rFonts w:hint="default" w:ascii="仿宋" w:hAnsi="仿宋" w:eastAsia="仿宋" w:cs="仿宋"/>
          <w:color w:val="000000"/>
          <w:sz w:val="32"/>
          <w:szCs w:val="32"/>
          <w:lang w:val="en-US" w:eastAsia="zh-CN"/>
        </w:rPr>
        <w:t>强化值守，提升处突能力。</w:t>
      </w:r>
      <w:r>
        <w:rPr>
          <w:rFonts w:hint="eastAsia" w:ascii="仿宋" w:hAnsi="仿宋" w:eastAsia="仿宋" w:cs="仿宋"/>
          <w:color w:val="000000"/>
          <w:sz w:val="32"/>
          <w:szCs w:val="32"/>
          <w:lang w:val="en-US" w:eastAsia="zh-CN"/>
        </w:rPr>
        <w:t>严格落实24小时值班值守制度和领导带班制度，完善应急预案，储备应急物资，加强应急演练，提升应急突发事件处理能力。镇社两级均建立了应急物资储备库，配备了一定数量的帐篷、雨衣、雨鞋、手持多功能喊话器、消防机动泵、消防服等应急储备物资，镇应急办联合镇纪委不定期到各社区督导村应急队伍响应情况并在全镇通报，压实工作责任。应对低温雨雪冰冻灾害天气和防汛期间，我镇及时响应，及时购买了工业盐、防寒手套、防滑链等应急物资，应急队伍第一时间回到政府待命，出现困难及时处置，今年极端恶劣天气全镇民众未发生伤亡性事故。</w:t>
      </w:r>
      <w:r>
        <w:rPr>
          <w:rFonts w:hint="eastAsia" w:ascii="仿宋" w:hAnsi="仿宋" w:eastAsia="仿宋" w:cs="仿宋"/>
          <w:b/>
          <w:bCs/>
          <w:color w:val="000000"/>
          <w:sz w:val="32"/>
          <w:szCs w:val="32"/>
          <w:lang w:val="en-US" w:eastAsia="zh-CN"/>
        </w:rPr>
        <w:t>四是</w:t>
      </w:r>
      <w:r>
        <w:rPr>
          <w:rFonts w:hint="default" w:ascii="仿宋" w:hAnsi="仿宋" w:eastAsia="仿宋" w:cs="仿宋"/>
          <w:color w:val="000000"/>
          <w:sz w:val="32"/>
          <w:szCs w:val="32"/>
          <w:lang w:val="en-US" w:eastAsia="zh-CN"/>
        </w:rPr>
        <w:t>加强宣传，营造安全氛围。</w:t>
      </w:r>
      <w:r>
        <w:rPr>
          <w:rFonts w:hint="eastAsia" w:ascii="仿宋" w:hAnsi="仿宋" w:eastAsia="仿宋" w:cs="仿宋"/>
          <w:color w:val="000000"/>
          <w:sz w:val="32"/>
          <w:szCs w:val="32"/>
          <w:lang w:val="en-US" w:eastAsia="zh-CN"/>
        </w:rPr>
        <w:t>将安全宣传摆在突出位置，结合“专项整治”、“安全生产月”和“安全宣传四进”活动，通过在</w:t>
      </w:r>
      <w:r>
        <w:rPr>
          <w:rFonts w:hint="eastAsia" w:ascii="仿宋" w:hAnsi="仿宋" w:eastAsia="仿宋" w:cs="仿宋"/>
          <w:sz w:val="32"/>
          <w:szCs w:val="32"/>
        </w:rPr>
        <w:t>居民集中地张贴醒目宣传标语，在镇主干道悬挂宣传横幅，给人民群众发放各类安全防范手册、知识图册</w:t>
      </w:r>
      <w:r>
        <w:rPr>
          <w:rFonts w:hint="eastAsia" w:ascii="仿宋" w:hAnsi="仿宋" w:eastAsia="仿宋" w:cs="仿宋"/>
          <w:sz w:val="32"/>
          <w:szCs w:val="32"/>
          <w:lang w:eastAsia="zh-CN"/>
        </w:rPr>
        <w:t>，“村村响”、流动宣传车</w:t>
      </w:r>
      <w:r>
        <w:rPr>
          <w:rFonts w:hint="eastAsia" w:ascii="仿宋" w:hAnsi="仿宋" w:eastAsia="仿宋" w:cs="仿宋"/>
          <w:sz w:val="32"/>
          <w:szCs w:val="32"/>
        </w:rPr>
        <w:t>等宣传方式</w:t>
      </w:r>
      <w:r>
        <w:rPr>
          <w:rFonts w:hint="eastAsia" w:ascii="仿宋" w:hAnsi="仿宋" w:eastAsia="仿宋" w:cs="仿宋"/>
          <w:sz w:val="32"/>
          <w:szCs w:val="32"/>
          <w:lang w:eastAsia="zh-CN"/>
        </w:rPr>
        <w:t>，广泛宣传道路交通、防溺水、防一氧化碳中毒、森林防火、消防等安全知识，</w:t>
      </w:r>
      <w:r>
        <w:rPr>
          <w:rFonts w:hint="eastAsia" w:ascii="仿宋" w:hAnsi="仿宋" w:eastAsia="仿宋" w:cs="仿宋"/>
          <w:sz w:val="32"/>
          <w:szCs w:val="32"/>
        </w:rPr>
        <w:t>提</w:t>
      </w:r>
      <w:r>
        <w:rPr>
          <w:rFonts w:hint="eastAsia" w:ascii="仿宋" w:hAnsi="仿宋" w:eastAsia="仿宋" w:cs="仿宋"/>
          <w:sz w:val="32"/>
          <w:szCs w:val="32"/>
          <w:lang w:eastAsia="zh-CN"/>
        </w:rPr>
        <w:t>升</w:t>
      </w:r>
      <w:r>
        <w:rPr>
          <w:rFonts w:hint="eastAsia" w:ascii="仿宋" w:hAnsi="仿宋" w:eastAsia="仿宋" w:cs="仿宋"/>
          <w:sz w:val="32"/>
          <w:szCs w:val="32"/>
        </w:rPr>
        <w:t>群众安全意识，营造了</w:t>
      </w:r>
      <w:r>
        <w:rPr>
          <w:rFonts w:hint="eastAsia" w:ascii="仿宋" w:hAnsi="仿宋" w:eastAsia="仿宋" w:cs="仿宋"/>
          <w:sz w:val="32"/>
          <w:szCs w:val="32"/>
          <w:lang w:eastAsia="zh-CN"/>
        </w:rPr>
        <w:t>“</w:t>
      </w:r>
      <w:r>
        <w:rPr>
          <w:rFonts w:hint="eastAsia" w:ascii="仿宋" w:hAnsi="仿宋" w:eastAsia="仿宋" w:cs="仿宋"/>
          <w:sz w:val="32"/>
          <w:szCs w:val="32"/>
        </w:rPr>
        <w:t>人人讲安全、人人重安全</w:t>
      </w:r>
      <w:r>
        <w:rPr>
          <w:rFonts w:hint="eastAsia" w:ascii="仿宋" w:hAnsi="仿宋" w:eastAsia="仿宋" w:cs="仿宋"/>
          <w:sz w:val="32"/>
          <w:szCs w:val="32"/>
          <w:lang w:eastAsia="zh-CN"/>
        </w:rPr>
        <w:t>”</w:t>
      </w:r>
      <w:r>
        <w:rPr>
          <w:rFonts w:hint="eastAsia" w:ascii="仿宋" w:hAnsi="仿宋" w:eastAsia="仿宋" w:cs="仿宋"/>
          <w:sz w:val="32"/>
          <w:szCs w:val="32"/>
        </w:rPr>
        <w:t>的良好氛围。</w:t>
      </w:r>
      <w:r>
        <w:rPr>
          <w:rFonts w:hint="default" w:ascii="Times New Roman" w:hAnsi="Times New Roman" w:eastAsia="仿宋_GB2312" w:cs="Times New Roman"/>
          <w:sz w:val="32"/>
          <w:szCs w:val="32"/>
        </w:rPr>
        <w:t xml:space="preserve"> </w:t>
      </w:r>
    </w:p>
    <w:p w14:paraId="7C891AEB">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华文仿宋" w:hAnsi="华文仿宋" w:eastAsia="华文仿宋" w:cs="华文仿宋"/>
          <w:sz w:val="32"/>
          <w:szCs w:val="32"/>
        </w:rPr>
      </w:pPr>
      <w:r>
        <w:rPr>
          <w:rFonts w:hint="eastAsia" w:ascii="楷体" w:hAnsi="楷体" w:eastAsia="楷体" w:cs="楷体"/>
          <w:b/>
          <w:bCs/>
          <w:color w:val="auto"/>
          <w:sz w:val="32"/>
          <w:lang w:eastAsia="zh-CN"/>
        </w:rPr>
        <w:t>（</w:t>
      </w:r>
      <w:r>
        <w:rPr>
          <w:rFonts w:hint="eastAsia" w:ascii="楷体" w:hAnsi="楷体" w:eastAsia="楷体" w:cs="楷体"/>
          <w:b/>
          <w:bCs/>
          <w:color w:val="auto"/>
          <w:sz w:val="32"/>
          <w:lang w:val="en-US" w:eastAsia="zh-CN"/>
        </w:rPr>
        <w:t>六</w:t>
      </w:r>
      <w:r>
        <w:rPr>
          <w:rFonts w:hint="eastAsia" w:ascii="楷体" w:hAnsi="楷体" w:eastAsia="楷体" w:cs="楷体"/>
          <w:b/>
          <w:bCs/>
          <w:color w:val="auto"/>
          <w:sz w:val="32"/>
          <w:lang w:eastAsia="zh-CN"/>
        </w:rPr>
        <w:t>）</w:t>
      </w:r>
      <w:r>
        <w:rPr>
          <w:rFonts w:hint="eastAsia" w:ascii="楷体" w:hAnsi="楷体" w:eastAsia="楷体" w:cs="楷体"/>
          <w:b/>
          <w:bCs/>
          <w:color w:val="auto"/>
          <w:sz w:val="32"/>
          <w:lang w:val="en-US" w:eastAsia="zh-CN"/>
        </w:rPr>
        <w:t>立足</w:t>
      </w:r>
      <w:r>
        <w:rPr>
          <w:rFonts w:hint="eastAsia" w:ascii="楷体" w:hAnsi="楷体" w:eastAsia="楷体" w:cs="楷体"/>
          <w:b/>
          <w:bCs/>
          <w:color w:val="auto"/>
          <w:sz w:val="32"/>
          <w:lang w:eastAsia="zh-CN"/>
        </w:rPr>
        <w:t>综治维稳，推进</w:t>
      </w:r>
      <w:r>
        <w:rPr>
          <w:rFonts w:hint="eastAsia" w:ascii="楷体" w:hAnsi="楷体" w:eastAsia="楷体" w:cs="楷体"/>
          <w:b/>
          <w:bCs/>
          <w:color w:val="auto"/>
          <w:sz w:val="32"/>
          <w:lang w:val="en-US" w:eastAsia="zh-CN"/>
        </w:rPr>
        <w:t>全镇</w:t>
      </w:r>
      <w:r>
        <w:rPr>
          <w:rFonts w:hint="eastAsia" w:ascii="楷体" w:hAnsi="楷体" w:eastAsia="楷体" w:cs="楷体"/>
          <w:b/>
          <w:bCs/>
          <w:color w:val="auto"/>
          <w:sz w:val="32"/>
          <w:lang w:eastAsia="zh-CN"/>
        </w:rPr>
        <w:t>平安稳定。</w:t>
      </w:r>
      <w:r>
        <w:rPr>
          <w:rFonts w:hint="eastAsia" w:ascii="楷体_GB2312" w:eastAsia="楷体_GB2312"/>
          <w:b/>
          <w:bCs/>
          <w:color w:val="auto"/>
          <w:sz w:val="32"/>
          <w:highlight w:val="none"/>
          <w:lang w:val="en-US" w:eastAsia="zh-CN"/>
        </w:rPr>
        <w:t>一是</w:t>
      </w:r>
      <w:r>
        <w:rPr>
          <w:rFonts w:hint="eastAsia" w:ascii="仿宋" w:hAnsi="仿宋" w:eastAsia="仿宋" w:cs="仿宋"/>
          <w:sz w:val="32"/>
          <w:szCs w:val="32"/>
        </w:rPr>
        <w:t>切实加强矛盾纠纷排查调处</w:t>
      </w:r>
      <w:r>
        <w:rPr>
          <w:rFonts w:hint="eastAsia" w:ascii="仿宋" w:hAnsi="仿宋" w:eastAsia="仿宋" w:cs="仿宋"/>
          <w:sz w:val="32"/>
          <w:szCs w:val="32"/>
          <w:lang w:eastAsia="zh-CN"/>
        </w:rPr>
        <w:t>。</w:t>
      </w:r>
      <w:r>
        <w:rPr>
          <w:rFonts w:hint="eastAsia" w:ascii="华文仿宋" w:hAnsi="华文仿宋" w:eastAsia="华文仿宋" w:cs="华文仿宋"/>
          <w:sz w:val="32"/>
          <w:szCs w:val="32"/>
          <w:lang w:eastAsia="zh-CN"/>
        </w:rPr>
        <w:t>综治办</w:t>
      </w:r>
      <w:r>
        <w:rPr>
          <w:rFonts w:hint="eastAsia" w:ascii="华文仿宋" w:hAnsi="华文仿宋" w:eastAsia="华文仿宋" w:cs="华文仿宋"/>
          <w:sz w:val="32"/>
          <w:szCs w:val="32"/>
        </w:rPr>
        <w:t>坚持每月必排查、排查必处置的工作原则，并予以制度化。全年共计排查各项矛盾纠纷一百多起，通过努力，就地处置的占百分之九十以上，有力地将矛盾纠纷消除在了萌芽状态，维护了社会稳定。并对一部分根源深、影响大、性质较为恶劣的矛盾加大力度进行了集中调处</w:t>
      </w:r>
      <w:r>
        <w:rPr>
          <w:rFonts w:hint="eastAsia" w:ascii="华文仿宋" w:hAnsi="华文仿宋" w:eastAsia="华文仿宋" w:cs="华文仿宋"/>
          <w:sz w:val="32"/>
          <w:szCs w:val="32"/>
          <w:lang w:eastAsia="zh-CN"/>
        </w:rPr>
        <w:t>。</w:t>
      </w:r>
      <w:r>
        <w:rPr>
          <w:rFonts w:hint="eastAsia" w:ascii="华文仿宋" w:hAnsi="华文仿宋" w:eastAsia="华文仿宋" w:cs="华文仿宋"/>
          <w:sz w:val="32"/>
          <w:szCs w:val="32"/>
          <w:lang w:val="en-US" w:eastAsia="zh-CN"/>
        </w:rPr>
        <w:t>对</w:t>
      </w:r>
      <w:r>
        <w:rPr>
          <w:rFonts w:hint="eastAsia" w:ascii="华文仿宋" w:hAnsi="华文仿宋" w:eastAsia="华文仿宋" w:cs="华文仿宋"/>
          <w:sz w:val="32"/>
          <w:szCs w:val="32"/>
        </w:rPr>
        <w:t>重点人群加强管控，维护社会稳定。</w:t>
      </w:r>
      <w:r>
        <w:rPr>
          <w:rFonts w:hint="eastAsia" w:ascii="华文仿宋" w:hAnsi="华文仿宋" w:eastAsia="华文仿宋" w:cs="华文仿宋"/>
          <w:sz w:val="32"/>
          <w:szCs w:val="32"/>
          <w:lang w:val="en-US" w:eastAsia="zh-CN"/>
        </w:rPr>
        <w:t>长铺镇共有精神残疾124人，其中肇事肇祸精神病人2人，综治办对上述人员</w:t>
      </w:r>
      <w:r>
        <w:rPr>
          <w:rFonts w:hint="eastAsia" w:ascii="华文仿宋" w:hAnsi="华文仿宋" w:eastAsia="华文仿宋" w:cs="华文仿宋"/>
          <w:sz w:val="32"/>
          <w:szCs w:val="32"/>
        </w:rPr>
        <w:t>实行“四包一”责任制，落实“五人管控”措施；司法所对社区矫正对象和帮教人员</w:t>
      </w:r>
      <w:r>
        <w:rPr>
          <w:rFonts w:hint="eastAsia" w:ascii="华文仿宋" w:hAnsi="华文仿宋" w:eastAsia="华文仿宋" w:cs="华文仿宋"/>
          <w:sz w:val="32"/>
          <w:szCs w:val="32"/>
          <w:lang w:eastAsia="zh-CN"/>
        </w:rPr>
        <w:t>实行“宽严相济、严管厚爱”式人性化管理，确保他们不脱管、不漏管、不重新犯罪。</w:t>
      </w:r>
      <w:r>
        <w:rPr>
          <w:rFonts w:hint="eastAsia" w:ascii="华文仿宋" w:hAnsi="华文仿宋" w:eastAsia="华文仿宋" w:cs="华文仿宋"/>
          <w:b/>
          <w:bCs/>
          <w:sz w:val="32"/>
          <w:szCs w:val="32"/>
          <w:lang w:val="en-US" w:eastAsia="zh-CN"/>
        </w:rPr>
        <w:t>二是</w:t>
      </w:r>
      <w:r>
        <w:rPr>
          <w:rFonts w:hint="eastAsia" w:ascii="华文仿宋" w:hAnsi="华文仿宋" w:eastAsia="华文仿宋" w:cs="华文仿宋"/>
          <w:sz w:val="32"/>
          <w:szCs w:val="32"/>
          <w:lang w:eastAsia="zh-CN"/>
        </w:rPr>
        <w:t>平安创建活动不断深化。</w:t>
      </w:r>
      <w:r>
        <w:rPr>
          <w:rFonts w:hint="eastAsia" w:ascii="华文仿宋" w:hAnsi="华文仿宋" w:eastAsia="华文仿宋" w:cs="华文仿宋"/>
          <w:sz w:val="32"/>
          <w:szCs w:val="32"/>
        </w:rPr>
        <w:t>建立健全重点特殊人员群体管理台账。</w:t>
      </w:r>
      <w:r>
        <w:rPr>
          <w:rFonts w:hint="eastAsia" w:ascii="华文仿宋" w:hAnsi="华文仿宋" w:eastAsia="华文仿宋" w:cs="华文仿宋"/>
          <w:sz w:val="32"/>
          <w:szCs w:val="32"/>
          <w:lang w:val="en-US" w:eastAsia="zh-CN"/>
        </w:rPr>
        <w:t>对</w:t>
      </w:r>
      <w:r>
        <w:rPr>
          <w:rFonts w:hint="eastAsia" w:ascii="华文仿宋" w:hAnsi="华文仿宋" w:eastAsia="华文仿宋" w:cs="华文仿宋"/>
          <w:sz w:val="32"/>
          <w:szCs w:val="32"/>
          <w:lang w:eastAsia="zh-CN"/>
        </w:rPr>
        <w:t>全镇</w:t>
      </w:r>
      <w:r>
        <w:rPr>
          <w:rFonts w:hint="eastAsia" w:ascii="华文仿宋" w:hAnsi="华文仿宋" w:eastAsia="华文仿宋" w:cs="华文仿宋"/>
          <w:sz w:val="32"/>
          <w:szCs w:val="32"/>
          <w:lang w:val="en-US" w:eastAsia="zh-CN"/>
        </w:rPr>
        <w:t>的政治重点人员2人、涉退役军人群体重点人员5人、精神残疾124人、社戒社康人员21人、刑满释放人员129人、涉投资受损人员19人、</w:t>
      </w:r>
      <w:r>
        <w:rPr>
          <w:rFonts w:hint="eastAsia" w:ascii="华文仿宋" w:hAnsi="华文仿宋" w:eastAsia="华文仿宋" w:cs="华文仿宋"/>
          <w:sz w:val="32"/>
          <w:szCs w:val="32"/>
        </w:rPr>
        <w:t>信访隐患2人，全部建立了台账，落实了责任包保，实行定期排查和日常监管，通过服务、管理和帮教措施，最大限度地减少违法犯罪。积极开展“平安家庭户”</w:t>
      </w:r>
      <w:r>
        <w:rPr>
          <w:rFonts w:hint="eastAsia" w:ascii="华文仿宋" w:hAnsi="华文仿宋" w:eastAsia="华文仿宋" w:cs="华文仿宋"/>
          <w:sz w:val="32"/>
          <w:szCs w:val="32"/>
          <w:lang w:eastAsia="zh-CN"/>
        </w:rPr>
        <w:t>“好媳妇”“好公婆”“模范家庭”</w:t>
      </w:r>
      <w:r>
        <w:rPr>
          <w:rFonts w:hint="eastAsia" w:ascii="华文仿宋" w:hAnsi="华文仿宋" w:eastAsia="华文仿宋" w:cs="华文仿宋"/>
          <w:sz w:val="32"/>
          <w:szCs w:val="32"/>
        </w:rPr>
        <w:t>等群众性评选活动，全</w:t>
      </w:r>
      <w:r>
        <w:rPr>
          <w:rFonts w:hint="eastAsia" w:ascii="华文仿宋" w:hAnsi="华文仿宋" w:eastAsia="华文仿宋" w:cs="华文仿宋"/>
          <w:sz w:val="32"/>
          <w:szCs w:val="32"/>
          <w:lang w:eastAsia="zh-CN"/>
        </w:rPr>
        <w:t>镇</w:t>
      </w:r>
      <w:r>
        <w:rPr>
          <w:rFonts w:hint="eastAsia" w:ascii="华文仿宋" w:hAnsi="华文仿宋" w:eastAsia="华文仿宋" w:cs="华文仿宋"/>
          <w:sz w:val="32"/>
          <w:szCs w:val="32"/>
          <w:lang w:val="en-US" w:eastAsia="zh-CN"/>
        </w:rPr>
        <w:t>8个社区</w:t>
      </w:r>
      <w:r>
        <w:rPr>
          <w:rFonts w:hint="eastAsia" w:ascii="华文仿宋" w:hAnsi="华文仿宋" w:eastAsia="华文仿宋" w:cs="华文仿宋"/>
          <w:sz w:val="32"/>
          <w:szCs w:val="32"/>
        </w:rPr>
        <w:t>全年共评选“平安家庭户"</w:t>
      </w:r>
      <w:r>
        <w:rPr>
          <w:rFonts w:hint="eastAsia" w:ascii="华文仿宋" w:hAnsi="华文仿宋" w:eastAsia="华文仿宋" w:cs="华文仿宋"/>
          <w:sz w:val="32"/>
          <w:szCs w:val="32"/>
          <w:lang w:val="en-US" w:eastAsia="zh-CN"/>
        </w:rPr>
        <w:t>40户，“</w:t>
      </w:r>
      <w:r>
        <w:rPr>
          <w:rFonts w:hint="eastAsia" w:ascii="华文仿宋" w:hAnsi="华文仿宋" w:eastAsia="华文仿宋" w:cs="华文仿宋"/>
          <w:sz w:val="32"/>
          <w:szCs w:val="32"/>
          <w:lang w:eastAsia="zh-CN"/>
        </w:rPr>
        <w:t>好媳妇”</w:t>
      </w:r>
      <w:r>
        <w:rPr>
          <w:rFonts w:hint="eastAsia" w:ascii="华文仿宋" w:hAnsi="华文仿宋" w:eastAsia="华文仿宋" w:cs="华文仿宋"/>
          <w:sz w:val="32"/>
          <w:szCs w:val="32"/>
          <w:lang w:val="en-US" w:eastAsia="zh-CN"/>
        </w:rPr>
        <w:t>65人，</w:t>
      </w:r>
      <w:r>
        <w:rPr>
          <w:rFonts w:hint="eastAsia" w:ascii="华文仿宋" w:hAnsi="华文仿宋" w:eastAsia="华文仿宋" w:cs="华文仿宋"/>
          <w:sz w:val="32"/>
          <w:szCs w:val="32"/>
          <w:lang w:eastAsia="zh-CN"/>
        </w:rPr>
        <w:t>“好公婆”</w:t>
      </w:r>
      <w:r>
        <w:rPr>
          <w:rFonts w:hint="eastAsia" w:ascii="华文仿宋" w:hAnsi="华文仿宋" w:eastAsia="华文仿宋" w:cs="华文仿宋"/>
          <w:sz w:val="32"/>
          <w:szCs w:val="32"/>
          <w:lang w:val="en-US" w:eastAsia="zh-CN"/>
        </w:rPr>
        <w:t>80人，</w:t>
      </w:r>
      <w:r>
        <w:rPr>
          <w:rFonts w:hint="eastAsia" w:ascii="华文仿宋" w:hAnsi="华文仿宋" w:eastAsia="华文仿宋" w:cs="华文仿宋"/>
          <w:sz w:val="32"/>
          <w:szCs w:val="32"/>
          <w:lang w:eastAsia="zh-CN"/>
        </w:rPr>
        <w:t>“模范家庭”</w:t>
      </w:r>
      <w:r>
        <w:rPr>
          <w:rFonts w:hint="eastAsia" w:ascii="华文仿宋" w:hAnsi="华文仿宋" w:eastAsia="华文仿宋" w:cs="华文仿宋"/>
          <w:sz w:val="32"/>
          <w:szCs w:val="32"/>
          <w:lang w:val="en-US" w:eastAsia="zh-CN"/>
        </w:rPr>
        <w:t>42户</w:t>
      </w:r>
      <w:r>
        <w:rPr>
          <w:rFonts w:hint="eastAsia" w:ascii="华文仿宋" w:hAnsi="华文仿宋" w:eastAsia="华文仿宋" w:cs="华文仿宋"/>
          <w:sz w:val="32"/>
          <w:szCs w:val="32"/>
        </w:rPr>
        <w:t>。</w:t>
      </w:r>
    </w:p>
    <w:p w14:paraId="06F5821F">
      <w:pPr>
        <w:pStyle w:val="11"/>
        <w:keepNext w:val="0"/>
        <w:keepLines w:val="0"/>
        <w:pageBreakBefore w:val="0"/>
        <w:widowControl w:val="0"/>
        <w:kinsoku/>
        <w:wordWrap/>
        <w:overflowPunct/>
        <w:topLinePunct w:val="0"/>
        <w:autoSpaceDE/>
        <w:autoSpaceDN/>
        <w:bidi w:val="0"/>
        <w:adjustRightInd/>
        <w:snapToGrid/>
        <w:spacing w:line="600" w:lineRule="exact"/>
        <w:ind w:left="0" w:leftChars="0" w:firstLine="643" w:firstLineChars="200"/>
        <w:jc w:val="both"/>
        <w:textAlignment w:val="auto"/>
        <w:rPr>
          <w:rFonts w:hint="default" w:ascii="楷体" w:hAnsi="楷体" w:eastAsia="楷体" w:cs="楷体"/>
          <w:b/>
          <w:bCs/>
          <w:color w:val="auto"/>
          <w:sz w:val="32"/>
          <w:lang w:val="en-US" w:eastAsia="zh-CN"/>
        </w:rPr>
      </w:pPr>
      <w:r>
        <w:rPr>
          <w:rFonts w:hint="eastAsia" w:ascii="楷体" w:hAnsi="楷体" w:eastAsia="楷体" w:cs="楷体"/>
          <w:b/>
          <w:bCs/>
          <w:color w:val="auto"/>
          <w:sz w:val="32"/>
          <w:lang w:eastAsia="zh-CN"/>
        </w:rPr>
        <w:t>（</w:t>
      </w:r>
      <w:r>
        <w:rPr>
          <w:rFonts w:hint="eastAsia" w:ascii="楷体" w:hAnsi="楷体" w:eastAsia="楷体" w:cs="楷体"/>
          <w:b/>
          <w:bCs/>
          <w:color w:val="auto"/>
          <w:sz w:val="32"/>
          <w:lang w:val="en-US" w:eastAsia="zh-CN"/>
        </w:rPr>
        <w:t>七</w:t>
      </w:r>
      <w:r>
        <w:rPr>
          <w:rFonts w:hint="eastAsia" w:ascii="楷体" w:hAnsi="楷体" w:eastAsia="楷体" w:cs="楷体"/>
          <w:b/>
          <w:bCs/>
          <w:color w:val="auto"/>
          <w:sz w:val="32"/>
          <w:lang w:eastAsia="zh-CN"/>
        </w:rPr>
        <w:t>）</w:t>
      </w:r>
      <w:r>
        <w:rPr>
          <w:rFonts w:hint="eastAsia" w:ascii="楷体" w:hAnsi="楷体" w:eastAsia="楷体" w:cs="楷体"/>
          <w:b/>
          <w:bCs/>
          <w:color w:val="auto"/>
          <w:sz w:val="32"/>
          <w:lang w:val="en-US" w:eastAsia="zh-CN"/>
        </w:rPr>
        <w:t>紧扣巡视巡察，转化运用整改成果。</w:t>
      </w:r>
      <w:r>
        <w:rPr>
          <w:rFonts w:hint="eastAsia" w:ascii="仿宋_GB2312" w:hAnsi="仿宋_GB2312" w:eastAsia="仿宋_GB2312" w:cs="仿宋_GB2312"/>
          <w:b/>
          <w:bCs/>
          <w:color w:val="000000"/>
          <w:sz w:val="32"/>
          <w:szCs w:val="32"/>
          <w:lang w:val="en-US" w:eastAsia="zh-CN"/>
        </w:rPr>
        <w:t>一是提高站位抓整改。</w:t>
      </w:r>
      <w:r>
        <w:rPr>
          <w:rFonts w:hint="eastAsia" w:ascii="仿宋_GB2312" w:hAnsi="仿宋_GB2312" w:eastAsia="仿宋_GB2312" w:cs="仿宋_GB2312"/>
          <w:color w:val="000000"/>
          <w:sz w:val="32"/>
          <w:szCs w:val="32"/>
          <w:lang w:val="en-US" w:eastAsia="zh-CN"/>
        </w:rPr>
        <w:t>组织召开镇党委会议4次，专题研究县委巡察反馈意见整改工作方案、措施；在全体镇、社干部大会上专项调度县委巡察反馈意见整改工作6次，有条不紊稳进巡察整改工作；</w:t>
      </w:r>
      <w:r>
        <w:rPr>
          <w:rFonts w:hint="eastAsia" w:ascii="仿宋_GB2312" w:hAnsi="仿宋_GB2312" w:eastAsia="仿宋_GB2312" w:cs="仿宋_GB2312"/>
          <w:color w:val="000000"/>
          <w:kern w:val="0"/>
          <w:sz w:val="32"/>
          <w:szCs w:val="32"/>
          <w:shd w:val="clear" w:color="auto" w:fill="FFFFFF"/>
          <w:lang w:eastAsia="zh-CN"/>
        </w:rPr>
        <w:t>成立了</w:t>
      </w:r>
      <w:r>
        <w:rPr>
          <w:rFonts w:hint="eastAsia" w:ascii="仿宋_GB2312" w:hAnsi="仿宋_GB2312" w:eastAsia="仿宋_GB2312" w:cs="仿宋_GB2312"/>
          <w:color w:val="000000"/>
          <w:kern w:val="0"/>
          <w:sz w:val="32"/>
          <w:szCs w:val="32"/>
          <w:shd w:val="clear" w:color="auto" w:fill="FFFFFF"/>
          <w:lang w:val="en-US" w:eastAsia="zh-CN"/>
        </w:rPr>
        <w:t>由镇党委书记秦昌敢同志任组长的巡察整改工作领导小组，领导小组下设办公室，具体负责巡察整改的日常工作，由镇党委副书记任办公室主任，专抓巡察反馈意见整改工作；制定《长铺镇党委关于县委巡察反馈意见的整改落实方案》，明确总体要求、组织机构、整改时限、整改任务和整改要求，做到整改见人，责任到人。</w:t>
      </w:r>
      <w:r>
        <w:rPr>
          <w:rFonts w:hint="eastAsia" w:ascii="仿宋_GB2312" w:hAnsi="仿宋_GB2312" w:eastAsia="仿宋_GB2312" w:cs="仿宋_GB2312"/>
          <w:b/>
          <w:bCs/>
          <w:color w:val="000000"/>
          <w:kern w:val="2"/>
          <w:sz w:val="32"/>
          <w:szCs w:val="32"/>
          <w:lang w:val="en-US" w:eastAsia="zh-CN" w:bidi="ar-SA"/>
        </w:rPr>
        <w:t>二是压实责任抓整改。</w:t>
      </w:r>
      <w:r>
        <w:rPr>
          <w:rFonts w:hint="eastAsia" w:ascii="仿宋_GB2312" w:hAnsi="仿宋_GB2312" w:eastAsia="仿宋_GB2312" w:cs="仿宋_GB2312"/>
          <w:color w:val="000000"/>
          <w:kern w:val="2"/>
          <w:sz w:val="32"/>
          <w:szCs w:val="32"/>
          <w:lang w:val="en-US" w:eastAsia="zh-CN" w:bidi="ar-SA"/>
        </w:rPr>
        <w:t>各班子成员严格履行好“一岗双责”主体责任，既对本部门需要整改的问题负责，也对联点社区巡察反馈整改意见负责，各部门负责人、各社区党组织书记作为问题整改的“第一责任人”负责具体推进整改事宜；针对问题逐条分析研判，整改落实方案历经8稿，整改措施切实可行，整改佐证材料分门别类整理到位；要求镇纪委结合每周干部作风督查一并检查各部门、各社区巡察反馈意见整改进度情况，进行“一周一督查、一月一通报”，有效推进巡察反馈意见整改工作进度。</w:t>
      </w:r>
      <w:r>
        <w:rPr>
          <w:rFonts w:hint="eastAsia" w:ascii="仿宋_GB2312" w:hAnsi="仿宋_GB2312" w:eastAsia="仿宋_GB2312" w:cs="仿宋_GB2312"/>
          <w:b/>
          <w:bCs/>
          <w:color w:val="000000"/>
          <w:kern w:val="2"/>
          <w:sz w:val="32"/>
          <w:szCs w:val="32"/>
          <w:lang w:val="en-US" w:eastAsia="zh-CN" w:bidi="ar-SA"/>
        </w:rPr>
        <w:t>三是持续巩固整改成效。</w:t>
      </w:r>
      <w:r>
        <w:rPr>
          <w:rFonts w:hint="eastAsia" w:ascii="仿宋_GB2312" w:hAnsi="仿宋_GB2312" w:eastAsia="仿宋_GB2312" w:cs="仿宋_GB2312"/>
          <w:color w:val="000000"/>
          <w:kern w:val="2"/>
          <w:sz w:val="32"/>
          <w:szCs w:val="32"/>
          <w:lang w:val="en-US" w:eastAsia="zh-CN" w:bidi="ar-SA"/>
        </w:rPr>
        <w:t>注重从问题的根源进行剖析，注重问题和措施“一对一、点对点”，“对症下药”，坚决做到不回避、不逃避；注重措施具体可执行，从细节入手，从小处着眼，坚决做到举一反三，形成长效常态；注重整改质效提升，针对干部工作作风“松软疲”、工作方法不严实、工作业务不熟练等问题，以组织培训、组织谈话、开展宣传、深入群众等方法，切实改进工作作风，助推工作方法不断改进。</w:t>
      </w:r>
    </w:p>
    <w:p w14:paraId="556F38B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七、存在的问题及原因分析</w:t>
      </w:r>
    </w:p>
    <w:p w14:paraId="1B9DA4F1">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ascii="仿宋_GB2312" w:eastAsia="仿宋_GB2312"/>
          <w:color w:val="auto"/>
          <w:sz w:val="32"/>
        </w:rPr>
      </w:pPr>
      <w:r>
        <w:rPr>
          <w:rFonts w:ascii="仿宋_GB2312" w:eastAsia="仿宋_GB2312"/>
          <w:color w:val="auto"/>
          <w:sz w:val="32"/>
        </w:rPr>
        <w:t>今年以来我们虽然取得不错成绩，但从全局来看，仍然存在部分问题：</w:t>
      </w:r>
    </w:p>
    <w:p w14:paraId="3183FBEA">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olor w:val="auto"/>
          <w:sz w:val="32"/>
        </w:rPr>
      </w:pPr>
      <w:r>
        <w:rPr>
          <w:rFonts w:ascii="仿宋_GB2312" w:eastAsia="仿宋_GB2312"/>
          <w:b/>
          <w:color w:val="auto"/>
          <w:sz w:val="32"/>
        </w:rPr>
        <w:t>一是</w:t>
      </w:r>
      <w:r>
        <w:rPr>
          <w:rFonts w:ascii="仿宋_GB2312" w:eastAsia="仿宋_GB2312"/>
          <w:color w:val="auto"/>
          <w:sz w:val="32"/>
        </w:rPr>
        <w:t>干部服务意识有待加强，部分干部服务群众不深入、不积极；</w:t>
      </w:r>
      <w:r>
        <w:rPr>
          <w:rFonts w:ascii="仿宋_GB2312" w:eastAsia="仿宋_GB2312"/>
          <w:b/>
          <w:color w:val="auto"/>
          <w:sz w:val="32"/>
        </w:rPr>
        <w:t>二是</w:t>
      </w:r>
      <w:r>
        <w:rPr>
          <w:rFonts w:ascii="仿宋_GB2312" w:eastAsia="仿宋_GB2312"/>
          <w:color w:val="auto"/>
          <w:sz w:val="32"/>
        </w:rPr>
        <w:t>理论学习浮于表面，未能和实践很好融合；</w:t>
      </w:r>
      <w:r>
        <w:rPr>
          <w:rFonts w:hint="eastAsia" w:ascii="仿宋" w:hAnsi="仿宋" w:eastAsia="仿宋" w:cs="仿宋"/>
          <w:b/>
          <w:kern w:val="0"/>
          <w:sz w:val="32"/>
          <w:szCs w:val="32"/>
          <w:lang w:val="en-US" w:eastAsia="zh-CN"/>
        </w:rPr>
        <w:t>三是</w:t>
      </w:r>
      <w:r>
        <w:rPr>
          <w:rFonts w:hint="eastAsia" w:ascii="仿宋" w:hAnsi="仿宋" w:eastAsia="仿宋" w:cs="仿宋"/>
          <w:bCs/>
          <w:kern w:val="0"/>
          <w:sz w:val="32"/>
          <w:szCs w:val="32"/>
        </w:rPr>
        <w:t>人员、经费保障不充分。目前我镇干部老龄化现象严重，年轻干部少，干部结构欠科学。社区干部人手有限，工作压力大、任务重。社区工作经费预算不足，缺口较大。</w:t>
      </w:r>
    </w:p>
    <w:p w14:paraId="41623E44">
      <w:pPr>
        <w:pStyle w:val="5"/>
        <w:widowControl/>
        <w:shd w:val="clear" w:color="auto" w:fill="FFFFFF"/>
        <w:spacing w:beforeAutospacing="0" w:afterAutospacing="0" w:line="480" w:lineRule="atLeast"/>
        <w:ind w:left="645"/>
        <w:rPr>
          <w:rFonts w:ascii="仿宋" w:hAnsi="仿宋" w:eastAsia="仿宋" w:cs="仿宋"/>
          <w:color w:val="000000"/>
          <w:sz w:val="32"/>
          <w:szCs w:val="32"/>
          <w:shd w:val="clear" w:color="auto" w:fill="FFFFFF"/>
        </w:rPr>
      </w:pPr>
    </w:p>
    <w:p w14:paraId="2CA7FDA3">
      <w:pPr>
        <w:pStyle w:val="5"/>
        <w:keepNext w:val="0"/>
        <w:keepLines w:val="0"/>
        <w:widowControl/>
        <w:numPr>
          <w:ilvl w:val="0"/>
          <w:numId w:val="3"/>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640" w:right="0" w:firstLine="640" w:firstLineChars="200"/>
        <w:jc w:val="left"/>
        <w:rPr>
          <w:rFonts w:hint="eastAsia" w:ascii="黑体" w:hAnsi="黑体" w:eastAsia="黑体" w:cs="黑体"/>
          <w:i w:val="0"/>
          <w:iCs w:val="0"/>
          <w:caps w:val="0"/>
          <w:color w:val="000000"/>
          <w:spacing w:val="0"/>
          <w:sz w:val="32"/>
          <w:szCs w:val="32"/>
          <w:shd w:val="clear" w:fill="FFFFFF"/>
        </w:rPr>
      </w:pPr>
      <w:r>
        <w:rPr>
          <w:rFonts w:hint="eastAsia" w:ascii="黑体" w:hAnsi="黑体" w:eastAsia="黑体" w:cs="黑体"/>
          <w:i w:val="0"/>
          <w:iCs w:val="0"/>
          <w:caps w:val="0"/>
          <w:color w:val="000000"/>
          <w:spacing w:val="0"/>
          <w:sz w:val="32"/>
          <w:szCs w:val="32"/>
          <w:shd w:val="clear" w:fill="FFFFFF"/>
        </w:rPr>
        <w:t>下一步改进措施</w:t>
      </w:r>
    </w:p>
    <w:p w14:paraId="62C40B70">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Times New Roman"/>
          <w:color w:val="auto"/>
          <w:sz w:val="32"/>
        </w:rPr>
      </w:pPr>
      <w:r>
        <w:rPr>
          <w:rFonts w:hint="eastAsia" w:ascii="楷体" w:hAnsi="楷体" w:eastAsia="楷体" w:cs="楷体"/>
          <w:b/>
          <w:bCs/>
          <w:color w:val="auto"/>
          <w:sz w:val="32"/>
          <w:lang w:eastAsia="zh-CN"/>
        </w:rPr>
        <w:t>（一）继续树立党建</w:t>
      </w:r>
      <w:r>
        <w:rPr>
          <w:rFonts w:hint="eastAsia" w:ascii="楷体" w:hAnsi="楷体" w:eastAsia="楷体" w:cs="楷体"/>
          <w:b/>
          <w:bCs/>
          <w:color w:val="auto"/>
          <w:sz w:val="32"/>
          <w:lang w:val="en-US" w:eastAsia="zh-CN"/>
        </w:rPr>
        <w:t>引领</w:t>
      </w:r>
      <w:r>
        <w:rPr>
          <w:rFonts w:hint="eastAsia" w:ascii="楷体" w:hAnsi="楷体" w:eastAsia="楷体" w:cs="楷体"/>
          <w:b/>
          <w:bCs/>
          <w:color w:val="auto"/>
          <w:sz w:val="32"/>
          <w:lang w:eastAsia="zh-CN"/>
        </w:rPr>
        <w:t>理念不动摇。</w:t>
      </w:r>
      <w:r>
        <w:rPr>
          <w:rFonts w:ascii="仿宋_GB2312" w:eastAsia="仿宋_GB2312"/>
          <w:b/>
          <w:color w:val="auto"/>
          <w:sz w:val="32"/>
        </w:rPr>
        <w:t>一是</w:t>
      </w:r>
      <w:r>
        <w:rPr>
          <w:rFonts w:ascii="仿宋_GB2312" w:eastAsia="仿宋_GB2312"/>
          <w:color w:val="auto"/>
          <w:sz w:val="32"/>
        </w:rPr>
        <w:t>增强抓自身建设和基层组织建设的自觉性和主动性。继续深化思想大解放活动，提高党员干部队伍的素质和能力水平，为推动</w:t>
      </w:r>
      <w:r>
        <w:rPr>
          <w:rFonts w:hint="eastAsia" w:ascii="仿宋_GB2312" w:eastAsia="仿宋_GB2312"/>
          <w:color w:val="auto"/>
          <w:sz w:val="32"/>
          <w:lang w:val="en-US" w:eastAsia="zh-CN"/>
        </w:rPr>
        <w:t>重点项目</w:t>
      </w:r>
      <w:r>
        <w:rPr>
          <w:rFonts w:ascii="仿宋_GB2312" w:eastAsia="仿宋_GB2312"/>
          <w:color w:val="auto"/>
          <w:sz w:val="32"/>
        </w:rPr>
        <w:t>、</w:t>
      </w:r>
      <w:r>
        <w:rPr>
          <w:rFonts w:hint="eastAsia" w:ascii="仿宋_GB2312" w:eastAsia="仿宋_GB2312"/>
          <w:color w:val="auto"/>
          <w:sz w:val="32"/>
          <w:lang w:val="en-US" w:eastAsia="zh-CN"/>
        </w:rPr>
        <w:t>安全生产、</w:t>
      </w:r>
      <w:r>
        <w:rPr>
          <w:rFonts w:ascii="仿宋_GB2312" w:eastAsia="仿宋_GB2312"/>
          <w:color w:val="auto"/>
          <w:sz w:val="32"/>
        </w:rPr>
        <w:t>人居环境整治等重点工作任务和基层社会治理发挥关键性的作用，坚持</w:t>
      </w:r>
      <w:r>
        <w:rPr>
          <w:rFonts w:hint="eastAsia" w:ascii="仿宋_GB2312" w:eastAsia="仿宋_GB2312"/>
          <w:color w:val="auto"/>
          <w:sz w:val="32"/>
          <w:lang w:eastAsia="zh-CN"/>
        </w:rPr>
        <w:t>镇</w:t>
      </w:r>
      <w:r>
        <w:rPr>
          <w:rFonts w:ascii="仿宋_GB2312" w:eastAsia="仿宋_GB2312"/>
          <w:color w:val="auto"/>
          <w:sz w:val="32"/>
        </w:rPr>
        <w:t>党委领导班子带头贯彻执行中央和省、</w:t>
      </w:r>
      <w:r>
        <w:rPr>
          <w:rFonts w:hint="eastAsia" w:ascii="仿宋_GB2312" w:eastAsia="仿宋_GB2312"/>
          <w:color w:val="auto"/>
          <w:sz w:val="32"/>
          <w:lang w:eastAsia="zh-CN"/>
        </w:rPr>
        <w:t>市</w:t>
      </w:r>
      <w:r>
        <w:rPr>
          <w:rFonts w:ascii="仿宋_GB2312" w:eastAsia="仿宋_GB2312"/>
          <w:color w:val="auto"/>
          <w:sz w:val="32"/>
        </w:rPr>
        <w:t>、县有关规定，带头履行党风廉政建设主体责任，切实以责任归位促责任到位。</w:t>
      </w:r>
      <w:r>
        <w:rPr>
          <w:rFonts w:ascii="仿宋_GB2312" w:eastAsia="仿宋_GB2312"/>
          <w:b/>
          <w:color w:val="auto"/>
          <w:sz w:val="32"/>
        </w:rPr>
        <w:t>二是</w:t>
      </w:r>
      <w:r>
        <w:rPr>
          <w:rFonts w:ascii="仿宋_GB2312" w:eastAsia="仿宋_GB2312"/>
          <w:color w:val="auto"/>
          <w:sz w:val="32"/>
        </w:rPr>
        <w:t>加强基层党员干部培训。提升基层党员干部的政治站位和思想道德，锻造一支政治过硬、本领过硬、作风过硬、廉洁过硬的高素质干部队伍；持续激励广大基层干部担当有为、真干实干。确保基层党员干部的引领性，提高干部解决问题的能力，实现基层党员干部由量变向质变的跨越式发展；让每一个基层组织成为人民群众坚强堡垒，确保每一个决策与部署得到充分落实。</w:t>
      </w:r>
    </w:p>
    <w:p w14:paraId="621A2D4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Times New Roman"/>
          <w:color w:val="auto"/>
          <w:sz w:val="32"/>
        </w:rPr>
      </w:pPr>
      <w:r>
        <w:rPr>
          <w:rFonts w:hint="eastAsia" w:ascii="楷体" w:hAnsi="楷体" w:eastAsia="楷体" w:cs="楷体"/>
          <w:b/>
          <w:bCs/>
          <w:color w:val="auto"/>
          <w:sz w:val="32"/>
          <w:lang w:eastAsia="zh-CN"/>
        </w:rPr>
        <w:t>（</w:t>
      </w:r>
      <w:r>
        <w:rPr>
          <w:rFonts w:hint="eastAsia" w:ascii="楷体" w:hAnsi="楷体" w:eastAsia="楷体" w:cs="楷体"/>
          <w:b/>
          <w:bCs/>
          <w:color w:val="auto"/>
          <w:sz w:val="32"/>
          <w:lang w:val="en-US" w:eastAsia="zh-CN"/>
        </w:rPr>
        <w:t>二</w:t>
      </w:r>
      <w:r>
        <w:rPr>
          <w:rFonts w:hint="eastAsia" w:ascii="楷体" w:hAnsi="楷体" w:eastAsia="楷体" w:cs="楷体"/>
          <w:b/>
          <w:bCs/>
          <w:color w:val="auto"/>
          <w:sz w:val="32"/>
          <w:lang w:eastAsia="zh-CN"/>
        </w:rPr>
        <w:t>）</w:t>
      </w:r>
      <w:r>
        <w:rPr>
          <w:rFonts w:hint="eastAsia" w:ascii="楷体" w:hAnsi="楷体" w:eastAsia="楷体" w:cs="楷体"/>
          <w:b/>
          <w:bCs/>
          <w:color w:val="auto"/>
          <w:sz w:val="32"/>
          <w:lang w:val="en-US" w:eastAsia="zh-CN"/>
        </w:rPr>
        <w:t>继续</w:t>
      </w:r>
      <w:r>
        <w:rPr>
          <w:rFonts w:hint="eastAsia" w:ascii="楷体" w:hAnsi="楷体" w:eastAsia="楷体" w:cs="楷体"/>
          <w:b/>
          <w:bCs/>
          <w:color w:val="auto"/>
          <w:sz w:val="32"/>
          <w:lang w:eastAsia="zh-CN"/>
        </w:rPr>
        <w:t>狠抓重点工作</w:t>
      </w:r>
      <w:r>
        <w:rPr>
          <w:rFonts w:hint="eastAsia" w:ascii="楷体" w:hAnsi="楷体" w:eastAsia="楷体" w:cs="楷体"/>
          <w:b/>
          <w:bCs/>
          <w:color w:val="auto"/>
          <w:sz w:val="32"/>
          <w:lang w:val="en-US" w:eastAsia="zh-CN"/>
        </w:rPr>
        <w:t>落实不松劲</w:t>
      </w:r>
      <w:r>
        <w:rPr>
          <w:rFonts w:hint="eastAsia" w:ascii="楷体" w:hAnsi="楷体" w:eastAsia="楷体" w:cs="楷体"/>
          <w:b/>
          <w:bCs/>
          <w:color w:val="auto"/>
          <w:sz w:val="32"/>
          <w:lang w:eastAsia="zh-CN"/>
        </w:rPr>
        <w:t>。</w:t>
      </w:r>
      <w:r>
        <w:rPr>
          <w:rFonts w:hint="eastAsia" w:ascii="仿宋_GB2312" w:eastAsia="仿宋_GB2312" w:cs="Times New Roman"/>
          <w:b/>
          <w:bCs/>
          <w:color w:val="auto"/>
          <w:sz w:val="32"/>
        </w:rPr>
        <w:t>一是</w:t>
      </w:r>
      <w:r>
        <w:rPr>
          <w:rFonts w:hint="eastAsia" w:ascii="仿宋_GB2312" w:eastAsia="仿宋_GB2312" w:cs="Times New Roman"/>
          <w:color w:val="auto"/>
          <w:sz w:val="32"/>
        </w:rPr>
        <w:t>推进</w:t>
      </w:r>
      <w:r>
        <w:rPr>
          <w:rFonts w:hint="eastAsia" w:ascii="仿宋_GB2312" w:eastAsia="仿宋_GB2312" w:cs="Times New Roman"/>
          <w:color w:val="auto"/>
          <w:sz w:val="32"/>
          <w:lang w:val="en-US" w:eastAsia="zh-CN"/>
        </w:rPr>
        <w:t>重点项目</w:t>
      </w:r>
      <w:r>
        <w:rPr>
          <w:rFonts w:hint="eastAsia" w:ascii="仿宋_GB2312" w:eastAsia="仿宋_GB2312" w:cs="Times New Roman"/>
          <w:color w:val="auto"/>
          <w:sz w:val="32"/>
        </w:rPr>
        <w:t>，立足于县城“提质”，坚持尽锐出战、协同作战，大力发扬白加黑、“5+2”工作精神，确保按照既定时间节点完成拆迁、腾地、倒房任务。</w:t>
      </w:r>
      <w:r>
        <w:rPr>
          <w:rFonts w:hint="eastAsia" w:ascii="仿宋_GB2312" w:eastAsia="仿宋_GB2312" w:cs="Times New Roman"/>
          <w:b/>
          <w:bCs/>
          <w:color w:val="auto"/>
          <w:sz w:val="32"/>
        </w:rPr>
        <w:t>二是</w:t>
      </w:r>
      <w:r>
        <w:rPr>
          <w:rFonts w:hint="eastAsia" w:ascii="仿宋_GB2312" w:eastAsia="仿宋_GB2312" w:cs="Times New Roman"/>
          <w:color w:val="auto"/>
          <w:sz w:val="32"/>
        </w:rPr>
        <w:t>要继续抓实控违拆违，实行控建拆违网格化全域全天候巡查、宣传、劝阻、报告制度，主动配合县清整办的清理整顿和处理工作，做到发现登记处理零遗落，对新增违法建设实施“零容忍、零增长、零存量”的管控手段和动态拆除。</w:t>
      </w:r>
      <w:r>
        <w:rPr>
          <w:rFonts w:hint="eastAsia" w:ascii="仿宋_GB2312" w:eastAsia="仿宋_GB2312" w:cs="Times New Roman"/>
          <w:b/>
          <w:bCs/>
          <w:color w:val="auto"/>
          <w:sz w:val="32"/>
        </w:rPr>
        <w:t>三是</w:t>
      </w:r>
      <w:r>
        <w:rPr>
          <w:rFonts w:hint="eastAsia" w:ascii="仿宋_GB2312" w:eastAsia="仿宋_GB2312" w:cs="Times New Roman"/>
          <w:color w:val="auto"/>
          <w:sz w:val="32"/>
        </w:rPr>
        <w:t>要持续发力城市</w:t>
      </w:r>
      <w:r>
        <w:rPr>
          <w:rFonts w:hint="eastAsia" w:ascii="仿宋_GB2312" w:eastAsia="仿宋_GB2312" w:cs="Times New Roman"/>
          <w:color w:val="auto"/>
          <w:sz w:val="32"/>
          <w:lang w:val="en-US" w:eastAsia="zh-CN"/>
        </w:rPr>
        <w:t>更新</w:t>
      </w:r>
      <w:r>
        <w:rPr>
          <w:rFonts w:hint="eastAsia" w:ascii="仿宋_GB2312" w:eastAsia="仿宋_GB2312" w:cs="Times New Roman"/>
          <w:color w:val="auto"/>
          <w:sz w:val="32"/>
        </w:rPr>
        <w:t>，在做好全</w:t>
      </w:r>
      <w:r>
        <w:rPr>
          <w:rFonts w:hint="eastAsia" w:ascii="仿宋_GB2312" w:eastAsia="仿宋_GB2312" w:cs="Times New Roman"/>
          <w:color w:val="auto"/>
          <w:sz w:val="32"/>
          <w:lang w:eastAsia="zh-CN"/>
        </w:rPr>
        <w:t>镇</w:t>
      </w:r>
      <w:r>
        <w:rPr>
          <w:rFonts w:hint="eastAsia" w:ascii="仿宋_GB2312" w:eastAsia="仿宋_GB2312" w:cs="Times New Roman"/>
          <w:color w:val="auto"/>
          <w:sz w:val="32"/>
        </w:rPr>
        <w:t>卫生日常保洁的基础上，加强市容市貌管理</w:t>
      </w:r>
      <w:r>
        <w:rPr>
          <w:rFonts w:hint="eastAsia" w:ascii="仿宋_GB2312" w:eastAsia="仿宋_GB2312" w:cs="Times New Roman"/>
          <w:color w:val="auto"/>
          <w:sz w:val="32"/>
          <w:lang w:val="en-US" w:eastAsia="zh-CN"/>
        </w:rPr>
        <w:t>和文明建设工作</w:t>
      </w:r>
      <w:r>
        <w:rPr>
          <w:rFonts w:hint="eastAsia" w:ascii="仿宋_GB2312" w:eastAsia="仿宋_GB2312" w:cs="Times New Roman"/>
          <w:color w:val="auto"/>
          <w:sz w:val="32"/>
        </w:rPr>
        <w:t>，坚持加强县城科学严管不放松，全面加强县城交通秩序、</w:t>
      </w:r>
      <w:r>
        <w:rPr>
          <w:rFonts w:hint="eastAsia" w:ascii="仿宋_GB2312" w:eastAsia="仿宋_GB2312" w:cs="Times New Roman"/>
          <w:color w:val="auto"/>
          <w:sz w:val="32"/>
          <w:lang w:val="en-US" w:eastAsia="zh-CN"/>
        </w:rPr>
        <w:t>文明宣传、</w:t>
      </w:r>
      <w:r>
        <w:rPr>
          <w:rFonts w:hint="eastAsia" w:ascii="仿宋_GB2312" w:eastAsia="仿宋_GB2312" w:cs="Times New Roman"/>
          <w:color w:val="auto"/>
          <w:sz w:val="32"/>
        </w:rPr>
        <w:t>环境卫生、市场经营等综合整治，加强公益设施维护和管理，彻底改变“脏、乱、差”的现状。</w:t>
      </w:r>
    </w:p>
    <w:p w14:paraId="6A8A6A0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Times New Roman"/>
          <w:color w:val="auto"/>
          <w:sz w:val="32"/>
        </w:rPr>
      </w:pPr>
      <w:r>
        <w:rPr>
          <w:rFonts w:hint="eastAsia" w:ascii="楷体" w:hAnsi="楷体" w:eastAsia="楷体" w:cs="楷体"/>
          <w:b/>
          <w:bCs/>
          <w:color w:val="auto"/>
          <w:sz w:val="32"/>
          <w:lang w:eastAsia="zh-CN"/>
        </w:rPr>
        <w:t>（</w:t>
      </w:r>
      <w:r>
        <w:rPr>
          <w:rFonts w:hint="eastAsia" w:ascii="楷体" w:hAnsi="楷体" w:eastAsia="楷体" w:cs="楷体"/>
          <w:b/>
          <w:bCs/>
          <w:color w:val="auto"/>
          <w:sz w:val="32"/>
          <w:lang w:val="en-US" w:eastAsia="zh-CN"/>
        </w:rPr>
        <w:t>三</w:t>
      </w:r>
      <w:r>
        <w:rPr>
          <w:rFonts w:hint="eastAsia" w:ascii="楷体" w:hAnsi="楷体" w:eastAsia="楷体" w:cs="楷体"/>
          <w:b/>
          <w:bCs/>
          <w:color w:val="auto"/>
          <w:sz w:val="32"/>
          <w:lang w:eastAsia="zh-CN"/>
        </w:rPr>
        <w:t>）</w:t>
      </w:r>
      <w:r>
        <w:rPr>
          <w:rFonts w:hint="eastAsia" w:ascii="楷体" w:hAnsi="楷体" w:eastAsia="楷体" w:cs="楷体"/>
          <w:b/>
          <w:bCs/>
          <w:color w:val="auto"/>
          <w:sz w:val="32"/>
          <w:lang w:val="en-US" w:eastAsia="zh-CN"/>
        </w:rPr>
        <w:t>继续</w:t>
      </w:r>
      <w:r>
        <w:rPr>
          <w:rFonts w:hint="eastAsia" w:ascii="楷体" w:hAnsi="楷体" w:eastAsia="楷体" w:cs="楷体"/>
          <w:b/>
          <w:bCs/>
          <w:color w:val="auto"/>
          <w:sz w:val="32"/>
          <w:lang w:eastAsia="zh-CN"/>
        </w:rPr>
        <w:t>加强</w:t>
      </w:r>
      <w:r>
        <w:rPr>
          <w:rFonts w:hint="eastAsia" w:ascii="楷体" w:hAnsi="楷体" w:eastAsia="楷体" w:cs="楷体"/>
          <w:b/>
          <w:bCs/>
          <w:color w:val="auto"/>
          <w:sz w:val="32"/>
          <w:lang w:val="en-US" w:eastAsia="zh-CN"/>
        </w:rPr>
        <w:t>干部</w:t>
      </w:r>
      <w:r>
        <w:rPr>
          <w:rFonts w:hint="eastAsia" w:ascii="楷体" w:hAnsi="楷体" w:eastAsia="楷体" w:cs="楷体"/>
          <w:b/>
          <w:bCs/>
          <w:color w:val="auto"/>
          <w:sz w:val="32"/>
          <w:lang w:eastAsia="zh-CN"/>
        </w:rPr>
        <w:t>队伍建设</w:t>
      </w:r>
      <w:r>
        <w:rPr>
          <w:rFonts w:hint="eastAsia" w:ascii="楷体" w:hAnsi="楷体" w:eastAsia="楷体" w:cs="楷体"/>
          <w:b/>
          <w:bCs/>
          <w:color w:val="auto"/>
          <w:sz w:val="32"/>
          <w:lang w:val="en-US" w:eastAsia="zh-CN"/>
        </w:rPr>
        <w:t>不懈怠</w:t>
      </w:r>
      <w:r>
        <w:rPr>
          <w:rFonts w:hint="eastAsia" w:ascii="楷体" w:hAnsi="楷体" w:eastAsia="楷体" w:cs="楷体"/>
          <w:b/>
          <w:bCs/>
          <w:color w:val="auto"/>
          <w:sz w:val="32"/>
          <w:lang w:eastAsia="zh-CN"/>
        </w:rPr>
        <w:t>。</w:t>
      </w:r>
      <w:r>
        <w:rPr>
          <w:rFonts w:hint="eastAsia" w:ascii="仿宋_GB2312" w:eastAsia="仿宋_GB2312" w:cs="Times New Roman"/>
          <w:b/>
          <w:bCs/>
          <w:color w:val="auto"/>
          <w:sz w:val="32"/>
        </w:rPr>
        <w:t>一是</w:t>
      </w:r>
      <w:r>
        <w:rPr>
          <w:rFonts w:hint="eastAsia" w:ascii="仿宋_GB2312" w:eastAsia="仿宋_GB2312" w:cs="Times New Roman"/>
          <w:color w:val="auto"/>
          <w:sz w:val="32"/>
        </w:rPr>
        <w:t>把党的政治建设摆在首位。持续深入学习贯彻党的</w:t>
      </w:r>
      <w:r>
        <w:rPr>
          <w:rFonts w:hint="eastAsia" w:ascii="仿宋_GB2312" w:eastAsia="仿宋_GB2312" w:cs="Times New Roman"/>
          <w:color w:val="auto"/>
          <w:sz w:val="32"/>
          <w:lang w:val="en-US" w:eastAsia="zh-CN"/>
        </w:rPr>
        <w:t>二十</w:t>
      </w:r>
      <w:r>
        <w:rPr>
          <w:rFonts w:hint="eastAsia" w:ascii="仿宋_GB2312" w:eastAsia="仿宋_GB2312" w:cs="Times New Roman"/>
          <w:color w:val="auto"/>
          <w:sz w:val="32"/>
        </w:rPr>
        <w:t>大精神和</w:t>
      </w:r>
      <w:r>
        <w:rPr>
          <w:rFonts w:hint="eastAsia" w:ascii="仿宋_GB2312" w:eastAsia="仿宋_GB2312" w:cs="Times New Roman"/>
          <w:color w:val="auto"/>
          <w:sz w:val="32"/>
          <w:lang w:val="en-US" w:eastAsia="zh-CN"/>
        </w:rPr>
        <w:t>党的二十届三中全会精神</w:t>
      </w:r>
      <w:r>
        <w:rPr>
          <w:rFonts w:hint="eastAsia" w:ascii="仿宋_GB2312" w:eastAsia="仿宋_GB2312" w:cs="Times New Roman"/>
          <w:color w:val="auto"/>
          <w:sz w:val="32"/>
        </w:rPr>
        <w:t>，坚定政治立场和政治方向。</w:t>
      </w:r>
      <w:r>
        <w:rPr>
          <w:rFonts w:hint="eastAsia" w:ascii="仿宋_GB2312" w:eastAsia="仿宋_GB2312" w:cs="Times New Roman"/>
          <w:b/>
          <w:bCs/>
          <w:color w:val="auto"/>
          <w:sz w:val="32"/>
        </w:rPr>
        <w:t>二是</w:t>
      </w:r>
      <w:r>
        <w:rPr>
          <w:rFonts w:hint="eastAsia" w:ascii="仿宋_GB2312" w:eastAsia="仿宋_GB2312" w:cs="Times New Roman"/>
          <w:color w:val="auto"/>
          <w:sz w:val="32"/>
        </w:rPr>
        <w:t>全面提高推动落实的能力水平。全镇干部职工树立“既要政治过硬，也要本领高强”的意识，结合岗位职责，有针对性地学习业务知识、法律知识，学会运用“五种方法”，适应新时代发展的要求。</w:t>
      </w:r>
      <w:r>
        <w:rPr>
          <w:rFonts w:hint="eastAsia" w:ascii="仿宋_GB2312" w:eastAsia="仿宋_GB2312" w:cs="Times New Roman"/>
          <w:b/>
          <w:bCs/>
          <w:color w:val="auto"/>
          <w:sz w:val="32"/>
        </w:rPr>
        <w:t>三是</w:t>
      </w:r>
      <w:r>
        <w:rPr>
          <w:rFonts w:hint="eastAsia" w:ascii="仿宋_GB2312" w:eastAsia="仿宋_GB2312" w:cs="Times New Roman"/>
          <w:color w:val="auto"/>
          <w:sz w:val="32"/>
        </w:rPr>
        <w:t>深入转作风敢于担当作为。树立正确的苦乐观，主动适应工作的“高标准、快节奏”。牢固树立“复命”意识，做到事事有回音，件件有着落。强化“上级为下级担责，下级为上级负责”的意识，严管厚爱，让干部想干事、敢做事、善成事、不出事。</w:t>
      </w:r>
    </w:p>
    <w:p w14:paraId="4C8F918E">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eastAsia" w:ascii="仿宋_GB2312" w:eastAsia="仿宋_GB2312" w:cs="Times New Roman"/>
          <w:color w:val="auto"/>
          <w:sz w:val="32"/>
        </w:rPr>
      </w:pPr>
      <w:r>
        <w:rPr>
          <w:rFonts w:hint="eastAsia" w:ascii="楷体" w:hAnsi="楷体" w:eastAsia="楷体" w:cs="楷体"/>
          <w:b/>
          <w:bCs/>
          <w:color w:val="auto"/>
          <w:sz w:val="32"/>
          <w:lang w:eastAsia="zh-CN"/>
        </w:rPr>
        <w:t>（</w:t>
      </w:r>
      <w:r>
        <w:rPr>
          <w:rFonts w:hint="eastAsia" w:ascii="楷体" w:hAnsi="楷体" w:eastAsia="楷体" w:cs="楷体"/>
          <w:b/>
          <w:bCs/>
          <w:color w:val="auto"/>
          <w:sz w:val="32"/>
          <w:lang w:val="en-US" w:eastAsia="zh-CN"/>
        </w:rPr>
        <w:t>四</w:t>
      </w:r>
      <w:r>
        <w:rPr>
          <w:rFonts w:hint="eastAsia" w:ascii="楷体" w:hAnsi="楷体" w:eastAsia="楷体" w:cs="楷体"/>
          <w:b/>
          <w:bCs/>
          <w:color w:val="auto"/>
          <w:sz w:val="32"/>
          <w:lang w:eastAsia="zh-CN"/>
        </w:rPr>
        <w:t>）</w:t>
      </w:r>
      <w:r>
        <w:rPr>
          <w:rFonts w:hint="eastAsia" w:ascii="楷体" w:hAnsi="楷体" w:eastAsia="楷体" w:cs="楷体"/>
          <w:b/>
          <w:bCs/>
          <w:color w:val="auto"/>
          <w:sz w:val="32"/>
          <w:lang w:val="en-US" w:eastAsia="zh-CN"/>
        </w:rPr>
        <w:t>继续</w:t>
      </w:r>
      <w:r>
        <w:rPr>
          <w:rFonts w:hint="eastAsia" w:ascii="楷体" w:hAnsi="楷体" w:eastAsia="楷体" w:cs="楷体"/>
          <w:b/>
          <w:bCs/>
          <w:color w:val="auto"/>
          <w:sz w:val="32"/>
          <w:lang w:eastAsia="zh-CN"/>
        </w:rPr>
        <w:t>健全</w:t>
      </w:r>
      <w:r>
        <w:rPr>
          <w:rFonts w:hint="eastAsia" w:ascii="楷体" w:hAnsi="楷体" w:eastAsia="楷体" w:cs="楷体"/>
          <w:b/>
          <w:bCs/>
          <w:color w:val="auto"/>
          <w:sz w:val="32"/>
          <w:lang w:val="en-US" w:eastAsia="zh-CN"/>
        </w:rPr>
        <w:t>完善</w:t>
      </w:r>
      <w:r>
        <w:rPr>
          <w:rFonts w:hint="eastAsia" w:ascii="楷体" w:hAnsi="楷体" w:eastAsia="楷体" w:cs="楷体"/>
          <w:b/>
          <w:bCs/>
          <w:color w:val="auto"/>
          <w:sz w:val="32"/>
          <w:lang w:eastAsia="zh-CN"/>
        </w:rPr>
        <w:t>治理体系</w:t>
      </w:r>
      <w:r>
        <w:rPr>
          <w:rFonts w:hint="eastAsia" w:ascii="楷体" w:hAnsi="楷体" w:eastAsia="楷体" w:cs="楷体"/>
          <w:b/>
          <w:bCs/>
          <w:color w:val="auto"/>
          <w:sz w:val="32"/>
          <w:lang w:val="en-US" w:eastAsia="zh-CN"/>
        </w:rPr>
        <w:t>不缺位</w:t>
      </w:r>
      <w:r>
        <w:rPr>
          <w:rFonts w:hint="eastAsia" w:ascii="楷体" w:hAnsi="楷体" w:eastAsia="楷体" w:cs="楷体"/>
          <w:b/>
          <w:bCs/>
          <w:color w:val="auto"/>
          <w:sz w:val="32"/>
          <w:lang w:eastAsia="zh-CN"/>
        </w:rPr>
        <w:t>。</w:t>
      </w:r>
      <w:r>
        <w:rPr>
          <w:rFonts w:hint="eastAsia" w:ascii="仿宋_GB2312" w:eastAsia="仿宋_GB2312" w:cs="Times New Roman"/>
          <w:color w:val="auto"/>
          <w:sz w:val="32"/>
        </w:rPr>
        <w:t>深化移风易俗专项治理，培育良好的乡风民风。深入开展</w:t>
      </w:r>
      <w:r>
        <w:rPr>
          <w:rFonts w:hint="eastAsia" w:ascii="仿宋_GB2312" w:eastAsia="仿宋_GB2312" w:cs="Times New Roman"/>
          <w:color w:val="auto"/>
          <w:sz w:val="32"/>
          <w:lang w:eastAsia="zh-CN"/>
        </w:rPr>
        <w:t>“利剑护蕾”</w:t>
      </w:r>
      <w:r>
        <w:rPr>
          <w:rFonts w:hint="eastAsia" w:ascii="仿宋_GB2312" w:eastAsia="仿宋_GB2312" w:cs="Times New Roman"/>
          <w:color w:val="auto"/>
          <w:sz w:val="32"/>
        </w:rPr>
        <w:t>、禁毒专项斗争等工作，重视矛盾纠纷排查调处工作，努力把矛盾纠纷解决在基层，化解在源头，积极预防和妥善处理群体性、突发性事件。严格落实安全生产责任制，加强食品、药品、</w:t>
      </w:r>
      <w:r>
        <w:rPr>
          <w:rFonts w:hint="eastAsia" w:ascii="仿宋_GB2312" w:eastAsia="仿宋_GB2312" w:cs="Times New Roman"/>
          <w:color w:val="auto"/>
          <w:sz w:val="32"/>
          <w:lang w:eastAsia="zh-CN"/>
        </w:rPr>
        <w:t>食品</w:t>
      </w:r>
      <w:r>
        <w:rPr>
          <w:rFonts w:hint="eastAsia" w:ascii="仿宋_GB2312" w:eastAsia="仿宋_GB2312" w:cs="Times New Roman"/>
          <w:color w:val="auto"/>
          <w:sz w:val="32"/>
        </w:rPr>
        <w:t>质量安全监管和企业</w:t>
      </w:r>
      <w:r>
        <w:rPr>
          <w:rFonts w:hint="eastAsia" w:ascii="仿宋_GB2312" w:eastAsia="仿宋_GB2312" w:cs="Times New Roman"/>
          <w:color w:val="auto"/>
          <w:sz w:val="32"/>
          <w:lang w:val="en-US" w:eastAsia="zh-CN"/>
        </w:rPr>
        <w:t>等重点行业的</w:t>
      </w:r>
      <w:r>
        <w:rPr>
          <w:rFonts w:hint="eastAsia" w:ascii="仿宋_GB2312" w:eastAsia="仿宋_GB2312" w:cs="Times New Roman"/>
          <w:color w:val="auto"/>
          <w:sz w:val="32"/>
        </w:rPr>
        <w:t>消防安全的规范管理，全面整治安全隐患，建立问题清单制和问题销号制，加强长效监管。提高社会保障覆盖面和待遇水平，进一步规范补贴或补助类的民生资金管理，严格执行“政策公开、程序透明、支付到人、打卡发放”的办法；继续实行工作督查等各项制度，认真落实好各项惠民政策，提升群众幸福指数。</w:t>
      </w:r>
    </w:p>
    <w:p w14:paraId="3BB3883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 w:hAnsi="仿宋" w:eastAsia="仿宋" w:cs="仿宋"/>
          <w:i w:val="0"/>
          <w:iCs w:val="0"/>
          <w:caps w:val="0"/>
          <w:color w:val="000000"/>
          <w:spacing w:val="0"/>
          <w:sz w:val="32"/>
          <w:szCs w:val="32"/>
          <w:shd w:val="clear" w:fill="FFFFFF"/>
        </w:rPr>
      </w:pPr>
    </w:p>
    <w:p w14:paraId="3126B50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附件：1.部门整体支出绩效评价基础数据表</w:t>
      </w:r>
    </w:p>
    <w:p w14:paraId="647CB44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rPr>
          <w:rFonts w:hint="eastAsia" w:ascii="仿宋" w:hAnsi="仿宋" w:eastAsia="仿宋" w:cs="仿宋"/>
          <w:i w:val="0"/>
          <w:iCs w:val="0"/>
          <w:caps w:val="0"/>
          <w:color w:val="000000"/>
          <w:spacing w:val="0"/>
          <w:sz w:val="32"/>
          <w:szCs w:val="32"/>
        </w:rPr>
      </w:pPr>
      <w:r>
        <w:rPr>
          <w:rFonts w:hint="eastAsia" w:ascii="仿宋" w:hAnsi="仿宋" w:eastAsia="仿宋" w:cs="仿宋"/>
          <w:i w:val="0"/>
          <w:iCs w:val="0"/>
          <w:caps w:val="0"/>
          <w:color w:val="000000"/>
          <w:spacing w:val="0"/>
          <w:sz w:val="32"/>
          <w:szCs w:val="32"/>
          <w:shd w:val="clear" w:fill="FFFFFF"/>
        </w:rPr>
        <w:t>2.部门整体支出绩效自评表</w:t>
      </w:r>
    </w:p>
    <w:p w14:paraId="2E4449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w:t>
      </w:r>
    </w:p>
    <w:p w14:paraId="1701399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480" w:firstLineChars="1400"/>
        <w:jc w:val="both"/>
        <w:rPr>
          <w:rFonts w:hint="eastAsia"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绥宁县长铺镇人民政府</w:t>
      </w:r>
    </w:p>
    <w:p w14:paraId="077D0F8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2024年12月31日</w:t>
      </w:r>
    </w:p>
    <w:p w14:paraId="7C1149EF">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1280" w:firstLineChars="400"/>
        <w:jc w:val="both"/>
        <w:rPr>
          <w:rFonts w:hint="default" w:ascii="黑体" w:hAnsi="黑体" w:eastAsia="黑体" w:cs="黑体"/>
          <w:i w:val="0"/>
          <w:iCs w:val="0"/>
          <w:caps w:val="0"/>
          <w:color w:val="000000"/>
          <w:spacing w:val="0"/>
          <w:sz w:val="32"/>
          <w:szCs w:val="32"/>
          <w:shd w:val="clear" w:fill="FFFFFF"/>
          <w:lang w:val="en-US" w:eastAsia="zh-CN"/>
        </w:rPr>
      </w:pPr>
    </w:p>
    <w:p w14:paraId="3BF0B1C4">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黑体" w:hAnsi="黑体" w:eastAsia="黑体" w:cs="黑体"/>
          <w:i w:val="0"/>
          <w:iCs w:val="0"/>
          <w:caps w:val="0"/>
          <w:color w:val="000000"/>
          <w:spacing w:val="0"/>
          <w:sz w:val="32"/>
          <w:szCs w:val="32"/>
          <w:shd w:val="clear" w:fill="FFFFFF"/>
        </w:rPr>
      </w:pPr>
    </w:p>
    <w:p w14:paraId="3096FFDE">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黑体" w:hAnsi="黑体" w:eastAsia="黑体" w:cs="黑体"/>
          <w:i w:val="0"/>
          <w:iCs w:val="0"/>
          <w:caps w:val="0"/>
          <w:color w:val="000000"/>
          <w:spacing w:val="0"/>
          <w:sz w:val="32"/>
          <w:szCs w:val="32"/>
          <w:shd w:val="clear" w:fill="FFFFFF"/>
        </w:rPr>
      </w:pPr>
    </w:p>
    <w:p w14:paraId="0DA5DA6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黑体" w:hAnsi="黑体" w:eastAsia="黑体" w:cs="黑体"/>
          <w:i w:val="0"/>
          <w:iCs w:val="0"/>
          <w:caps w:val="0"/>
          <w:color w:val="000000"/>
          <w:spacing w:val="0"/>
          <w:sz w:val="32"/>
          <w:szCs w:val="32"/>
          <w:shd w:val="clear" w:fill="FFFFFF"/>
        </w:rPr>
      </w:pPr>
    </w:p>
    <w:p w14:paraId="5CCB598A">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right="0"/>
        <w:jc w:val="both"/>
        <w:rPr>
          <w:rFonts w:hint="eastAsia" w:ascii="仿宋" w:hAnsi="仿宋" w:eastAsia="仿宋" w:cs="仿宋"/>
          <w:i w:val="0"/>
          <w:iCs w:val="0"/>
          <w:caps w:val="0"/>
          <w:color w:val="000000"/>
          <w:spacing w:val="0"/>
          <w:sz w:val="24"/>
          <w:szCs w:val="24"/>
          <w:lang w:val="en-US" w:eastAsia="zh-CN"/>
        </w:rPr>
      </w:pPr>
      <w:r>
        <w:rPr>
          <w:rFonts w:hint="eastAsia" w:ascii="黑体" w:hAnsi="黑体" w:eastAsia="黑体" w:cs="黑体"/>
          <w:i w:val="0"/>
          <w:iCs w:val="0"/>
          <w:caps w:val="0"/>
          <w:color w:val="000000"/>
          <w:spacing w:val="0"/>
          <w:sz w:val="32"/>
          <w:szCs w:val="32"/>
          <w:shd w:val="clear" w:fill="FFFFFF"/>
        </w:rPr>
        <w:t>附件</w:t>
      </w:r>
      <w:r>
        <w:rPr>
          <w:rFonts w:hint="eastAsia" w:ascii="黑体" w:hAnsi="黑体" w:eastAsia="黑体" w:cs="黑体"/>
          <w:i w:val="0"/>
          <w:iCs w:val="0"/>
          <w:caps w:val="0"/>
          <w:color w:val="000000"/>
          <w:spacing w:val="0"/>
          <w:sz w:val="32"/>
          <w:szCs w:val="32"/>
          <w:shd w:val="clear" w:fill="FFFFFF"/>
          <w:lang w:val="en-US" w:eastAsia="zh-CN"/>
        </w:rPr>
        <w:t>1-</w:t>
      </w:r>
      <w:r>
        <w:rPr>
          <w:rFonts w:hint="eastAsia" w:ascii="黑体" w:hAnsi="黑体" w:eastAsia="黑体" w:cs="黑体"/>
          <w:i w:val="0"/>
          <w:iCs w:val="0"/>
          <w:caps w:val="0"/>
          <w:color w:val="000000"/>
          <w:spacing w:val="0"/>
          <w:sz w:val="32"/>
          <w:szCs w:val="32"/>
          <w:shd w:val="clear" w:fill="FFFFFF"/>
        </w:rPr>
        <w:t>1</w:t>
      </w:r>
    </w:p>
    <w:p w14:paraId="7E116C8A">
      <w:pPr>
        <w:spacing w:line="740" w:lineRule="exact"/>
        <w:ind w:firstLine="800" w:firstLineChars="200"/>
        <w:jc w:val="center"/>
        <w:rPr>
          <w:rFonts w:hint="eastAsia" w:ascii="黑体" w:hAnsi="黑体" w:eastAsia="黑体" w:cs="黑体"/>
          <w:spacing w:val="-20"/>
          <w:sz w:val="44"/>
          <w:szCs w:val="44"/>
        </w:rPr>
      </w:pPr>
      <w:r>
        <w:rPr>
          <w:rFonts w:hint="eastAsia" w:ascii="黑体" w:hAnsi="黑体" w:eastAsia="黑体" w:cs="黑体"/>
          <w:spacing w:val="-20"/>
          <w:sz w:val="44"/>
          <w:szCs w:val="44"/>
          <w:lang w:eastAsia="zh-CN"/>
        </w:rPr>
        <w:t>2024</w:t>
      </w:r>
      <w:r>
        <w:rPr>
          <w:rFonts w:hint="eastAsia" w:ascii="黑体" w:hAnsi="黑体" w:eastAsia="黑体" w:cs="黑体"/>
          <w:spacing w:val="-20"/>
          <w:sz w:val="44"/>
          <w:szCs w:val="44"/>
        </w:rPr>
        <w:t>年度部门整体支出绩效评价基础数据表</w:t>
      </w:r>
    </w:p>
    <w:tbl>
      <w:tblPr>
        <w:tblStyle w:val="7"/>
        <w:tblW w:w="10045" w:type="dxa"/>
        <w:jc w:val="center"/>
        <w:tblLayout w:type="fixed"/>
        <w:tblCellMar>
          <w:top w:w="0" w:type="dxa"/>
          <w:left w:w="108" w:type="dxa"/>
          <w:bottom w:w="0" w:type="dxa"/>
          <w:right w:w="108" w:type="dxa"/>
        </w:tblCellMar>
      </w:tblPr>
      <w:tblGrid>
        <w:gridCol w:w="3543"/>
        <w:gridCol w:w="1207"/>
        <w:gridCol w:w="930"/>
        <w:gridCol w:w="945"/>
        <w:gridCol w:w="1110"/>
        <w:gridCol w:w="1155"/>
        <w:gridCol w:w="1155"/>
      </w:tblGrid>
      <w:tr w14:paraId="39D61B78">
        <w:tblPrEx>
          <w:tblCellMar>
            <w:top w:w="0" w:type="dxa"/>
            <w:left w:w="108" w:type="dxa"/>
            <w:bottom w:w="0" w:type="dxa"/>
            <w:right w:w="108" w:type="dxa"/>
          </w:tblCellMar>
        </w:tblPrEx>
        <w:trPr>
          <w:jc w:val="center"/>
        </w:trPr>
        <w:tc>
          <w:tcPr>
            <w:tcW w:w="3543" w:type="dxa"/>
            <w:vMerge w:val="restart"/>
            <w:tcBorders>
              <w:top w:val="single" w:color="auto" w:sz="4" w:space="0"/>
              <w:left w:val="single" w:color="auto" w:sz="4" w:space="0"/>
              <w:bottom w:val="single" w:color="auto" w:sz="4" w:space="0"/>
              <w:right w:val="single" w:color="auto" w:sz="4" w:space="0"/>
            </w:tcBorders>
            <w:noWrap w:val="0"/>
            <w:vAlign w:val="center"/>
          </w:tcPr>
          <w:p w14:paraId="246E3BBB">
            <w:pPr>
              <w:widowControl/>
              <w:spacing w:line="320" w:lineRule="exact"/>
              <w:jc w:val="center"/>
              <w:rPr>
                <w:rFonts w:hint="eastAsia" w:ascii="仿宋" w:hAnsi="仿宋" w:eastAsia="仿宋" w:cs="仿宋"/>
                <w:kern w:val="0"/>
                <w:sz w:val="32"/>
                <w:szCs w:val="21"/>
              </w:rPr>
            </w:pPr>
            <w:r>
              <w:rPr>
                <w:rFonts w:hint="eastAsia" w:ascii="仿宋" w:hAnsi="仿宋" w:eastAsia="仿宋" w:cs="仿宋"/>
                <w:b/>
                <w:bCs/>
                <w:kern w:val="0"/>
                <w:sz w:val="21"/>
                <w:szCs w:val="21"/>
              </w:rPr>
              <w:t>财政供养人员情况（人）</w:t>
            </w:r>
          </w:p>
        </w:tc>
        <w:tc>
          <w:tcPr>
            <w:tcW w:w="2137" w:type="dxa"/>
            <w:gridSpan w:val="2"/>
            <w:tcBorders>
              <w:top w:val="single" w:color="auto" w:sz="4" w:space="0"/>
              <w:left w:val="nil"/>
              <w:bottom w:val="single" w:color="auto" w:sz="4" w:space="0"/>
              <w:right w:val="single" w:color="auto" w:sz="4" w:space="0"/>
            </w:tcBorders>
            <w:noWrap w:val="0"/>
            <w:vAlign w:val="center"/>
          </w:tcPr>
          <w:p w14:paraId="4447CB91">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编制数</w:t>
            </w:r>
          </w:p>
        </w:tc>
        <w:tc>
          <w:tcPr>
            <w:tcW w:w="2055" w:type="dxa"/>
            <w:gridSpan w:val="2"/>
            <w:tcBorders>
              <w:top w:val="single" w:color="auto" w:sz="4" w:space="0"/>
              <w:left w:val="nil"/>
              <w:bottom w:val="single" w:color="auto" w:sz="4" w:space="0"/>
              <w:right w:val="single" w:color="auto" w:sz="4" w:space="0"/>
            </w:tcBorders>
            <w:noWrap w:val="0"/>
            <w:vAlign w:val="center"/>
          </w:tcPr>
          <w:p w14:paraId="2C084124">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年实际在职人数</w:t>
            </w:r>
          </w:p>
        </w:tc>
        <w:tc>
          <w:tcPr>
            <w:tcW w:w="2310" w:type="dxa"/>
            <w:gridSpan w:val="2"/>
            <w:tcBorders>
              <w:top w:val="single" w:color="auto" w:sz="4" w:space="0"/>
              <w:left w:val="nil"/>
              <w:bottom w:val="single" w:color="auto" w:sz="4" w:space="0"/>
              <w:right w:val="single" w:color="auto" w:sz="4" w:space="0"/>
            </w:tcBorders>
            <w:noWrap w:val="0"/>
            <w:vAlign w:val="center"/>
          </w:tcPr>
          <w:p w14:paraId="5F4B8604">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控制率</w:t>
            </w:r>
          </w:p>
        </w:tc>
      </w:tr>
      <w:tr w14:paraId="23991A2D">
        <w:tblPrEx>
          <w:tblCellMar>
            <w:top w:w="0" w:type="dxa"/>
            <w:left w:w="108" w:type="dxa"/>
            <w:bottom w:w="0" w:type="dxa"/>
            <w:right w:w="108" w:type="dxa"/>
          </w:tblCellMar>
        </w:tblPrEx>
        <w:trPr>
          <w:jc w:val="center"/>
        </w:trPr>
        <w:tc>
          <w:tcPr>
            <w:tcW w:w="3543" w:type="dxa"/>
            <w:vMerge w:val="continue"/>
            <w:tcBorders>
              <w:top w:val="single" w:color="auto" w:sz="4" w:space="0"/>
              <w:left w:val="single" w:color="auto" w:sz="4" w:space="0"/>
              <w:bottom w:val="single" w:color="auto" w:sz="4" w:space="0"/>
              <w:right w:val="single" w:color="auto" w:sz="4" w:space="0"/>
            </w:tcBorders>
            <w:noWrap w:val="0"/>
            <w:vAlign w:val="center"/>
          </w:tcPr>
          <w:p w14:paraId="63F40973">
            <w:pPr>
              <w:widowControl/>
              <w:spacing w:line="320" w:lineRule="exact"/>
              <w:jc w:val="left"/>
              <w:rPr>
                <w:rFonts w:hint="eastAsia" w:ascii="仿宋" w:hAnsi="仿宋" w:eastAsia="仿宋" w:cs="仿宋"/>
                <w:kern w:val="0"/>
                <w:sz w:val="32"/>
                <w:szCs w:val="21"/>
              </w:rPr>
            </w:pPr>
          </w:p>
        </w:tc>
        <w:tc>
          <w:tcPr>
            <w:tcW w:w="2137" w:type="dxa"/>
            <w:gridSpan w:val="2"/>
            <w:tcBorders>
              <w:top w:val="single" w:color="auto" w:sz="4" w:space="0"/>
              <w:left w:val="nil"/>
              <w:bottom w:val="single" w:color="auto" w:sz="4" w:space="0"/>
              <w:right w:val="single" w:color="auto" w:sz="4" w:space="0"/>
            </w:tcBorders>
            <w:noWrap w:val="0"/>
            <w:vAlign w:val="center"/>
          </w:tcPr>
          <w:p w14:paraId="724561A8">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58</w:t>
            </w:r>
          </w:p>
        </w:tc>
        <w:tc>
          <w:tcPr>
            <w:tcW w:w="2055" w:type="dxa"/>
            <w:gridSpan w:val="2"/>
            <w:tcBorders>
              <w:top w:val="single" w:color="auto" w:sz="4" w:space="0"/>
              <w:left w:val="nil"/>
              <w:bottom w:val="single" w:color="auto" w:sz="4" w:space="0"/>
              <w:right w:val="single" w:color="auto" w:sz="4" w:space="0"/>
            </w:tcBorders>
            <w:noWrap w:val="0"/>
            <w:vAlign w:val="center"/>
          </w:tcPr>
          <w:p w14:paraId="0D3D329F">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58</w:t>
            </w:r>
          </w:p>
        </w:tc>
        <w:tc>
          <w:tcPr>
            <w:tcW w:w="2310" w:type="dxa"/>
            <w:gridSpan w:val="2"/>
            <w:tcBorders>
              <w:top w:val="single" w:color="auto" w:sz="4" w:space="0"/>
              <w:left w:val="nil"/>
              <w:bottom w:val="single" w:color="auto" w:sz="4" w:space="0"/>
              <w:right w:val="single" w:color="auto" w:sz="4" w:space="0"/>
            </w:tcBorders>
            <w:noWrap w:val="0"/>
            <w:vAlign w:val="center"/>
          </w:tcPr>
          <w:p w14:paraId="41BDA6CA">
            <w:pPr>
              <w:widowControl/>
              <w:spacing w:line="320" w:lineRule="exact"/>
              <w:jc w:val="center"/>
              <w:rPr>
                <w:rFonts w:hint="eastAsia" w:ascii="仿宋" w:hAnsi="仿宋" w:eastAsia="仿宋" w:cs="仿宋"/>
                <w:kern w:val="0"/>
                <w:sz w:val="21"/>
                <w:szCs w:val="21"/>
              </w:rPr>
            </w:pPr>
            <w:r>
              <w:rPr>
                <w:rFonts w:eastAsia="仿宋_GB2312"/>
                <w:kern w:val="0"/>
                <w:sz w:val="21"/>
                <w:szCs w:val="21"/>
              </w:rPr>
              <w:t>100%</w:t>
            </w:r>
          </w:p>
        </w:tc>
      </w:tr>
      <w:tr w14:paraId="66646598">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EA2E742">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rPr>
              <w:t>经费控制情况（万元）</w:t>
            </w:r>
          </w:p>
        </w:tc>
        <w:tc>
          <w:tcPr>
            <w:tcW w:w="2137" w:type="dxa"/>
            <w:gridSpan w:val="2"/>
            <w:tcBorders>
              <w:top w:val="single" w:color="auto" w:sz="4" w:space="0"/>
              <w:left w:val="nil"/>
              <w:bottom w:val="single" w:color="auto" w:sz="4" w:space="0"/>
              <w:right w:val="single" w:color="000000" w:sz="4" w:space="0"/>
            </w:tcBorders>
            <w:noWrap w:val="0"/>
            <w:vAlign w:val="center"/>
          </w:tcPr>
          <w:p w14:paraId="55887B67">
            <w:pPr>
              <w:widowControl/>
              <w:spacing w:line="320" w:lineRule="exact"/>
              <w:jc w:val="center"/>
              <w:rPr>
                <w:rFonts w:hint="eastAsia" w:ascii="仿宋" w:hAnsi="仿宋" w:eastAsia="仿宋" w:cs="仿宋"/>
                <w:b/>
                <w:bCs/>
                <w:kern w:val="0"/>
                <w:sz w:val="21"/>
                <w:szCs w:val="21"/>
                <w:lang w:val="en-US" w:eastAsia="zh-CN" w:bidi="ar-SA"/>
              </w:rPr>
            </w:pPr>
            <w:r>
              <w:rPr>
                <w:rFonts w:hint="eastAsia" w:ascii="仿宋" w:hAnsi="仿宋" w:eastAsia="仿宋" w:cs="仿宋"/>
                <w:b/>
                <w:bCs/>
                <w:kern w:val="0"/>
                <w:szCs w:val="21"/>
                <w:lang w:eastAsia="zh-CN"/>
              </w:rPr>
              <w:t>2023</w:t>
            </w:r>
            <w:r>
              <w:rPr>
                <w:rFonts w:hint="eastAsia" w:ascii="仿宋" w:hAnsi="仿宋" w:eastAsia="仿宋" w:cs="仿宋"/>
                <w:b/>
                <w:bCs/>
                <w:kern w:val="0"/>
                <w:szCs w:val="21"/>
              </w:rPr>
              <w:t>年决算数</w:t>
            </w:r>
          </w:p>
        </w:tc>
        <w:tc>
          <w:tcPr>
            <w:tcW w:w="2055" w:type="dxa"/>
            <w:gridSpan w:val="2"/>
            <w:tcBorders>
              <w:top w:val="single" w:color="auto" w:sz="4" w:space="0"/>
              <w:left w:val="nil"/>
              <w:bottom w:val="single" w:color="auto" w:sz="4" w:space="0"/>
              <w:right w:val="single" w:color="000000" w:sz="4" w:space="0"/>
            </w:tcBorders>
            <w:noWrap w:val="0"/>
            <w:vAlign w:val="center"/>
          </w:tcPr>
          <w:p w14:paraId="0FBA8A11">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年预算数</w:t>
            </w:r>
          </w:p>
        </w:tc>
        <w:tc>
          <w:tcPr>
            <w:tcW w:w="2310" w:type="dxa"/>
            <w:gridSpan w:val="2"/>
            <w:tcBorders>
              <w:top w:val="single" w:color="auto" w:sz="4" w:space="0"/>
              <w:left w:val="nil"/>
              <w:bottom w:val="single" w:color="auto" w:sz="4" w:space="0"/>
              <w:right w:val="single" w:color="000000" w:sz="4" w:space="0"/>
            </w:tcBorders>
            <w:noWrap w:val="0"/>
            <w:vAlign w:val="center"/>
          </w:tcPr>
          <w:p w14:paraId="4EF99B67">
            <w:pPr>
              <w:widowControl/>
              <w:spacing w:line="320" w:lineRule="exact"/>
              <w:jc w:val="center"/>
              <w:rPr>
                <w:rFonts w:hint="eastAsia" w:ascii="仿宋" w:hAnsi="仿宋" w:eastAsia="仿宋" w:cs="仿宋"/>
                <w:b/>
                <w:bCs/>
                <w:kern w:val="0"/>
                <w:sz w:val="21"/>
                <w:szCs w:val="21"/>
              </w:rPr>
            </w:pP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年决算数</w:t>
            </w:r>
          </w:p>
        </w:tc>
      </w:tr>
      <w:tr w14:paraId="59B137F7">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0865CF3E">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三公经费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5664D0F7">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2.5</w:t>
            </w:r>
          </w:p>
        </w:tc>
        <w:tc>
          <w:tcPr>
            <w:tcW w:w="2055" w:type="dxa"/>
            <w:gridSpan w:val="2"/>
            <w:tcBorders>
              <w:top w:val="single" w:color="auto" w:sz="4" w:space="0"/>
              <w:left w:val="nil"/>
              <w:bottom w:val="single" w:color="auto" w:sz="4" w:space="0"/>
              <w:right w:val="single" w:color="000000" w:sz="4" w:space="0"/>
            </w:tcBorders>
            <w:noWrap w:val="0"/>
            <w:vAlign w:val="center"/>
          </w:tcPr>
          <w:p w14:paraId="32133DA9">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w:t>
            </w:r>
          </w:p>
        </w:tc>
        <w:tc>
          <w:tcPr>
            <w:tcW w:w="2310" w:type="dxa"/>
            <w:gridSpan w:val="2"/>
            <w:tcBorders>
              <w:top w:val="single" w:color="auto" w:sz="4" w:space="0"/>
              <w:left w:val="nil"/>
              <w:bottom w:val="single" w:color="auto" w:sz="4" w:space="0"/>
              <w:right w:val="single" w:color="000000" w:sz="4" w:space="0"/>
            </w:tcBorders>
            <w:noWrap w:val="0"/>
            <w:vAlign w:val="center"/>
          </w:tcPr>
          <w:p w14:paraId="14860A18">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2.5</w:t>
            </w:r>
          </w:p>
        </w:tc>
      </w:tr>
      <w:tr w14:paraId="12D203D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C36EB6F">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1、公务用车购置和维护经费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2C009AF8">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2.5</w:t>
            </w:r>
          </w:p>
        </w:tc>
        <w:tc>
          <w:tcPr>
            <w:tcW w:w="2055" w:type="dxa"/>
            <w:gridSpan w:val="2"/>
            <w:tcBorders>
              <w:top w:val="single" w:color="auto" w:sz="4" w:space="0"/>
              <w:left w:val="nil"/>
              <w:bottom w:val="single" w:color="auto" w:sz="4" w:space="0"/>
              <w:right w:val="single" w:color="000000" w:sz="4" w:space="0"/>
            </w:tcBorders>
            <w:noWrap w:val="0"/>
            <w:vAlign w:val="center"/>
          </w:tcPr>
          <w:p w14:paraId="238FC947">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2.5</w:t>
            </w:r>
          </w:p>
        </w:tc>
        <w:tc>
          <w:tcPr>
            <w:tcW w:w="2310" w:type="dxa"/>
            <w:gridSpan w:val="2"/>
            <w:tcBorders>
              <w:top w:val="single" w:color="auto" w:sz="4" w:space="0"/>
              <w:left w:val="nil"/>
              <w:bottom w:val="single" w:color="auto" w:sz="4" w:space="0"/>
              <w:right w:val="single" w:color="000000" w:sz="4" w:space="0"/>
            </w:tcBorders>
            <w:noWrap w:val="0"/>
            <w:vAlign w:val="center"/>
          </w:tcPr>
          <w:p w14:paraId="11ADEBCE">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2.5</w:t>
            </w:r>
          </w:p>
        </w:tc>
      </w:tr>
      <w:tr w14:paraId="295984D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DCA68DB">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其中：公车购置</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5BE746FA">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4C3A68A7">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02B16D1E">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22485D55">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B91340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公车运行维护</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139C05A6">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2.5</w:t>
            </w:r>
          </w:p>
        </w:tc>
        <w:tc>
          <w:tcPr>
            <w:tcW w:w="2055" w:type="dxa"/>
            <w:gridSpan w:val="2"/>
            <w:tcBorders>
              <w:top w:val="single" w:color="auto" w:sz="4" w:space="0"/>
              <w:left w:val="nil"/>
              <w:bottom w:val="single" w:color="auto" w:sz="4" w:space="0"/>
              <w:right w:val="single" w:color="000000" w:sz="4" w:space="0"/>
            </w:tcBorders>
            <w:noWrap w:val="0"/>
            <w:vAlign w:val="center"/>
          </w:tcPr>
          <w:p w14:paraId="2914A073">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2.5</w:t>
            </w:r>
          </w:p>
        </w:tc>
        <w:tc>
          <w:tcPr>
            <w:tcW w:w="2310" w:type="dxa"/>
            <w:gridSpan w:val="2"/>
            <w:tcBorders>
              <w:top w:val="single" w:color="auto" w:sz="4" w:space="0"/>
              <w:left w:val="nil"/>
              <w:bottom w:val="single" w:color="auto" w:sz="4" w:space="0"/>
              <w:right w:val="single" w:color="000000" w:sz="4" w:space="0"/>
            </w:tcBorders>
            <w:noWrap w:val="0"/>
            <w:vAlign w:val="center"/>
          </w:tcPr>
          <w:p w14:paraId="1B971C4D">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2.5</w:t>
            </w:r>
          </w:p>
        </w:tc>
      </w:tr>
      <w:tr w14:paraId="16FE45BA">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54604348">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2、出国经费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7057E315">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25E363FF">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2F244AD1">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79000466">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247533E">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3、公务接待</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1F54C5C2">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23CF8807">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2.5</w:t>
            </w:r>
          </w:p>
        </w:tc>
        <w:tc>
          <w:tcPr>
            <w:tcW w:w="2310" w:type="dxa"/>
            <w:gridSpan w:val="2"/>
            <w:tcBorders>
              <w:top w:val="single" w:color="auto" w:sz="4" w:space="0"/>
              <w:left w:val="nil"/>
              <w:bottom w:val="single" w:color="auto" w:sz="4" w:space="0"/>
              <w:right w:val="single" w:color="000000" w:sz="4" w:space="0"/>
            </w:tcBorders>
            <w:noWrap w:val="0"/>
            <w:vAlign w:val="center"/>
          </w:tcPr>
          <w:p w14:paraId="60A05026">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0BED607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B2C58CC">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项目支出</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74BE4D44">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881.38</w:t>
            </w:r>
          </w:p>
        </w:tc>
        <w:tc>
          <w:tcPr>
            <w:tcW w:w="2055" w:type="dxa"/>
            <w:gridSpan w:val="2"/>
            <w:tcBorders>
              <w:top w:val="single" w:color="auto" w:sz="4" w:space="0"/>
              <w:left w:val="nil"/>
              <w:bottom w:val="single" w:color="auto" w:sz="4" w:space="0"/>
              <w:right w:val="single" w:color="000000" w:sz="4" w:space="0"/>
            </w:tcBorders>
            <w:noWrap w:val="0"/>
            <w:vAlign w:val="center"/>
          </w:tcPr>
          <w:p w14:paraId="462213EE">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231504DB">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448.17</w:t>
            </w:r>
          </w:p>
        </w:tc>
      </w:tr>
      <w:tr w14:paraId="3051177C">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E663066">
            <w:pPr>
              <w:widowControl/>
              <w:spacing w:line="320" w:lineRule="exact"/>
              <w:ind w:firstLine="315" w:firstLineChars="150"/>
              <w:rPr>
                <w:rFonts w:hint="eastAsia" w:ascii="仿宋" w:hAnsi="仿宋" w:eastAsia="仿宋" w:cs="仿宋"/>
                <w:kern w:val="0"/>
                <w:sz w:val="21"/>
                <w:szCs w:val="21"/>
              </w:rPr>
            </w:pPr>
            <w:r>
              <w:rPr>
                <w:rFonts w:hint="eastAsia" w:ascii="仿宋" w:hAnsi="仿宋" w:eastAsia="仿宋" w:cs="仿宋"/>
                <w:kern w:val="0"/>
                <w:sz w:val="21"/>
                <w:szCs w:val="21"/>
              </w:rPr>
              <w:t>1、业务工作经费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7483B792">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673C6812">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5E341826">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71146DC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E292C8A">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2、</w:t>
            </w:r>
            <w:r>
              <w:rPr>
                <w:rFonts w:hint="eastAsia" w:ascii="仿宋" w:hAnsi="仿宋" w:eastAsia="仿宋" w:cs="仿宋"/>
                <w:kern w:val="0"/>
                <w:sz w:val="21"/>
                <w:szCs w:val="21"/>
                <w:lang w:val="en-US" w:eastAsia="zh-CN"/>
              </w:rPr>
              <w:t>运行维护</w:t>
            </w:r>
            <w:r>
              <w:rPr>
                <w:rFonts w:hint="eastAsia" w:ascii="仿宋" w:hAnsi="仿宋" w:eastAsia="仿宋" w:cs="仿宋"/>
                <w:kern w:val="0"/>
                <w:sz w:val="21"/>
                <w:szCs w:val="21"/>
              </w:rPr>
              <w:t>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6EE30849">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7F6D0537">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350AF18E">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515D88EF">
        <w:tblPrEx>
          <w:tblCellMar>
            <w:top w:w="0" w:type="dxa"/>
            <w:left w:w="108" w:type="dxa"/>
            <w:bottom w:w="0" w:type="dxa"/>
            <w:right w:w="108" w:type="dxa"/>
          </w:tblCellMar>
        </w:tblPrEx>
        <w:trPr>
          <w:trHeight w:val="90" w:hRule="atLeast"/>
          <w:jc w:val="center"/>
        </w:trPr>
        <w:tc>
          <w:tcPr>
            <w:tcW w:w="3543" w:type="dxa"/>
            <w:tcBorders>
              <w:top w:val="nil"/>
              <w:left w:val="single" w:color="auto" w:sz="4" w:space="0"/>
              <w:bottom w:val="single" w:color="auto" w:sz="4" w:space="0"/>
              <w:right w:val="single" w:color="auto" w:sz="4" w:space="0"/>
            </w:tcBorders>
            <w:noWrap w:val="0"/>
            <w:vAlign w:val="center"/>
          </w:tcPr>
          <w:p w14:paraId="35DCFEE4">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3、</w:t>
            </w:r>
            <w:r>
              <w:rPr>
                <w:rFonts w:hint="eastAsia" w:ascii="仿宋" w:hAnsi="仿宋" w:eastAsia="仿宋" w:cs="仿宋"/>
                <w:kern w:val="0"/>
                <w:sz w:val="21"/>
                <w:szCs w:val="21"/>
                <w:lang w:val="en-US" w:eastAsia="zh-CN"/>
              </w:rPr>
              <w:t>上级</w:t>
            </w:r>
            <w:r>
              <w:rPr>
                <w:rFonts w:hint="eastAsia" w:ascii="仿宋" w:hAnsi="仿宋" w:eastAsia="仿宋" w:cs="仿宋"/>
                <w:kern w:val="0"/>
                <w:sz w:val="21"/>
                <w:szCs w:val="21"/>
              </w:rPr>
              <w:t>专项资金</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2CFBEC48">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881.38</w:t>
            </w:r>
          </w:p>
        </w:tc>
        <w:tc>
          <w:tcPr>
            <w:tcW w:w="2055" w:type="dxa"/>
            <w:gridSpan w:val="2"/>
            <w:tcBorders>
              <w:top w:val="single" w:color="auto" w:sz="4" w:space="0"/>
              <w:left w:val="nil"/>
              <w:bottom w:val="single" w:color="auto" w:sz="4" w:space="0"/>
              <w:right w:val="single" w:color="000000" w:sz="4" w:space="0"/>
            </w:tcBorders>
            <w:noWrap w:val="0"/>
            <w:vAlign w:val="center"/>
          </w:tcPr>
          <w:p w14:paraId="46021707">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5A4BBDA6">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448.17</w:t>
            </w:r>
          </w:p>
        </w:tc>
      </w:tr>
      <w:tr w14:paraId="61F07A27">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4DB16F3">
            <w:pPr>
              <w:widowControl/>
              <w:spacing w:line="320" w:lineRule="exact"/>
              <w:ind w:firstLine="420" w:firstLineChars="200"/>
              <w:jc w:val="both"/>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其中：××专项资金</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7C4A5567">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881.38</w:t>
            </w:r>
          </w:p>
        </w:tc>
        <w:tc>
          <w:tcPr>
            <w:tcW w:w="2055" w:type="dxa"/>
            <w:gridSpan w:val="2"/>
            <w:tcBorders>
              <w:top w:val="single" w:color="auto" w:sz="4" w:space="0"/>
              <w:left w:val="nil"/>
              <w:bottom w:val="single" w:color="auto" w:sz="4" w:space="0"/>
              <w:right w:val="single" w:color="000000" w:sz="4" w:space="0"/>
            </w:tcBorders>
            <w:noWrap w:val="0"/>
            <w:vAlign w:val="center"/>
          </w:tcPr>
          <w:p w14:paraId="0D5EDF9A">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52BAE7A4">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448.17</w:t>
            </w:r>
          </w:p>
        </w:tc>
      </w:tr>
      <w:tr w14:paraId="64784A3A">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5F75765">
            <w:pPr>
              <w:widowControl/>
              <w:spacing w:line="320" w:lineRule="exact"/>
              <w:rPr>
                <w:rFonts w:hint="eastAsia" w:ascii="仿宋" w:hAnsi="仿宋" w:eastAsia="仿宋" w:cs="仿宋"/>
                <w:kern w:val="0"/>
                <w:sz w:val="21"/>
                <w:szCs w:val="21"/>
                <w:lang w:eastAsia="zh-CN"/>
              </w:rPr>
            </w:pPr>
            <w:r>
              <w:rPr>
                <w:rFonts w:hint="eastAsia" w:ascii="仿宋" w:hAnsi="仿宋" w:eastAsia="仿宋" w:cs="仿宋"/>
                <w:kern w:val="0"/>
                <w:sz w:val="21"/>
                <w:szCs w:val="21"/>
                <w:lang w:val="en-US" w:eastAsia="zh-CN"/>
              </w:rPr>
              <w:t>××专项资金</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3B63EB7B">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0</w:t>
            </w:r>
          </w:p>
        </w:tc>
        <w:tc>
          <w:tcPr>
            <w:tcW w:w="2055" w:type="dxa"/>
            <w:gridSpan w:val="2"/>
            <w:tcBorders>
              <w:top w:val="single" w:color="auto" w:sz="4" w:space="0"/>
              <w:left w:val="nil"/>
              <w:bottom w:val="single" w:color="auto" w:sz="4" w:space="0"/>
              <w:right w:val="single" w:color="000000" w:sz="4" w:space="0"/>
            </w:tcBorders>
            <w:noWrap w:val="0"/>
            <w:vAlign w:val="center"/>
          </w:tcPr>
          <w:p w14:paraId="479FE293">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c>
          <w:tcPr>
            <w:tcW w:w="2310" w:type="dxa"/>
            <w:gridSpan w:val="2"/>
            <w:tcBorders>
              <w:top w:val="single" w:color="auto" w:sz="4" w:space="0"/>
              <w:left w:val="nil"/>
              <w:bottom w:val="single" w:color="auto" w:sz="4" w:space="0"/>
              <w:right w:val="single" w:color="000000" w:sz="4" w:space="0"/>
            </w:tcBorders>
            <w:noWrap w:val="0"/>
            <w:vAlign w:val="center"/>
          </w:tcPr>
          <w:p w14:paraId="0580AAF5">
            <w:pPr>
              <w:widowControl/>
              <w:spacing w:line="320" w:lineRule="exact"/>
              <w:jc w:val="center"/>
              <w:rPr>
                <w:rFonts w:hint="eastAsia"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0</w:t>
            </w:r>
          </w:p>
        </w:tc>
      </w:tr>
      <w:tr w14:paraId="7409920F">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61211E76">
            <w:pPr>
              <w:widowControl/>
              <w:spacing w:line="320" w:lineRule="exact"/>
              <w:rPr>
                <w:rFonts w:hint="eastAsia" w:ascii="仿宋" w:hAnsi="仿宋" w:eastAsia="仿宋" w:cs="仿宋"/>
                <w:kern w:val="0"/>
                <w:sz w:val="21"/>
                <w:szCs w:val="21"/>
                <w:lang w:val="en-US" w:eastAsia="zh-CN"/>
              </w:rPr>
            </w:pPr>
            <w:r>
              <w:rPr>
                <w:rFonts w:hint="eastAsia" w:ascii="仿宋" w:hAnsi="仿宋" w:eastAsia="仿宋" w:cs="仿宋"/>
                <w:b/>
                <w:bCs/>
                <w:kern w:val="0"/>
                <w:sz w:val="21"/>
                <w:szCs w:val="21"/>
                <w:lang w:val="en-US" w:eastAsia="zh-CN"/>
              </w:rPr>
              <w:t>公用经费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7F0EE0EF">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367</w:t>
            </w:r>
          </w:p>
        </w:tc>
        <w:tc>
          <w:tcPr>
            <w:tcW w:w="2055" w:type="dxa"/>
            <w:gridSpan w:val="2"/>
            <w:tcBorders>
              <w:top w:val="single" w:color="auto" w:sz="4" w:space="0"/>
              <w:left w:val="nil"/>
              <w:bottom w:val="single" w:color="auto" w:sz="4" w:space="0"/>
              <w:right w:val="single" w:color="000000" w:sz="4" w:space="0"/>
            </w:tcBorders>
            <w:noWrap w:val="0"/>
            <w:vAlign w:val="center"/>
          </w:tcPr>
          <w:p w14:paraId="12D7E776">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529.85</w:t>
            </w:r>
          </w:p>
        </w:tc>
        <w:tc>
          <w:tcPr>
            <w:tcW w:w="2310" w:type="dxa"/>
            <w:gridSpan w:val="2"/>
            <w:tcBorders>
              <w:top w:val="single" w:color="auto" w:sz="4" w:space="0"/>
              <w:left w:val="nil"/>
              <w:bottom w:val="single" w:color="auto" w:sz="4" w:space="0"/>
              <w:right w:val="single" w:color="000000" w:sz="4" w:space="0"/>
            </w:tcBorders>
            <w:noWrap w:val="0"/>
            <w:vAlign w:val="center"/>
          </w:tcPr>
          <w:p w14:paraId="7A609079">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338.26</w:t>
            </w:r>
          </w:p>
        </w:tc>
      </w:tr>
      <w:tr w14:paraId="6F55AE35">
        <w:tblPrEx>
          <w:tblCellMar>
            <w:top w:w="0" w:type="dxa"/>
            <w:left w:w="108" w:type="dxa"/>
            <w:bottom w:w="0" w:type="dxa"/>
            <w:right w:w="108" w:type="dxa"/>
          </w:tblCellMar>
        </w:tblPrEx>
        <w:trPr>
          <w:trHeight w:val="90" w:hRule="atLeast"/>
          <w:jc w:val="center"/>
        </w:trPr>
        <w:tc>
          <w:tcPr>
            <w:tcW w:w="3543" w:type="dxa"/>
            <w:tcBorders>
              <w:top w:val="nil"/>
              <w:left w:val="single" w:color="auto" w:sz="4" w:space="0"/>
              <w:bottom w:val="single" w:color="auto" w:sz="4" w:space="0"/>
              <w:right w:val="single" w:color="auto" w:sz="4" w:space="0"/>
            </w:tcBorders>
            <w:noWrap w:val="0"/>
            <w:vAlign w:val="center"/>
          </w:tcPr>
          <w:p w14:paraId="4E28B9EF">
            <w:pPr>
              <w:widowControl/>
              <w:spacing w:line="320" w:lineRule="exact"/>
              <w:ind w:firstLine="420" w:firstLineChars="200"/>
              <w:rPr>
                <w:rFonts w:hint="eastAsia" w:ascii="仿宋" w:hAnsi="仿宋" w:eastAsia="仿宋" w:cs="仿宋"/>
                <w:kern w:val="0"/>
                <w:sz w:val="21"/>
                <w:szCs w:val="21"/>
              </w:rPr>
            </w:pPr>
            <w:r>
              <w:rPr>
                <w:rFonts w:hint="eastAsia" w:ascii="仿宋" w:hAnsi="仿宋" w:eastAsia="仿宋" w:cs="仿宋"/>
                <w:kern w:val="0"/>
                <w:sz w:val="21"/>
                <w:szCs w:val="21"/>
              </w:rPr>
              <w:t>其中：办公经费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25286FA4">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53</w:t>
            </w:r>
          </w:p>
        </w:tc>
        <w:tc>
          <w:tcPr>
            <w:tcW w:w="2055" w:type="dxa"/>
            <w:gridSpan w:val="2"/>
            <w:tcBorders>
              <w:top w:val="single" w:color="auto" w:sz="4" w:space="0"/>
              <w:left w:val="nil"/>
              <w:bottom w:val="single" w:color="auto" w:sz="4" w:space="0"/>
              <w:right w:val="single" w:color="000000" w:sz="4" w:space="0"/>
            </w:tcBorders>
            <w:noWrap w:val="0"/>
            <w:vAlign w:val="center"/>
          </w:tcPr>
          <w:p w14:paraId="464A7D38">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34.52</w:t>
            </w:r>
          </w:p>
        </w:tc>
        <w:tc>
          <w:tcPr>
            <w:tcW w:w="2310" w:type="dxa"/>
            <w:gridSpan w:val="2"/>
            <w:tcBorders>
              <w:top w:val="single" w:color="auto" w:sz="4" w:space="0"/>
              <w:left w:val="nil"/>
              <w:bottom w:val="single" w:color="auto" w:sz="4" w:space="0"/>
              <w:right w:val="single" w:color="000000" w:sz="4" w:space="0"/>
            </w:tcBorders>
            <w:noWrap w:val="0"/>
            <w:vAlign w:val="center"/>
          </w:tcPr>
          <w:p w14:paraId="469D038C">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47.74</w:t>
            </w:r>
          </w:p>
        </w:tc>
      </w:tr>
      <w:tr w14:paraId="0B148849">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34D730A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水费、电费、差旅费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12A32366">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16.5</w:t>
            </w:r>
          </w:p>
        </w:tc>
        <w:tc>
          <w:tcPr>
            <w:tcW w:w="2055" w:type="dxa"/>
            <w:gridSpan w:val="2"/>
            <w:tcBorders>
              <w:top w:val="single" w:color="auto" w:sz="4" w:space="0"/>
              <w:left w:val="nil"/>
              <w:bottom w:val="single" w:color="auto" w:sz="4" w:space="0"/>
              <w:right w:val="single" w:color="000000" w:sz="4" w:space="0"/>
            </w:tcBorders>
            <w:noWrap w:val="0"/>
            <w:vAlign w:val="center"/>
          </w:tcPr>
          <w:p w14:paraId="07BBDA85">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10.5</w:t>
            </w:r>
          </w:p>
        </w:tc>
        <w:tc>
          <w:tcPr>
            <w:tcW w:w="2310" w:type="dxa"/>
            <w:gridSpan w:val="2"/>
            <w:tcBorders>
              <w:top w:val="single" w:color="auto" w:sz="4" w:space="0"/>
              <w:left w:val="nil"/>
              <w:bottom w:val="single" w:color="auto" w:sz="4" w:space="0"/>
              <w:right w:val="single" w:color="000000" w:sz="4" w:space="0"/>
            </w:tcBorders>
            <w:noWrap w:val="0"/>
            <w:vAlign w:val="center"/>
          </w:tcPr>
          <w:p w14:paraId="40682BCE">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18.01</w:t>
            </w:r>
          </w:p>
        </w:tc>
      </w:tr>
      <w:tr w14:paraId="4CC9C832">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23F26AFB">
            <w:pPr>
              <w:widowControl/>
              <w:spacing w:line="320" w:lineRule="exact"/>
              <w:jc w:val="center"/>
              <w:rPr>
                <w:rFonts w:hint="eastAsia" w:ascii="仿宋" w:hAnsi="仿宋" w:eastAsia="仿宋" w:cs="仿宋"/>
                <w:kern w:val="0"/>
                <w:sz w:val="21"/>
                <w:szCs w:val="21"/>
                <w:lang w:val="en-US"/>
              </w:rPr>
            </w:pPr>
            <w:r>
              <w:rPr>
                <w:rFonts w:hint="eastAsia" w:ascii="仿宋" w:hAnsi="仿宋" w:eastAsia="仿宋" w:cs="仿宋"/>
                <w:kern w:val="0"/>
                <w:sz w:val="21"/>
                <w:szCs w:val="21"/>
                <w:lang w:val="en-US"/>
              </w:rPr>
              <w:t>会议费、培训费</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185F3D3D">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17.8</w:t>
            </w:r>
          </w:p>
        </w:tc>
        <w:tc>
          <w:tcPr>
            <w:tcW w:w="2055" w:type="dxa"/>
            <w:gridSpan w:val="2"/>
            <w:tcBorders>
              <w:top w:val="single" w:color="auto" w:sz="4" w:space="0"/>
              <w:left w:val="nil"/>
              <w:bottom w:val="single" w:color="auto" w:sz="4" w:space="0"/>
              <w:right w:val="single" w:color="000000" w:sz="4" w:space="0"/>
            </w:tcBorders>
            <w:noWrap w:val="0"/>
            <w:vAlign w:val="center"/>
          </w:tcPr>
          <w:p w14:paraId="645B135B">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15</w:t>
            </w:r>
          </w:p>
        </w:tc>
        <w:tc>
          <w:tcPr>
            <w:tcW w:w="2310" w:type="dxa"/>
            <w:gridSpan w:val="2"/>
            <w:tcBorders>
              <w:top w:val="single" w:color="auto" w:sz="4" w:space="0"/>
              <w:left w:val="nil"/>
              <w:bottom w:val="single" w:color="auto" w:sz="4" w:space="0"/>
              <w:right w:val="single" w:color="000000" w:sz="4" w:space="0"/>
            </w:tcBorders>
            <w:noWrap w:val="0"/>
            <w:vAlign w:val="center"/>
          </w:tcPr>
          <w:p w14:paraId="31423819">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13.05</w:t>
            </w:r>
          </w:p>
        </w:tc>
      </w:tr>
      <w:tr w14:paraId="77389EC7">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17CF1198">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政府采购金额</w:t>
            </w:r>
          </w:p>
        </w:tc>
        <w:tc>
          <w:tcPr>
            <w:tcW w:w="2137" w:type="dxa"/>
            <w:gridSpan w:val="2"/>
            <w:tcBorders>
              <w:top w:val="single" w:color="auto" w:sz="4" w:space="0"/>
              <w:left w:val="nil"/>
              <w:bottom w:val="single" w:color="auto" w:sz="4" w:space="0"/>
              <w:right w:val="single" w:color="000000" w:sz="4" w:space="0"/>
            </w:tcBorders>
            <w:shd w:val="clear" w:color="auto" w:fill="auto"/>
            <w:noWrap w:val="0"/>
            <w:vAlign w:val="center"/>
          </w:tcPr>
          <w:p w14:paraId="310D814C">
            <w:pPr>
              <w:widowControl/>
              <w:spacing w:line="320" w:lineRule="exact"/>
              <w:jc w:val="center"/>
              <w:rPr>
                <w:rFonts w:hint="eastAsia" w:ascii="仿宋" w:hAnsi="仿宋" w:eastAsia="仿宋" w:cs="仿宋"/>
                <w:kern w:val="0"/>
                <w:sz w:val="21"/>
                <w:szCs w:val="21"/>
                <w:lang w:val="en-US" w:eastAsia="zh-CN" w:bidi="ar-SA"/>
              </w:rPr>
            </w:pPr>
            <w:r>
              <w:rPr>
                <w:rFonts w:hint="eastAsia" w:ascii="仿宋" w:hAnsi="仿宋" w:eastAsia="仿宋" w:cs="仿宋"/>
                <w:kern w:val="0"/>
                <w:sz w:val="21"/>
                <w:szCs w:val="21"/>
                <w:lang w:val="en-US" w:eastAsia="zh-CN"/>
              </w:rPr>
              <w:t>53</w:t>
            </w:r>
          </w:p>
        </w:tc>
        <w:tc>
          <w:tcPr>
            <w:tcW w:w="2055" w:type="dxa"/>
            <w:gridSpan w:val="2"/>
            <w:tcBorders>
              <w:top w:val="single" w:color="auto" w:sz="4" w:space="0"/>
              <w:left w:val="nil"/>
              <w:bottom w:val="single" w:color="auto" w:sz="4" w:space="0"/>
              <w:right w:val="single" w:color="000000" w:sz="4" w:space="0"/>
            </w:tcBorders>
            <w:noWrap w:val="0"/>
            <w:vAlign w:val="center"/>
          </w:tcPr>
          <w:p w14:paraId="6809411D">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34.52</w:t>
            </w:r>
          </w:p>
        </w:tc>
        <w:tc>
          <w:tcPr>
            <w:tcW w:w="2310" w:type="dxa"/>
            <w:gridSpan w:val="2"/>
            <w:tcBorders>
              <w:top w:val="single" w:color="auto" w:sz="4" w:space="0"/>
              <w:left w:val="nil"/>
              <w:bottom w:val="single" w:color="auto" w:sz="4" w:space="0"/>
              <w:right w:val="single" w:color="000000" w:sz="4" w:space="0"/>
            </w:tcBorders>
            <w:noWrap w:val="0"/>
            <w:vAlign w:val="center"/>
          </w:tcPr>
          <w:p w14:paraId="6B7151F5">
            <w:pPr>
              <w:widowControl/>
              <w:spacing w:line="320" w:lineRule="exact"/>
              <w:jc w:val="center"/>
              <w:rPr>
                <w:rFonts w:hint="default" w:ascii="仿宋" w:hAnsi="仿宋" w:eastAsia="仿宋" w:cs="仿宋"/>
                <w:kern w:val="0"/>
                <w:sz w:val="21"/>
                <w:szCs w:val="21"/>
                <w:lang w:val="en-US" w:eastAsia="zh-CN"/>
              </w:rPr>
            </w:pPr>
            <w:r>
              <w:rPr>
                <w:rFonts w:hint="eastAsia" w:ascii="仿宋" w:hAnsi="仿宋" w:eastAsia="仿宋" w:cs="仿宋"/>
                <w:kern w:val="0"/>
                <w:sz w:val="21"/>
                <w:szCs w:val="21"/>
                <w:lang w:val="en-US" w:eastAsia="zh-CN"/>
              </w:rPr>
              <w:t>47.74</w:t>
            </w:r>
          </w:p>
        </w:tc>
      </w:tr>
      <w:tr w14:paraId="0B1DC6D3">
        <w:tblPrEx>
          <w:tblCellMar>
            <w:top w:w="0" w:type="dxa"/>
            <w:left w:w="108" w:type="dxa"/>
            <w:bottom w:w="0" w:type="dxa"/>
            <w:right w:w="108" w:type="dxa"/>
          </w:tblCellMar>
        </w:tblPrEx>
        <w:trPr>
          <w:jc w:val="center"/>
        </w:trPr>
        <w:tc>
          <w:tcPr>
            <w:tcW w:w="3543" w:type="dxa"/>
            <w:tcBorders>
              <w:top w:val="nil"/>
              <w:left w:val="single" w:color="auto" w:sz="4" w:space="0"/>
              <w:bottom w:val="single" w:color="auto" w:sz="4" w:space="0"/>
              <w:right w:val="single" w:color="auto" w:sz="4" w:space="0"/>
            </w:tcBorders>
            <w:noWrap w:val="0"/>
            <w:vAlign w:val="center"/>
          </w:tcPr>
          <w:p w14:paraId="41E95127">
            <w:pPr>
              <w:widowControl/>
              <w:spacing w:line="320" w:lineRule="exact"/>
              <w:rPr>
                <w:rFonts w:hint="eastAsia" w:ascii="仿宋" w:hAnsi="仿宋" w:eastAsia="仿宋" w:cs="仿宋"/>
                <w:kern w:val="0"/>
                <w:sz w:val="21"/>
                <w:szCs w:val="21"/>
              </w:rPr>
            </w:pPr>
            <w:r>
              <w:rPr>
                <w:rFonts w:hint="eastAsia" w:ascii="仿宋" w:hAnsi="仿宋" w:eastAsia="仿宋" w:cs="仿宋"/>
                <w:b/>
                <w:bCs/>
                <w:kern w:val="0"/>
                <w:sz w:val="21"/>
                <w:szCs w:val="21"/>
              </w:rPr>
              <w:t>部门基本支出预算调整</w:t>
            </w:r>
          </w:p>
        </w:tc>
        <w:tc>
          <w:tcPr>
            <w:tcW w:w="2137" w:type="dxa"/>
            <w:gridSpan w:val="2"/>
            <w:tcBorders>
              <w:top w:val="single" w:color="auto" w:sz="4" w:space="0"/>
              <w:left w:val="nil"/>
              <w:bottom w:val="single" w:color="auto" w:sz="4" w:space="0"/>
              <w:right w:val="single" w:color="000000" w:sz="4" w:space="0"/>
            </w:tcBorders>
            <w:noWrap w:val="0"/>
            <w:vAlign w:val="center"/>
          </w:tcPr>
          <w:p w14:paraId="0D0ECDB0">
            <w:pPr>
              <w:widowControl/>
              <w:spacing w:line="320" w:lineRule="exact"/>
              <w:jc w:val="center"/>
              <w:rPr>
                <w:rFonts w:hint="eastAsia" w:ascii="仿宋" w:hAnsi="仿宋" w:eastAsia="仿宋" w:cs="仿宋"/>
                <w:kern w:val="0"/>
                <w:sz w:val="21"/>
                <w:szCs w:val="21"/>
              </w:rPr>
            </w:pPr>
          </w:p>
        </w:tc>
        <w:tc>
          <w:tcPr>
            <w:tcW w:w="2055" w:type="dxa"/>
            <w:gridSpan w:val="2"/>
            <w:tcBorders>
              <w:top w:val="single" w:color="auto" w:sz="4" w:space="0"/>
              <w:left w:val="nil"/>
              <w:bottom w:val="single" w:color="auto" w:sz="4" w:space="0"/>
              <w:right w:val="single" w:color="000000" w:sz="4" w:space="0"/>
            </w:tcBorders>
            <w:noWrap w:val="0"/>
            <w:vAlign w:val="center"/>
          </w:tcPr>
          <w:p w14:paraId="30F39A24">
            <w:pPr>
              <w:widowControl/>
              <w:spacing w:line="320" w:lineRule="exact"/>
              <w:jc w:val="center"/>
              <w:rPr>
                <w:rFonts w:hint="eastAsia" w:ascii="仿宋" w:hAnsi="仿宋" w:eastAsia="仿宋" w:cs="仿宋"/>
                <w:kern w:val="0"/>
                <w:sz w:val="21"/>
                <w:szCs w:val="21"/>
              </w:rPr>
            </w:pPr>
          </w:p>
        </w:tc>
        <w:tc>
          <w:tcPr>
            <w:tcW w:w="2310" w:type="dxa"/>
            <w:gridSpan w:val="2"/>
            <w:tcBorders>
              <w:top w:val="single" w:color="auto" w:sz="4" w:space="0"/>
              <w:left w:val="nil"/>
              <w:bottom w:val="single" w:color="auto" w:sz="4" w:space="0"/>
              <w:right w:val="single" w:color="000000" w:sz="4" w:space="0"/>
            </w:tcBorders>
            <w:noWrap w:val="0"/>
            <w:vAlign w:val="center"/>
          </w:tcPr>
          <w:p w14:paraId="01C854CF">
            <w:pPr>
              <w:widowControl/>
              <w:spacing w:line="320" w:lineRule="exact"/>
              <w:jc w:val="center"/>
              <w:rPr>
                <w:rFonts w:hint="eastAsia" w:ascii="仿宋" w:hAnsi="仿宋" w:eastAsia="仿宋" w:cs="仿宋"/>
                <w:kern w:val="0"/>
                <w:sz w:val="21"/>
                <w:szCs w:val="21"/>
              </w:rPr>
            </w:pPr>
          </w:p>
        </w:tc>
      </w:tr>
      <w:tr w14:paraId="53292C18">
        <w:tblPrEx>
          <w:tblCellMar>
            <w:top w:w="0" w:type="dxa"/>
            <w:left w:w="108" w:type="dxa"/>
            <w:bottom w:w="0" w:type="dxa"/>
            <w:right w:w="108" w:type="dxa"/>
          </w:tblCellMar>
        </w:tblPrEx>
        <w:trPr>
          <w:trHeight w:val="795" w:hRule="atLeast"/>
          <w:jc w:val="center"/>
        </w:trPr>
        <w:tc>
          <w:tcPr>
            <w:tcW w:w="3543" w:type="dxa"/>
            <w:vMerge w:val="restart"/>
            <w:tcBorders>
              <w:top w:val="nil"/>
              <w:left w:val="single" w:color="auto" w:sz="4" w:space="0"/>
              <w:bottom w:val="single" w:color="auto" w:sz="4" w:space="0"/>
              <w:right w:val="single" w:color="auto" w:sz="4" w:space="0"/>
            </w:tcBorders>
            <w:noWrap w:val="0"/>
            <w:vAlign w:val="center"/>
          </w:tcPr>
          <w:p w14:paraId="33BC2BA1">
            <w:pPr>
              <w:widowControl/>
              <w:spacing w:line="320" w:lineRule="exact"/>
              <w:ind w:firstLine="422" w:firstLineChars="200"/>
              <w:jc w:val="center"/>
              <w:rPr>
                <w:rFonts w:hint="eastAsia" w:ascii="仿宋" w:hAnsi="仿宋" w:eastAsia="仿宋" w:cs="仿宋"/>
                <w:b/>
                <w:bCs/>
                <w:kern w:val="0"/>
                <w:sz w:val="21"/>
                <w:szCs w:val="21"/>
                <w:lang w:eastAsia="zh-CN"/>
              </w:rPr>
            </w:pPr>
            <w:r>
              <w:rPr>
                <w:rFonts w:hint="eastAsia" w:ascii="仿宋" w:hAnsi="仿宋" w:eastAsia="仿宋" w:cs="仿宋"/>
                <w:b/>
                <w:bCs/>
                <w:kern w:val="0"/>
                <w:sz w:val="21"/>
                <w:szCs w:val="21"/>
              </w:rPr>
              <w:t>楼堂馆所控制情况</w:t>
            </w:r>
          </w:p>
          <w:p w14:paraId="52CDDF7F">
            <w:pPr>
              <w:widowControl/>
              <w:spacing w:line="320" w:lineRule="exact"/>
              <w:ind w:firstLine="422" w:firstLineChars="200"/>
              <w:jc w:val="center"/>
              <w:rPr>
                <w:rFonts w:hint="eastAsia" w:ascii="仿宋" w:hAnsi="仿宋" w:eastAsia="仿宋" w:cs="仿宋"/>
                <w:kern w:val="0"/>
                <w:sz w:val="21"/>
                <w:szCs w:val="21"/>
              </w:rPr>
            </w:pPr>
            <w:r>
              <w:rPr>
                <w:rFonts w:hint="eastAsia" w:ascii="仿宋" w:hAnsi="仿宋" w:eastAsia="仿宋" w:cs="仿宋"/>
                <w:b/>
                <w:bCs/>
                <w:kern w:val="0"/>
                <w:sz w:val="21"/>
                <w:szCs w:val="21"/>
              </w:rPr>
              <w:t>（</w:t>
            </w:r>
            <w:r>
              <w:rPr>
                <w:rFonts w:hint="eastAsia" w:ascii="仿宋" w:hAnsi="仿宋" w:eastAsia="仿宋" w:cs="仿宋"/>
                <w:b/>
                <w:bCs/>
                <w:kern w:val="0"/>
                <w:sz w:val="21"/>
                <w:szCs w:val="21"/>
                <w:lang w:eastAsia="zh-CN"/>
              </w:rPr>
              <w:t>2024</w:t>
            </w:r>
            <w:r>
              <w:rPr>
                <w:rFonts w:hint="eastAsia" w:ascii="仿宋" w:hAnsi="仿宋" w:eastAsia="仿宋" w:cs="仿宋"/>
                <w:b/>
                <w:bCs/>
                <w:kern w:val="0"/>
                <w:sz w:val="21"/>
                <w:szCs w:val="21"/>
              </w:rPr>
              <w:t>年完工项目）</w:t>
            </w:r>
          </w:p>
        </w:tc>
        <w:tc>
          <w:tcPr>
            <w:tcW w:w="1207" w:type="dxa"/>
            <w:tcBorders>
              <w:top w:val="nil"/>
              <w:left w:val="nil"/>
              <w:bottom w:val="single" w:color="auto" w:sz="4" w:space="0"/>
              <w:right w:val="single" w:color="auto" w:sz="4" w:space="0"/>
            </w:tcBorders>
            <w:noWrap w:val="0"/>
            <w:vAlign w:val="center"/>
          </w:tcPr>
          <w:p w14:paraId="1432C90A">
            <w:pPr>
              <w:widowControl/>
              <w:spacing w:line="320" w:lineRule="exact"/>
              <w:ind w:firstLine="420" w:firstLineChars="200"/>
              <w:jc w:val="center"/>
              <w:rPr>
                <w:rFonts w:hint="eastAsia" w:ascii="仿宋" w:hAnsi="仿宋" w:eastAsia="仿宋" w:cs="仿宋"/>
                <w:kern w:val="0"/>
                <w:sz w:val="21"/>
                <w:szCs w:val="21"/>
                <w:lang w:eastAsia="zh-CN"/>
              </w:rPr>
            </w:pPr>
            <w:r>
              <w:rPr>
                <w:rFonts w:hint="eastAsia" w:ascii="仿宋" w:hAnsi="仿宋" w:eastAsia="仿宋" w:cs="仿宋"/>
                <w:kern w:val="0"/>
                <w:sz w:val="21"/>
                <w:szCs w:val="21"/>
              </w:rPr>
              <w:t>批复规模</w:t>
            </w:r>
          </w:p>
          <w:p w14:paraId="6DA35834">
            <w:pPr>
              <w:widowControl/>
              <w:spacing w:line="320" w:lineRule="exact"/>
              <w:ind w:firstLine="420" w:firstLineChars="200"/>
              <w:jc w:val="center"/>
              <w:rPr>
                <w:rFonts w:hint="eastAsia" w:ascii="仿宋" w:hAnsi="仿宋" w:eastAsia="仿宋" w:cs="仿宋"/>
                <w:kern w:val="0"/>
                <w:sz w:val="21"/>
                <w:szCs w:val="21"/>
              </w:rPr>
            </w:pPr>
            <w:r>
              <w:rPr>
                <w:rFonts w:hint="eastAsia" w:ascii="仿宋" w:hAnsi="仿宋" w:eastAsia="仿宋" w:cs="仿宋"/>
                <w:kern w:val="0"/>
                <w:sz w:val="21"/>
                <w:szCs w:val="21"/>
              </w:rPr>
              <w:t>（㎡）</w:t>
            </w:r>
          </w:p>
        </w:tc>
        <w:tc>
          <w:tcPr>
            <w:tcW w:w="930" w:type="dxa"/>
            <w:tcBorders>
              <w:top w:val="nil"/>
              <w:left w:val="nil"/>
              <w:bottom w:val="single" w:color="auto" w:sz="4" w:space="0"/>
              <w:right w:val="single" w:color="auto" w:sz="4" w:space="0"/>
            </w:tcBorders>
            <w:noWrap w:val="0"/>
            <w:vAlign w:val="center"/>
          </w:tcPr>
          <w:p w14:paraId="7D12EF2D">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实际规模（㎡）</w:t>
            </w:r>
          </w:p>
        </w:tc>
        <w:tc>
          <w:tcPr>
            <w:tcW w:w="945" w:type="dxa"/>
            <w:tcBorders>
              <w:top w:val="nil"/>
              <w:left w:val="nil"/>
              <w:bottom w:val="single" w:color="auto" w:sz="4" w:space="0"/>
              <w:right w:val="single" w:color="auto" w:sz="4" w:space="0"/>
            </w:tcBorders>
            <w:noWrap w:val="0"/>
            <w:vAlign w:val="center"/>
          </w:tcPr>
          <w:p w14:paraId="78F869A7">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规模控制率</w:t>
            </w:r>
          </w:p>
        </w:tc>
        <w:tc>
          <w:tcPr>
            <w:tcW w:w="1110" w:type="dxa"/>
            <w:tcBorders>
              <w:top w:val="nil"/>
              <w:left w:val="nil"/>
              <w:bottom w:val="single" w:color="auto" w:sz="4" w:space="0"/>
              <w:right w:val="single" w:color="auto" w:sz="4" w:space="0"/>
            </w:tcBorders>
            <w:noWrap w:val="0"/>
            <w:vAlign w:val="center"/>
          </w:tcPr>
          <w:p w14:paraId="3EBD4EF8">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预算投资（万元）</w:t>
            </w:r>
          </w:p>
        </w:tc>
        <w:tc>
          <w:tcPr>
            <w:tcW w:w="1155" w:type="dxa"/>
            <w:tcBorders>
              <w:top w:val="nil"/>
              <w:left w:val="nil"/>
              <w:bottom w:val="single" w:color="auto" w:sz="4" w:space="0"/>
              <w:right w:val="single" w:color="auto" w:sz="4" w:space="0"/>
            </w:tcBorders>
            <w:noWrap w:val="0"/>
            <w:vAlign w:val="center"/>
          </w:tcPr>
          <w:p w14:paraId="4164411E">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实际投资（万元）</w:t>
            </w:r>
          </w:p>
        </w:tc>
        <w:tc>
          <w:tcPr>
            <w:tcW w:w="1155" w:type="dxa"/>
            <w:tcBorders>
              <w:top w:val="nil"/>
              <w:left w:val="nil"/>
              <w:bottom w:val="single" w:color="auto" w:sz="4" w:space="0"/>
              <w:right w:val="single" w:color="auto" w:sz="4" w:space="0"/>
            </w:tcBorders>
            <w:noWrap w:val="0"/>
            <w:vAlign w:val="center"/>
          </w:tcPr>
          <w:p w14:paraId="1AC886D3">
            <w:pPr>
              <w:widowControl/>
              <w:spacing w:line="320" w:lineRule="exact"/>
              <w:jc w:val="center"/>
              <w:rPr>
                <w:rFonts w:hint="eastAsia" w:ascii="仿宋" w:hAnsi="仿宋" w:eastAsia="仿宋" w:cs="仿宋"/>
                <w:kern w:val="0"/>
                <w:sz w:val="21"/>
                <w:szCs w:val="21"/>
              </w:rPr>
            </w:pPr>
            <w:r>
              <w:rPr>
                <w:rFonts w:hint="eastAsia" w:ascii="仿宋" w:hAnsi="仿宋" w:eastAsia="仿宋" w:cs="仿宋"/>
                <w:kern w:val="0"/>
                <w:sz w:val="21"/>
                <w:szCs w:val="21"/>
              </w:rPr>
              <w:t>投资概算控制率</w:t>
            </w:r>
          </w:p>
        </w:tc>
      </w:tr>
      <w:tr w14:paraId="65660EA2">
        <w:tblPrEx>
          <w:tblCellMar>
            <w:top w:w="0" w:type="dxa"/>
            <w:left w:w="108" w:type="dxa"/>
            <w:bottom w:w="0" w:type="dxa"/>
            <w:right w:w="108" w:type="dxa"/>
          </w:tblCellMar>
        </w:tblPrEx>
        <w:trPr>
          <w:jc w:val="center"/>
        </w:trPr>
        <w:tc>
          <w:tcPr>
            <w:tcW w:w="3543" w:type="dxa"/>
            <w:vMerge w:val="continue"/>
            <w:tcBorders>
              <w:top w:val="nil"/>
              <w:left w:val="single" w:color="auto" w:sz="4" w:space="0"/>
              <w:bottom w:val="single" w:color="auto" w:sz="4" w:space="0"/>
              <w:right w:val="single" w:color="auto" w:sz="4" w:space="0"/>
            </w:tcBorders>
            <w:noWrap w:val="0"/>
            <w:vAlign w:val="center"/>
          </w:tcPr>
          <w:p w14:paraId="0D8E6B93">
            <w:pPr>
              <w:widowControl/>
              <w:spacing w:line="320" w:lineRule="exact"/>
              <w:jc w:val="center"/>
              <w:rPr>
                <w:rFonts w:hint="eastAsia" w:ascii="仿宋" w:hAnsi="仿宋" w:eastAsia="仿宋" w:cs="仿宋"/>
                <w:kern w:val="0"/>
                <w:sz w:val="21"/>
                <w:szCs w:val="21"/>
              </w:rPr>
            </w:pPr>
          </w:p>
        </w:tc>
        <w:tc>
          <w:tcPr>
            <w:tcW w:w="1207" w:type="dxa"/>
            <w:tcBorders>
              <w:top w:val="nil"/>
              <w:left w:val="nil"/>
              <w:bottom w:val="single" w:color="auto" w:sz="4" w:space="0"/>
              <w:right w:val="single" w:color="auto" w:sz="4" w:space="0"/>
            </w:tcBorders>
            <w:noWrap w:val="0"/>
            <w:vAlign w:val="center"/>
          </w:tcPr>
          <w:p w14:paraId="6801EAFB">
            <w:pPr>
              <w:widowControl/>
              <w:spacing w:line="320" w:lineRule="exact"/>
              <w:jc w:val="center"/>
              <w:rPr>
                <w:rFonts w:hint="eastAsia" w:ascii="仿宋" w:hAnsi="仿宋" w:eastAsia="仿宋" w:cs="仿宋"/>
                <w:kern w:val="0"/>
                <w:sz w:val="21"/>
                <w:szCs w:val="21"/>
              </w:rPr>
            </w:pPr>
          </w:p>
        </w:tc>
        <w:tc>
          <w:tcPr>
            <w:tcW w:w="930" w:type="dxa"/>
            <w:tcBorders>
              <w:top w:val="nil"/>
              <w:left w:val="nil"/>
              <w:bottom w:val="single" w:color="auto" w:sz="4" w:space="0"/>
              <w:right w:val="single" w:color="auto" w:sz="4" w:space="0"/>
            </w:tcBorders>
            <w:noWrap w:val="0"/>
            <w:vAlign w:val="center"/>
          </w:tcPr>
          <w:p w14:paraId="1CC17641">
            <w:pPr>
              <w:widowControl/>
              <w:spacing w:line="320" w:lineRule="exact"/>
              <w:jc w:val="center"/>
              <w:rPr>
                <w:rFonts w:hint="eastAsia" w:ascii="仿宋" w:hAnsi="仿宋" w:eastAsia="仿宋" w:cs="仿宋"/>
                <w:kern w:val="0"/>
                <w:sz w:val="21"/>
                <w:szCs w:val="21"/>
              </w:rPr>
            </w:pPr>
          </w:p>
        </w:tc>
        <w:tc>
          <w:tcPr>
            <w:tcW w:w="945" w:type="dxa"/>
            <w:tcBorders>
              <w:top w:val="nil"/>
              <w:left w:val="nil"/>
              <w:bottom w:val="single" w:color="auto" w:sz="4" w:space="0"/>
              <w:right w:val="single" w:color="auto" w:sz="4" w:space="0"/>
            </w:tcBorders>
            <w:noWrap w:val="0"/>
            <w:vAlign w:val="center"/>
          </w:tcPr>
          <w:p w14:paraId="1FC3E3EC">
            <w:pPr>
              <w:widowControl/>
              <w:spacing w:line="320" w:lineRule="exact"/>
              <w:jc w:val="center"/>
              <w:rPr>
                <w:rFonts w:hint="eastAsia" w:ascii="仿宋" w:hAnsi="仿宋" w:eastAsia="仿宋" w:cs="仿宋"/>
                <w:kern w:val="0"/>
                <w:sz w:val="21"/>
                <w:szCs w:val="21"/>
              </w:rPr>
            </w:pPr>
          </w:p>
        </w:tc>
        <w:tc>
          <w:tcPr>
            <w:tcW w:w="1110" w:type="dxa"/>
            <w:tcBorders>
              <w:top w:val="nil"/>
              <w:left w:val="nil"/>
              <w:bottom w:val="single" w:color="auto" w:sz="4" w:space="0"/>
              <w:right w:val="single" w:color="auto" w:sz="4" w:space="0"/>
            </w:tcBorders>
            <w:noWrap w:val="0"/>
            <w:vAlign w:val="center"/>
          </w:tcPr>
          <w:p w14:paraId="6F96726D">
            <w:pPr>
              <w:widowControl/>
              <w:spacing w:line="320" w:lineRule="exact"/>
              <w:jc w:val="center"/>
              <w:rPr>
                <w:rFonts w:hint="eastAsia" w:ascii="仿宋" w:hAnsi="仿宋" w:eastAsia="仿宋" w:cs="仿宋"/>
                <w:kern w:val="0"/>
                <w:sz w:val="21"/>
                <w:szCs w:val="21"/>
              </w:rPr>
            </w:pPr>
          </w:p>
        </w:tc>
        <w:tc>
          <w:tcPr>
            <w:tcW w:w="1155" w:type="dxa"/>
            <w:tcBorders>
              <w:top w:val="nil"/>
              <w:left w:val="nil"/>
              <w:bottom w:val="single" w:color="auto" w:sz="4" w:space="0"/>
              <w:right w:val="single" w:color="auto" w:sz="4" w:space="0"/>
            </w:tcBorders>
            <w:noWrap w:val="0"/>
            <w:vAlign w:val="center"/>
          </w:tcPr>
          <w:p w14:paraId="4740EC80">
            <w:pPr>
              <w:widowControl/>
              <w:spacing w:line="320" w:lineRule="exact"/>
              <w:jc w:val="center"/>
              <w:rPr>
                <w:rFonts w:hint="eastAsia" w:ascii="仿宋" w:hAnsi="仿宋" w:eastAsia="仿宋" w:cs="仿宋"/>
                <w:kern w:val="0"/>
                <w:sz w:val="21"/>
                <w:szCs w:val="21"/>
              </w:rPr>
            </w:pPr>
          </w:p>
        </w:tc>
        <w:tc>
          <w:tcPr>
            <w:tcW w:w="1155" w:type="dxa"/>
            <w:tcBorders>
              <w:top w:val="nil"/>
              <w:left w:val="nil"/>
              <w:bottom w:val="single" w:color="auto" w:sz="4" w:space="0"/>
              <w:right w:val="single" w:color="auto" w:sz="4" w:space="0"/>
            </w:tcBorders>
            <w:noWrap w:val="0"/>
            <w:vAlign w:val="center"/>
          </w:tcPr>
          <w:p w14:paraId="39DF507E">
            <w:pPr>
              <w:widowControl/>
              <w:spacing w:line="320" w:lineRule="exact"/>
              <w:jc w:val="center"/>
              <w:rPr>
                <w:rFonts w:hint="eastAsia" w:ascii="仿宋" w:hAnsi="仿宋" w:eastAsia="仿宋" w:cs="仿宋"/>
                <w:kern w:val="0"/>
                <w:sz w:val="21"/>
                <w:szCs w:val="21"/>
              </w:rPr>
            </w:pPr>
          </w:p>
        </w:tc>
      </w:tr>
      <w:tr w14:paraId="6E7EEFF7">
        <w:tblPrEx>
          <w:tblCellMar>
            <w:top w:w="0" w:type="dxa"/>
            <w:left w:w="108" w:type="dxa"/>
            <w:bottom w:w="0" w:type="dxa"/>
            <w:right w:w="108" w:type="dxa"/>
          </w:tblCellMar>
        </w:tblPrEx>
        <w:trPr>
          <w:trHeight w:val="1210" w:hRule="atLeast"/>
          <w:jc w:val="center"/>
        </w:trPr>
        <w:tc>
          <w:tcPr>
            <w:tcW w:w="3543" w:type="dxa"/>
            <w:tcBorders>
              <w:top w:val="nil"/>
              <w:left w:val="single" w:color="auto" w:sz="4" w:space="0"/>
              <w:bottom w:val="single" w:color="auto" w:sz="4" w:space="0"/>
              <w:right w:val="single" w:color="auto" w:sz="4" w:space="0"/>
            </w:tcBorders>
            <w:noWrap w:val="0"/>
            <w:vAlign w:val="center"/>
          </w:tcPr>
          <w:p w14:paraId="7BBA7ACB">
            <w:pPr>
              <w:widowControl/>
              <w:spacing w:line="320" w:lineRule="exact"/>
              <w:jc w:val="center"/>
              <w:rPr>
                <w:rFonts w:hint="eastAsia" w:ascii="仿宋" w:hAnsi="仿宋" w:eastAsia="仿宋" w:cs="仿宋"/>
                <w:kern w:val="0"/>
                <w:sz w:val="21"/>
                <w:szCs w:val="21"/>
              </w:rPr>
            </w:pPr>
            <w:r>
              <w:rPr>
                <w:rFonts w:hint="eastAsia" w:ascii="仿宋" w:hAnsi="仿宋" w:eastAsia="仿宋" w:cs="仿宋"/>
                <w:b/>
                <w:bCs/>
                <w:kern w:val="0"/>
                <w:sz w:val="21"/>
                <w:szCs w:val="21"/>
              </w:rPr>
              <w:t>厉行节约保障措施</w:t>
            </w:r>
          </w:p>
        </w:tc>
        <w:tc>
          <w:tcPr>
            <w:tcW w:w="6502" w:type="dxa"/>
            <w:gridSpan w:val="6"/>
            <w:tcBorders>
              <w:top w:val="single" w:color="auto" w:sz="4" w:space="0"/>
              <w:left w:val="nil"/>
              <w:bottom w:val="single" w:color="auto" w:sz="4" w:space="0"/>
              <w:right w:val="single" w:color="000000" w:sz="4" w:space="0"/>
            </w:tcBorders>
            <w:noWrap w:val="0"/>
            <w:vAlign w:val="center"/>
          </w:tcPr>
          <w:p w14:paraId="39FE17D9">
            <w:pPr>
              <w:spacing w:line="240" w:lineRule="exact"/>
              <w:ind w:firstLine="315" w:firstLineChars="150"/>
              <w:rPr>
                <w:rFonts w:hint="eastAsia" w:ascii="仿宋" w:hAnsi="仿宋" w:eastAsia="仿宋" w:cs="仿宋"/>
                <w:kern w:val="0"/>
                <w:sz w:val="21"/>
                <w:szCs w:val="21"/>
              </w:rPr>
            </w:pPr>
          </w:p>
        </w:tc>
      </w:tr>
      <w:tr w14:paraId="36839B9C">
        <w:tblPrEx>
          <w:tblCellMar>
            <w:top w:w="0" w:type="dxa"/>
            <w:left w:w="108" w:type="dxa"/>
            <w:bottom w:w="0" w:type="dxa"/>
            <w:right w:w="108" w:type="dxa"/>
          </w:tblCellMar>
        </w:tblPrEx>
        <w:trPr>
          <w:trHeight w:val="865" w:hRule="atLeast"/>
          <w:jc w:val="center"/>
        </w:trPr>
        <w:tc>
          <w:tcPr>
            <w:tcW w:w="10045" w:type="dxa"/>
            <w:gridSpan w:val="7"/>
            <w:tcBorders>
              <w:top w:val="single" w:color="auto" w:sz="4" w:space="0"/>
              <w:left w:val="single" w:color="auto" w:sz="4" w:space="0"/>
              <w:bottom w:val="single" w:color="auto" w:sz="4" w:space="0"/>
              <w:right w:val="single" w:color="000000" w:sz="4" w:space="0"/>
            </w:tcBorders>
            <w:noWrap w:val="0"/>
            <w:vAlign w:val="center"/>
          </w:tcPr>
          <w:p w14:paraId="121CCC2B">
            <w:pPr>
              <w:widowControl/>
              <w:spacing w:line="240" w:lineRule="exact"/>
              <w:jc w:val="both"/>
              <w:rPr>
                <w:rFonts w:hint="eastAsia" w:ascii="仿宋" w:hAnsi="仿宋" w:eastAsia="仿宋" w:cs="仿宋"/>
                <w:kern w:val="0"/>
                <w:sz w:val="21"/>
                <w:szCs w:val="21"/>
              </w:rPr>
            </w:pPr>
            <w:r>
              <w:rPr>
                <w:rFonts w:hint="default" w:ascii="Times New Roman" w:hAnsi="Times New Roman" w:eastAsia="仿宋_GB2312" w:cs="Times New Roman"/>
                <w:kern w:val="0"/>
                <w:sz w:val="21"/>
                <w:szCs w:val="21"/>
              </w:rPr>
              <w:t>说明：“项目支出”需要填报基本支出以外的所有项目支出情况，“公用经费”填报基本支出中的一般商品和服务支出。</w:t>
            </w:r>
          </w:p>
        </w:tc>
      </w:tr>
    </w:tbl>
    <w:p w14:paraId="4460C7D8">
      <w:pPr>
        <w:spacing w:line="579" w:lineRule="exact"/>
        <w:ind w:firstLine="640" w:firstLineChars="200"/>
        <w:rPr>
          <w:rFonts w:hint="eastAsia" w:ascii="黑体" w:hAnsi="黑体" w:eastAsia="黑体" w:cs="黑体"/>
          <w:color w:val="000000"/>
          <w:sz w:val="32"/>
          <w:szCs w:val="32"/>
        </w:rPr>
      </w:pPr>
    </w:p>
    <w:p w14:paraId="219B1974">
      <w:pPr>
        <w:spacing w:line="579" w:lineRule="exact"/>
        <w:ind w:firstLine="640" w:firstLineChars="200"/>
        <w:rPr>
          <w:rFonts w:hint="eastAsia" w:ascii="黑体" w:hAnsi="黑体" w:eastAsia="黑体" w:cs="黑体"/>
          <w:color w:val="000000"/>
          <w:sz w:val="32"/>
          <w:szCs w:val="32"/>
        </w:rPr>
      </w:pPr>
    </w:p>
    <w:p w14:paraId="1BE7B916">
      <w:pPr>
        <w:spacing w:line="579" w:lineRule="exact"/>
        <w:ind w:firstLine="640" w:firstLineChars="200"/>
        <w:rPr>
          <w:rFonts w:hint="eastAsia" w:ascii="黑体" w:hAnsi="黑体" w:eastAsia="黑体" w:cs="黑体"/>
          <w:color w:val="000000"/>
          <w:sz w:val="32"/>
          <w:szCs w:val="32"/>
        </w:rPr>
      </w:pPr>
    </w:p>
    <w:p w14:paraId="22D80CBD">
      <w:pPr>
        <w:spacing w:line="579" w:lineRule="exact"/>
        <w:ind w:firstLine="640" w:firstLineChars="200"/>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rPr>
        <w:t>附件</w:t>
      </w:r>
      <w:r>
        <w:rPr>
          <w:rFonts w:hint="eastAsia" w:ascii="黑体" w:hAnsi="黑体" w:eastAsia="黑体" w:cs="黑体"/>
          <w:color w:val="000000"/>
          <w:sz w:val="32"/>
          <w:szCs w:val="32"/>
          <w:lang w:val="en-US" w:eastAsia="zh-CN"/>
        </w:rPr>
        <w:t>1-</w:t>
      </w:r>
      <w:r>
        <w:rPr>
          <w:rFonts w:hint="eastAsia" w:ascii="黑体" w:hAnsi="黑体" w:eastAsia="黑体" w:cs="黑体"/>
          <w:color w:val="000000"/>
          <w:sz w:val="32"/>
          <w:szCs w:val="32"/>
        </w:rPr>
        <w:t>2</w:t>
      </w:r>
    </w:p>
    <w:p w14:paraId="07267081">
      <w:pPr>
        <w:spacing w:line="740" w:lineRule="exact"/>
        <w:ind w:firstLine="880" w:firstLineChars="200"/>
        <w:jc w:val="center"/>
        <w:rPr>
          <w:rFonts w:hint="eastAsia" w:ascii="黑体" w:hAnsi="黑体" w:eastAsia="黑体" w:cs="黑体"/>
          <w:sz w:val="44"/>
        </w:rPr>
      </w:pPr>
      <w:r>
        <w:rPr>
          <w:rFonts w:hint="eastAsia" w:ascii="黑体" w:hAnsi="黑体" w:eastAsia="黑体" w:cs="黑体"/>
          <w:sz w:val="44"/>
          <w:lang w:eastAsia="zh-CN"/>
        </w:rPr>
        <w:t>2024</w:t>
      </w:r>
      <w:r>
        <w:rPr>
          <w:rFonts w:hint="eastAsia" w:ascii="黑体" w:hAnsi="黑体" w:eastAsia="黑体" w:cs="黑体"/>
          <w:sz w:val="44"/>
        </w:rPr>
        <w:t>年度部门整体支出绩效自评表</w:t>
      </w:r>
    </w:p>
    <w:tbl>
      <w:tblPr>
        <w:tblStyle w:val="7"/>
        <w:tblW w:w="10415" w:type="dxa"/>
        <w:jc w:val="center"/>
        <w:tblLayout w:type="fixed"/>
        <w:tblCellMar>
          <w:top w:w="0" w:type="dxa"/>
          <w:left w:w="108" w:type="dxa"/>
          <w:bottom w:w="0" w:type="dxa"/>
          <w:right w:w="108" w:type="dxa"/>
        </w:tblCellMar>
      </w:tblPr>
      <w:tblGrid>
        <w:gridCol w:w="716"/>
        <w:gridCol w:w="851"/>
        <w:gridCol w:w="770"/>
        <w:gridCol w:w="1350"/>
        <w:gridCol w:w="253"/>
        <w:gridCol w:w="1487"/>
        <w:gridCol w:w="1635"/>
        <w:gridCol w:w="825"/>
        <w:gridCol w:w="1455"/>
        <w:gridCol w:w="1073"/>
      </w:tblGrid>
      <w:tr w14:paraId="6E91A492">
        <w:tblPrEx>
          <w:tblCellMar>
            <w:top w:w="0" w:type="dxa"/>
            <w:left w:w="108" w:type="dxa"/>
            <w:bottom w:w="0" w:type="dxa"/>
            <w:right w:w="108" w:type="dxa"/>
          </w:tblCellMar>
        </w:tblPrEx>
        <w:trPr>
          <w:trHeight w:val="447" w:hRule="atLeast"/>
          <w:jc w:val="center"/>
        </w:trPr>
        <w:tc>
          <w:tcPr>
            <w:tcW w:w="716" w:type="dxa"/>
            <w:tcBorders>
              <w:top w:val="single" w:color="auto" w:sz="4" w:space="0"/>
              <w:left w:val="single" w:color="auto" w:sz="4" w:space="0"/>
              <w:bottom w:val="single" w:color="auto" w:sz="4" w:space="0"/>
              <w:right w:val="single" w:color="auto" w:sz="4" w:space="0"/>
            </w:tcBorders>
            <w:noWrap w:val="0"/>
            <w:vAlign w:val="center"/>
          </w:tcPr>
          <w:p w14:paraId="7DBD78DB">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单位名称</w:t>
            </w:r>
          </w:p>
        </w:tc>
        <w:tc>
          <w:tcPr>
            <w:tcW w:w="9699" w:type="dxa"/>
            <w:gridSpan w:val="9"/>
            <w:tcBorders>
              <w:top w:val="single" w:color="auto" w:sz="4" w:space="0"/>
              <w:left w:val="nil"/>
              <w:bottom w:val="single" w:color="auto" w:sz="4" w:space="0"/>
              <w:right w:val="single" w:color="auto" w:sz="4" w:space="0"/>
            </w:tcBorders>
            <w:noWrap w:val="0"/>
            <w:vAlign w:val="center"/>
          </w:tcPr>
          <w:p w14:paraId="3D1CED5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长铺镇人民政府</w:t>
            </w:r>
            <w:r>
              <w:rPr>
                <w:rFonts w:hint="eastAsia" w:ascii="仿宋" w:hAnsi="仿宋" w:eastAsia="仿宋" w:cs="仿宋"/>
                <w:color w:val="000000"/>
                <w:kern w:val="0"/>
                <w:sz w:val="21"/>
                <w:szCs w:val="21"/>
              </w:rPr>
              <w:t>　</w:t>
            </w:r>
          </w:p>
        </w:tc>
      </w:tr>
      <w:tr w14:paraId="14DB2D97">
        <w:tblPrEx>
          <w:tblCellMar>
            <w:top w:w="0" w:type="dxa"/>
            <w:left w:w="108" w:type="dxa"/>
            <w:bottom w:w="0" w:type="dxa"/>
            <w:right w:w="108" w:type="dxa"/>
          </w:tblCellMar>
        </w:tblPrEx>
        <w:trPr>
          <w:trHeight w:val="460" w:hRule="atLeast"/>
          <w:jc w:val="center"/>
        </w:trPr>
        <w:tc>
          <w:tcPr>
            <w:tcW w:w="716" w:type="dxa"/>
            <w:vMerge w:val="restart"/>
            <w:tcBorders>
              <w:top w:val="nil"/>
              <w:left w:val="single" w:color="auto" w:sz="4" w:space="0"/>
              <w:right w:val="single" w:color="auto" w:sz="4" w:space="0"/>
            </w:tcBorders>
            <w:noWrap w:val="0"/>
            <w:vAlign w:val="center"/>
          </w:tcPr>
          <w:p w14:paraId="251681CF">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年度预算申请（万元）</w:t>
            </w:r>
          </w:p>
        </w:tc>
        <w:tc>
          <w:tcPr>
            <w:tcW w:w="1621" w:type="dxa"/>
            <w:gridSpan w:val="2"/>
            <w:tcBorders>
              <w:top w:val="nil"/>
              <w:left w:val="nil"/>
              <w:bottom w:val="single" w:color="auto" w:sz="4" w:space="0"/>
              <w:right w:val="single" w:color="auto" w:sz="4" w:space="0"/>
            </w:tcBorders>
            <w:noWrap w:val="0"/>
            <w:vAlign w:val="center"/>
          </w:tcPr>
          <w:p w14:paraId="5316F9F4">
            <w:pPr>
              <w:spacing w:line="220" w:lineRule="exact"/>
              <w:jc w:val="center"/>
              <w:rPr>
                <w:rFonts w:hint="eastAsia" w:ascii="仿宋" w:hAnsi="仿宋" w:eastAsia="仿宋" w:cs="仿宋"/>
                <w:color w:val="000000"/>
                <w:kern w:val="0"/>
                <w:sz w:val="21"/>
                <w:szCs w:val="21"/>
              </w:rPr>
            </w:pPr>
          </w:p>
        </w:tc>
        <w:tc>
          <w:tcPr>
            <w:tcW w:w="1350" w:type="dxa"/>
            <w:tcBorders>
              <w:top w:val="nil"/>
              <w:left w:val="nil"/>
              <w:bottom w:val="single" w:color="auto" w:sz="4" w:space="0"/>
              <w:right w:val="single" w:color="auto" w:sz="4" w:space="0"/>
            </w:tcBorders>
            <w:noWrap w:val="0"/>
            <w:vAlign w:val="center"/>
          </w:tcPr>
          <w:p w14:paraId="20840F21">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年初预算数</w:t>
            </w:r>
          </w:p>
        </w:tc>
        <w:tc>
          <w:tcPr>
            <w:tcW w:w="1740" w:type="dxa"/>
            <w:gridSpan w:val="2"/>
            <w:tcBorders>
              <w:top w:val="nil"/>
              <w:left w:val="nil"/>
              <w:bottom w:val="single" w:color="auto" w:sz="4" w:space="0"/>
              <w:right w:val="single" w:color="auto" w:sz="4" w:space="0"/>
            </w:tcBorders>
            <w:noWrap w:val="0"/>
            <w:vAlign w:val="center"/>
          </w:tcPr>
          <w:p w14:paraId="52128F29">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全年预算数</w:t>
            </w:r>
            <w:r>
              <w:rPr>
                <w:rFonts w:hint="eastAsia" w:ascii="仿宋" w:hAnsi="仿宋" w:eastAsia="仿宋" w:cs="仿宋"/>
                <w:color w:val="000000"/>
                <w:kern w:val="0"/>
                <w:sz w:val="21"/>
                <w:szCs w:val="21"/>
                <w:lang w:val="en-US" w:eastAsia="zh-CN"/>
              </w:rPr>
              <w:t>(A)</w:t>
            </w:r>
          </w:p>
        </w:tc>
        <w:tc>
          <w:tcPr>
            <w:tcW w:w="1635" w:type="dxa"/>
            <w:tcBorders>
              <w:top w:val="nil"/>
              <w:left w:val="nil"/>
              <w:bottom w:val="single" w:color="auto" w:sz="4" w:space="0"/>
              <w:right w:val="single" w:color="auto" w:sz="4" w:space="0"/>
            </w:tcBorders>
            <w:noWrap w:val="0"/>
            <w:vAlign w:val="center"/>
          </w:tcPr>
          <w:p w14:paraId="01ABA6E9">
            <w:pPr>
              <w:spacing w:line="220" w:lineRule="exact"/>
              <w:jc w:val="both"/>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全年执行数</w:t>
            </w:r>
            <w:r>
              <w:rPr>
                <w:rFonts w:hint="eastAsia" w:ascii="仿宋" w:hAnsi="仿宋" w:eastAsia="仿宋" w:cs="仿宋"/>
                <w:color w:val="000000"/>
                <w:kern w:val="0"/>
                <w:sz w:val="21"/>
                <w:szCs w:val="21"/>
                <w:lang w:val="en-US" w:eastAsia="zh-CN"/>
              </w:rPr>
              <w:t>(B)</w:t>
            </w:r>
          </w:p>
        </w:tc>
        <w:tc>
          <w:tcPr>
            <w:tcW w:w="825" w:type="dxa"/>
            <w:tcBorders>
              <w:top w:val="nil"/>
              <w:left w:val="nil"/>
              <w:bottom w:val="single" w:color="auto" w:sz="4" w:space="0"/>
              <w:right w:val="single" w:color="auto" w:sz="4" w:space="0"/>
            </w:tcBorders>
            <w:noWrap w:val="0"/>
            <w:vAlign w:val="center"/>
          </w:tcPr>
          <w:p w14:paraId="37809A66">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nil"/>
              <w:left w:val="nil"/>
              <w:bottom w:val="single" w:color="auto" w:sz="4" w:space="0"/>
              <w:right w:val="single" w:color="auto" w:sz="4" w:space="0"/>
            </w:tcBorders>
            <w:noWrap w:val="0"/>
            <w:vAlign w:val="center"/>
          </w:tcPr>
          <w:p w14:paraId="03F6AA74">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执行率</w:t>
            </w:r>
            <w:r>
              <w:rPr>
                <w:rFonts w:hint="eastAsia" w:ascii="仿宋" w:hAnsi="仿宋" w:eastAsia="仿宋" w:cs="仿宋"/>
                <w:color w:val="000000"/>
                <w:kern w:val="0"/>
                <w:sz w:val="21"/>
                <w:szCs w:val="21"/>
                <w:lang w:val="en-US" w:eastAsia="zh-CN"/>
              </w:rPr>
              <w:t>(B/A)</w:t>
            </w:r>
          </w:p>
        </w:tc>
        <w:tc>
          <w:tcPr>
            <w:tcW w:w="1073" w:type="dxa"/>
            <w:tcBorders>
              <w:top w:val="nil"/>
              <w:left w:val="nil"/>
              <w:bottom w:val="single" w:color="auto" w:sz="4" w:space="0"/>
              <w:right w:val="single" w:color="auto" w:sz="4" w:space="0"/>
            </w:tcBorders>
            <w:noWrap w:val="0"/>
            <w:vAlign w:val="center"/>
          </w:tcPr>
          <w:p w14:paraId="7E5AC127">
            <w:pPr>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r>
      <w:tr w14:paraId="6CD3C294">
        <w:tblPrEx>
          <w:tblCellMar>
            <w:top w:w="0" w:type="dxa"/>
            <w:left w:w="108" w:type="dxa"/>
            <w:bottom w:w="0" w:type="dxa"/>
            <w:right w:w="108" w:type="dxa"/>
          </w:tblCellMar>
        </w:tblPrEx>
        <w:trPr>
          <w:trHeight w:val="465" w:hRule="atLeast"/>
          <w:jc w:val="center"/>
        </w:trPr>
        <w:tc>
          <w:tcPr>
            <w:tcW w:w="716" w:type="dxa"/>
            <w:vMerge w:val="continue"/>
            <w:tcBorders>
              <w:top w:val="nil"/>
              <w:left w:val="single" w:color="auto" w:sz="4" w:space="0"/>
              <w:right w:val="single" w:color="auto" w:sz="4" w:space="0"/>
            </w:tcBorders>
            <w:noWrap w:val="0"/>
            <w:vAlign w:val="center"/>
          </w:tcPr>
          <w:p w14:paraId="6C647324">
            <w:pPr>
              <w:widowControl/>
              <w:spacing w:line="220" w:lineRule="exact"/>
              <w:jc w:val="left"/>
              <w:rPr>
                <w:rFonts w:hint="eastAsia" w:ascii="仿宋" w:hAnsi="仿宋" w:eastAsia="仿宋" w:cs="仿宋"/>
                <w:color w:val="000000"/>
                <w:kern w:val="0"/>
                <w:sz w:val="21"/>
                <w:szCs w:val="21"/>
              </w:rPr>
            </w:pPr>
          </w:p>
        </w:tc>
        <w:tc>
          <w:tcPr>
            <w:tcW w:w="1621" w:type="dxa"/>
            <w:gridSpan w:val="2"/>
            <w:tcBorders>
              <w:top w:val="nil"/>
              <w:left w:val="nil"/>
              <w:bottom w:val="single" w:color="auto" w:sz="4" w:space="0"/>
              <w:right w:val="single" w:color="auto" w:sz="4" w:space="0"/>
            </w:tcBorders>
            <w:noWrap w:val="0"/>
            <w:vAlign w:val="center"/>
          </w:tcPr>
          <w:p w14:paraId="0BA9D914">
            <w:pPr>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年度资金总额</w:t>
            </w:r>
          </w:p>
        </w:tc>
        <w:tc>
          <w:tcPr>
            <w:tcW w:w="1350" w:type="dxa"/>
            <w:tcBorders>
              <w:top w:val="nil"/>
              <w:left w:val="nil"/>
              <w:bottom w:val="single" w:color="auto" w:sz="4" w:space="0"/>
              <w:right w:val="single" w:color="auto" w:sz="4" w:space="0"/>
            </w:tcBorders>
            <w:noWrap w:val="0"/>
            <w:vAlign w:val="center"/>
          </w:tcPr>
          <w:p w14:paraId="235B631D">
            <w:pPr>
              <w:spacing w:line="220" w:lineRule="exact"/>
              <w:jc w:val="center"/>
              <w:rPr>
                <w:rFonts w:hint="default" w:ascii="仿宋" w:hAnsi="仿宋" w:eastAsia="仿宋" w:cs="仿宋"/>
                <w:color w:val="000000"/>
                <w:kern w:val="0"/>
                <w:sz w:val="21"/>
                <w:szCs w:val="21"/>
                <w:lang w:val="en-US" w:eastAsia="zh-CN"/>
              </w:rPr>
            </w:pPr>
          </w:p>
        </w:tc>
        <w:tc>
          <w:tcPr>
            <w:tcW w:w="1740" w:type="dxa"/>
            <w:gridSpan w:val="2"/>
            <w:tcBorders>
              <w:top w:val="nil"/>
              <w:left w:val="nil"/>
              <w:bottom w:val="single" w:color="auto" w:sz="4" w:space="0"/>
              <w:right w:val="single" w:color="auto" w:sz="4" w:space="0"/>
            </w:tcBorders>
            <w:noWrap w:val="0"/>
            <w:vAlign w:val="center"/>
          </w:tcPr>
          <w:p w14:paraId="69E188B2">
            <w:pPr>
              <w:spacing w:line="220" w:lineRule="exact"/>
              <w:jc w:val="center"/>
              <w:rPr>
                <w:rFonts w:hint="eastAsia" w:ascii="仿宋" w:hAnsi="仿宋" w:eastAsia="仿宋" w:cs="仿宋"/>
                <w:color w:val="000000"/>
                <w:kern w:val="0"/>
                <w:sz w:val="21"/>
                <w:szCs w:val="21"/>
              </w:rPr>
            </w:pPr>
          </w:p>
        </w:tc>
        <w:tc>
          <w:tcPr>
            <w:tcW w:w="1635" w:type="dxa"/>
            <w:tcBorders>
              <w:top w:val="nil"/>
              <w:left w:val="nil"/>
              <w:bottom w:val="single" w:color="auto" w:sz="4" w:space="0"/>
              <w:right w:val="single" w:color="auto" w:sz="4" w:space="0"/>
            </w:tcBorders>
            <w:noWrap w:val="0"/>
            <w:vAlign w:val="center"/>
          </w:tcPr>
          <w:p w14:paraId="3049041A">
            <w:pPr>
              <w:spacing w:line="220" w:lineRule="exact"/>
              <w:jc w:val="center"/>
              <w:rPr>
                <w:rFonts w:hint="eastAsia" w:ascii="仿宋" w:hAnsi="仿宋" w:eastAsia="仿宋" w:cs="仿宋"/>
                <w:color w:val="000000"/>
                <w:kern w:val="0"/>
                <w:sz w:val="21"/>
                <w:szCs w:val="21"/>
              </w:rPr>
            </w:pPr>
          </w:p>
        </w:tc>
        <w:tc>
          <w:tcPr>
            <w:tcW w:w="825" w:type="dxa"/>
            <w:tcBorders>
              <w:top w:val="nil"/>
              <w:left w:val="nil"/>
              <w:bottom w:val="single" w:color="auto" w:sz="4" w:space="0"/>
              <w:right w:val="single" w:color="auto" w:sz="4" w:space="0"/>
            </w:tcBorders>
            <w:noWrap w:val="0"/>
            <w:vAlign w:val="center"/>
          </w:tcPr>
          <w:p w14:paraId="0CCEFE04">
            <w:pPr>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10</w:t>
            </w:r>
          </w:p>
        </w:tc>
        <w:tc>
          <w:tcPr>
            <w:tcW w:w="1455" w:type="dxa"/>
            <w:tcBorders>
              <w:top w:val="nil"/>
              <w:left w:val="nil"/>
              <w:bottom w:val="single" w:color="auto" w:sz="4" w:space="0"/>
              <w:right w:val="single" w:color="auto" w:sz="4" w:space="0"/>
            </w:tcBorders>
            <w:noWrap w:val="0"/>
            <w:vAlign w:val="center"/>
          </w:tcPr>
          <w:p w14:paraId="0B0FFB2F">
            <w:pPr>
              <w:spacing w:line="220" w:lineRule="exact"/>
              <w:jc w:val="center"/>
              <w:rPr>
                <w:rFonts w:hint="eastAsia" w:ascii="仿宋" w:hAnsi="仿宋" w:eastAsia="仿宋" w:cs="仿宋"/>
                <w:color w:val="000000"/>
                <w:kern w:val="0"/>
                <w:sz w:val="21"/>
                <w:szCs w:val="21"/>
              </w:rPr>
            </w:pPr>
          </w:p>
        </w:tc>
        <w:tc>
          <w:tcPr>
            <w:tcW w:w="1073" w:type="dxa"/>
            <w:tcBorders>
              <w:top w:val="nil"/>
              <w:left w:val="nil"/>
              <w:bottom w:val="single" w:color="auto" w:sz="4" w:space="0"/>
              <w:right w:val="single" w:color="auto" w:sz="4" w:space="0"/>
            </w:tcBorders>
            <w:noWrap w:val="0"/>
            <w:vAlign w:val="center"/>
          </w:tcPr>
          <w:p w14:paraId="398A8FA3">
            <w:pPr>
              <w:spacing w:line="220" w:lineRule="exact"/>
              <w:jc w:val="center"/>
              <w:rPr>
                <w:rFonts w:hint="eastAsia" w:ascii="仿宋" w:hAnsi="仿宋" w:eastAsia="仿宋" w:cs="仿宋"/>
                <w:color w:val="000000"/>
                <w:kern w:val="0"/>
                <w:sz w:val="21"/>
                <w:szCs w:val="21"/>
              </w:rPr>
            </w:pPr>
          </w:p>
        </w:tc>
      </w:tr>
      <w:tr w14:paraId="3111006A">
        <w:tblPrEx>
          <w:tblCellMar>
            <w:top w:w="0" w:type="dxa"/>
            <w:left w:w="108" w:type="dxa"/>
            <w:bottom w:w="0" w:type="dxa"/>
            <w:right w:w="108" w:type="dxa"/>
          </w:tblCellMar>
        </w:tblPrEx>
        <w:trPr>
          <w:trHeight w:val="435" w:hRule="atLeast"/>
          <w:jc w:val="center"/>
        </w:trPr>
        <w:tc>
          <w:tcPr>
            <w:tcW w:w="716" w:type="dxa"/>
            <w:vMerge w:val="continue"/>
            <w:tcBorders>
              <w:left w:val="single" w:color="auto" w:sz="4" w:space="0"/>
              <w:right w:val="single" w:color="auto" w:sz="4" w:space="0"/>
            </w:tcBorders>
            <w:noWrap w:val="0"/>
            <w:vAlign w:val="center"/>
          </w:tcPr>
          <w:p w14:paraId="6DA19458">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1BECE0AA">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按收入性质分：</w:t>
            </w:r>
          </w:p>
        </w:tc>
        <w:tc>
          <w:tcPr>
            <w:tcW w:w="4988" w:type="dxa"/>
            <w:gridSpan w:val="4"/>
            <w:tcBorders>
              <w:top w:val="nil"/>
              <w:left w:val="nil"/>
              <w:bottom w:val="single" w:color="auto" w:sz="4" w:space="0"/>
              <w:right w:val="single" w:color="auto" w:sz="4" w:space="0"/>
            </w:tcBorders>
            <w:noWrap w:val="0"/>
            <w:vAlign w:val="center"/>
          </w:tcPr>
          <w:p w14:paraId="2B34F2E6">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按支出性质分：</w:t>
            </w:r>
          </w:p>
        </w:tc>
      </w:tr>
      <w:tr w14:paraId="70C22DA0">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2A9DE728">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7E6B89BD">
            <w:pPr>
              <w:widowControl/>
              <w:spacing w:line="220" w:lineRule="exact"/>
              <w:ind w:firstLine="210" w:firstLineChars="1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其中：一般公共预算：</w:t>
            </w:r>
            <w:r>
              <w:rPr>
                <w:rFonts w:hint="eastAsia" w:ascii="仿宋_GB2312" w:hAnsi="仿宋_GB2312" w:eastAsia="仿宋_GB2312" w:cs="仿宋_GB2312"/>
                <w:color w:val="000000"/>
                <w:kern w:val="0"/>
                <w:sz w:val="21"/>
                <w:szCs w:val="21"/>
                <w:lang w:val="en-US" w:eastAsia="zh-CN" w:bidi="ar"/>
              </w:rPr>
              <w:t>2023.37</w:t>
            </w:r>
            <w:r>
              <w:rPr>
                <w:rFonts w:hint="eastAsia" w:ascii="仿宋" w:hAnsi="仿宋" w:eastAsia="仿宋" w:cs="仿宋"/>
                <w:color w:val="000000"/>
                <w:kern w:val="0"/>
                <w:sz w:val="21"/>
                <w:szCs w:val="21"/>
                <w:lang w:val="en-US" w:eastAsia="zh-CN"/>
              </w:rPr>
              <w:t>万</w:t>
            </w:r>
          </w:p>
        </w:tc>
        <w:tc>
          <w:tcPr>
            <w:tcW w:w="4988" w:type="dxa"/>
            <w:gridSpan w:val="4"/>
            <w:tcBorders>
              <w:top w:val="nil"/>
              <w:left w:val="nil"/>
              <w:bottom w:val="single" w:color="auto" w:sz="4" w:space="0"/>
              <w:right w:val="single" w:color="auto" w:sz="4" w:space="0"/>
            </w:tcBorders>
            <w:noWrap w:val="0"/>
            <w:vAlign w:val="center"/>
          </w:tcPr>
          <w:p w14:paraId="12CD7981">
            <w:pPr>
              <w:widowControl/>
              <w:spacing w:line="220" w:lineRule="exact"/>
              <w:ind w:firstLine="210" w:firstLineChars="1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其中：基本支出：</w:t>
            </w:r>
            <w:r>
              <w:rPr>
                <w:rFonts w:hint="eastAsia" w:ascii="仿宋_GB2312" w:hAnsi="仿宋_GB2312" w:eastAsia="仿宋_GB2312" w:cs="仿宋_GB2312"/>
                <w:color w:val="000000"/>
                <w:kern w:val="0"/>
                <w:sz w:val="21"/>
                <w:szCs w:val="21"/>
                <w:lang w:val="en-US" w:eastAsia="zh-CN" w:bidi="ar"/>
              </w:rPr>
              <w:t>1575.2</w:t>
            </w:r>
            <w:r>
              <w:rPr>
                <w:rFonts w:hint="eastAsia" w:ascii="仿宋" w:hAnsi="仿宋" w:eastAsia="仿宋" w:cs="仿宋"/>
                <w:color w:val="000000"/>
                <w:kern w:val="0"/>
                <w:sz w:val="21"/>
                <w:szCs w:val="21"/>
                <w:lang w:val="en-US" w:eastAsia="zh-CN"/>
              </w:rPr>
              <w:t>万</w:t>
            </w:r>
          </w:p>
        </w:tc>
      </w:tr>
      <w:tr w14:paraId="5BA6A618">
        <w:tblPrEx>
          <w:tblCellMar>
            <w:top w:w="0" w:type="dxa"/>
            <w:left w:w="108" w:type="dxa"/>
            <w:bottom w:w="0" w:type="dxa"/>
            <w:right w:w="108" w:type="dxa"/>
          </w:tblCellMar>
        </w:tblPrEx>
        <w:trPr>
          <w:trHeight w:val="450" w:hRule="atLeast"/>
          <w:jc w:val="center"/>
        </w:trPr>
        <w:tc>
          <w:tcPr>
            <w:tcW w:w="716" w:type="dxa"/>
            <w:vMerge w:val="continue"/>
            <w:tcBorders>
              <w:left w:val="single" w:color="auto" w:sz="4" w:space="0"/>
              <w:right w:val="single" w:color="auto" w:sz="4" w:space="0"/>
            </w:tcBorders>
            <w:noWrap w:val="0"/>
            <w:vAlign w:val="center"/>
          </w:tcPr>
          <w:p w14:paraId="57314E2F">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74A62EB2">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政府性基金拨款：</w:t>
            </w:r>
          </w:p>
        </w:tc>
        <w:tc>
          <w:tcPr>
            <w:tcW w:w="4988" w:type="dxa"/>
            <w:gridSpan w:val="4"/>
            <w:tcBorders>
              <w:top w:val="nil"/>
              <w:left w:val="nil"/>
              <w:bottom w:val="single" w:color="auto" w:sz="4" w:space="0"/>
              <w:right w:val="single" w:color="auto" w:sz="4" w:space="0"/>
            </w:tcBorders>
            <w:noWrap w:val="0"/>
            <w:vAlign w:val="center"/>
          </w:tcPr>
          <w:p w14:paraId="0FF8B535">
            <w:pPr>
              <w:widowControl/>
              <w:spacing w:line="220" w:lineRule="exact"/>
              <w:ind w:firstLine="840" w:firstLineChars="400"/>
              <w:jc w:val="left"/>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rPr>
              <w:t>项目支出：</w:t>
            </w:r>
            <w:r>
              <w:rPr>
                <w:rFonts w:hint="eastAsia" w:ascii="仿宋" w:hAnsi="仿宋" w:eastAsia="仿宋" w:cs="仿宋"/>
                <w:color w:val="000000"/>
                <w:kern w:val="0"/>
                <w:sz w:val="21"/>
                <w:szCs w:val="21"/>
                <w:lang w:val="en-US" w:eastAsia="zh-CN"/>
              </w:rPr>
              <w:t>448.17万</w:t>
            </w:r>
          </w:p>
        </w:tc>
      </w:tr>
      <w:tr w14:paraId="336C08FF">
        <w:tblPrEx>
          <w:tblCellMar>
            <w:top w:w="0" w:type="dxa"/>
            <w:left w:w="108" w:type="dxa"/>
            <w:bottom w:w="0" w:type="dxa"/>
            <w:right w:w="108" w:type="dxa"/>
          </w:tblCellMar>
        </w:tblPrEx>
        <w:trPr>
          <w:trHeight w:val="405" w:hRule="atLeast"/>
          <w:jc w:val="center"/>
        </w:trPr>
        <w:tc>
          <w:tcPr>
            <w:tcW w:w="716" w:type="dxa"/>
            <w:vMerge w:val="continue"/>
            <w:tcBorders>
              <w:left w:val="single" w:color="auto" w:sz="4" w:space="0"/>
              <w:right w:val="single" w:color="auto" w:sz="4" w:space="0"/>
            </w:tcBorders>
            <w:noWrap w:val="0"/>
            <w:vAlign w:val="center"/>
          </w:tcPr>
          <w:p w14:paraId="0147CDDA">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6B5D4E0B">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纳入专户管理的非税收入拨款：</w:t>
            </w:r>
          </w:p>
        </w:tc>
        <w:tc>
          <w:tcPr>
            <w:tcW w:w="4988" w:type="dxa"/>
            <w:gridSpan w:val="4"/>
            <w:tcBorders>
              <w:top w:val="nil"/>
              <w:left w:val="nil"/>
              <w:bottom w:val="single" w:color="auto" w:sz="4" w:space="0"/>
              <w:right w:val="single" w:color="auto" w:sz="4" w:space="0"/>
            </w:tcBorders>
            <w:noWrap w:val="0"/>
            <w:vAlign w:val="center"/>
          </w:tcPr>
          <w:p w14:paraId="7C37DB69">
            <w:pPr>
              <w:widowControl/>
              <w:spacing w:line="220" w:lineRule="exact"/>
              <w:jc w:val="left"/>
              <w:rPr>
                <w:rFonts w:hint="eastAsia" w:ascii="仿宋" w:hAnsi="仿宋" w:eastAsia="仿宋" w:cs="仿宋"/>
                <w:color w:val="000000"/>
                <w:kern w:val="0"/>
                <w:sz w:val="21"/>
                <w:szCs w:val="21"/>
              </w:rPr>
            </w:pPr>
            <w:bookmarkStart w:id="0" w:name="_GoBack"/>
            <w:bookmarkEnd w:id="0"/>
          </w:p>
        </w:tc>
      </w:tr>
      <w:tr w14:paraId="63B58913">
        <w:tblPrEx>
          <w:tblCellMar>
            <w:top w:w="0" w:type="dxa"/>
            <w:left w:w="108" w:type="dxa"/>
            <w:bottom w:w="0" w:type="dxa"/>
            <w:right w:w="108" w:type="dxa"/>
          </w:tblCellMar>
        </w:tblPrEx>
        <w:trPr>
          <w:trHeight w:val="4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14:paraId="33A9F169">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nil"/>
              <w:left w:val="nil"/>
              <w:bottom w:val="single" w:color="auto" w:sz="4" w:space="0"/>
              <w:right w:val="single" w:color="auto" w:sz="4" w:space="0"/>
            </w:tcBorders>
            <w:noWrap w:val="0"/>
            <w:vAlign w:val="center"/>
          </w:tcPr>
          <w:p w14:paraId="0527FDD8">
            <w:pPr>
              <w:widowControl/>
              <w:spacing w:line="220" w:lineRule="exact"/>
              <w:ind w:firstLine="840" w:firstLineChars="400"/>
              <w:jc w:val="left"/>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其他资金：</w:t>
            </w:r>
          </w:p>
        </w:tc>
        <w:tc>
          <w:tcPr>
            <w:tcW w:w="4988" w:type="dxa"/>
            <w:gridSpan w:val="4"/>
            <w:tcBorders>
              <w:top w:val="nil"/>
              <w:left w:val="nil"/>
              <w:bottom w:val="single" w:color="auto" w:sz="4" w:space="0"/>
              <w:right w:val="single" w:color="auto" w:sz="4" w:space="0"/>
            </w:tcBorders>
            <w:noWrap w:val="0"/>
            <w:vAlign w:val="center"/>
          </w:tcPr>
          <w:p w14:paraId="4DE461C8">
            <w:pPr>
              <w:widowControl/>
              <w:spacing w:line="220" w:lineRule="exact"/>
              <w:jc w:val="left"/>
              <w:rPr>
                <w:rFonts w:hint="eastAsia" w:ascii="仿宋" w:hAnsi="仿宋" w:eastAsia="仿宋" w:cs="仿宋"/>
                <w:color w:val="000000"/>
                <w:kern w:val="0"/>
                <w:sz w:val="21"/>
                <w:szCs w:val="21"/>
              </w:rPr>
            </w:pPr>
          </w:p>
        </w:tc>
      </w:tr>
      <w:tr w14:paraId="263BC600">
        <w:tblPrEx>
          <w:tblCellMar>
            <w:top w:w="0" w:type="dxa"/>
            <w:left w:w="108" w:type="dxa"/>
            <w:bottom w:w="0" w:type="dxa"/>
            <w:right w:w="108" w:type="dxa"/>
          </w:tblCellMar>
        </w:tblPrEx>
        <w:trPr>
          <w:trHeight w:val="445" w:hRule="atLeast"/>
          <w:jc w:val="center"/>
        </w:trPr>
        <w:tc>
          <w:tcPr>
            <w:tcW w:w="716" w:type="dxa"/>
            <w:vMerge w:val="restart"/>
            <w:tcBorders>
              <w:top w:val="nil"/>
              <w:left w:val="single" w:color="auto" w:sz="4" w:space="0"/>
              <w:bottom w:val="single" w:color="000000" w:sz="4" w:space="0"/>
              <w:right w:val="single" w:color="auto" w:sz="4" w:space="0"/>
            </w:tcBorders>
            <w:noWrap w:val="0"/>
            <w:vAlign w:val="center"/>
          </w:tcPr>
          <w:p w14:paraId="70634C5B">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b/>
                <w:bCs/>
                <w:color w:val="000000"/>
                <w:kern w:val="0"/>
                <w:sz w:val="21"/>
                <w:szCs w:val="21"/>
              </w:rPr>
              <w:t>年度总体目标</w:t>
            </w:r>
          </w:p>
        </w:tc>
        <w:tc>
          <w:tcPr>
            <w:tcW w:w="4711" w:type="dxa"/>
            <w:gridSpan w:val="5"/>
            <w:tcBorders>
              <w:top w:val="single" w:color="auto" w:sz="4" w:space="0"/>
              <w:left w:val="nil"/>
              <w:bottom w:val="single" w:color="auto" w:sz="4" w:space="0"/>
              <w:right w:val="single" w:color="000000" w:sz="4" w:space="0"/>
            </w:tcBorders>
            <w:noWrap w:val="0"/>
            <w:vAlign w:val="center"/>
          </w:tcPr>
          <w:p w14:paraId="639053C6">
            <w:pPr>
              <w:widowControl/>
              <w:spacing w:line="220" w:lineRule="exact"/>
              <w:jc w:val="center"/>
              <w:rPr>
                <w:rFonts w:hint="eastAsia"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年初目标设定</w:t>
            </w:r>
          </w:p>
        </w:tc>
        <w:tc>
          <w:tcPr>
            <w:tcW w:w="4988" w:type="dxa"/>
            <w:gridSpan w:val="4"/>
            <w:tcBorders>
              <w:top w:val="single" w:color="auto" w:sz="4" w:space="0"/>
              <w:left w:val="nil"/>
              <w:bottom w:val="single" w:color="auto" w:sz="4" w:space="0"/>
              <w:right w:val="single" w:color="auto" w:sz="4" w:space="0"/>
            </w:tcBorders>
            <w:noWrap w:val="0"/>
            <w:vAlign w:val="center"/>
          </w:tcPr>
          <w:p w14:paraId="105268B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lang w:val="en-US" w:eastAsia="zh-CN"/>
              </w:rPr>
              <w:t>全年</w:t>
            </w:r>
            <w:r>
              <w:rPr>
                <w:rFonts w:hint="eastAsia" w:ascii="仿宋" w:hAnsi="仿宋" w:eastAsia="仿宋" w:cs="仿宋"/>
                <w:color w:val="000000"/>
                <w:kern w:val="0"/>
                <w:sz w:val="21"/>
                <w:szCs w:val="21"/>
              </w:rPr>
              <w:t>实际完成情况</w:t>
            </w:r>
          </w:p>
        </w:tc>
      </w:tr>
      <w:tr w14:paraId="59B098F7">
        <w:tblPrEx>
          <w:tblCellMar>
            <w:top w:w="0" w:type="dxa"/>
            <w:left w:w="108" w:type="dxa"/>
            <w:bottom w:w="0" w:type="dxa"/>
            <w:right w:w="108" w:type="dxa"/>
          </w:tblCellMar>
        </w:tblPrEx>
        <w:trPr>
          <w:trHeight w:val="1470" w:hRule="atLeast"/>
          <w:jc w:val="center"/>
        </w:trPr>
        <w:tc>
          <w:tcPr>
            <w:tcW w:w="716" w:type="dxa"/>
            <w:vMerge w:val="continue"/>
            <w:tcBorders>
              <w:top w:val="nil"/>
              <w:left w:val="single" w:color="auto" w:sz="4" w:space="0"/>
              <w:bottom w:val="single" w:color="auto" w:sz="4" w:space="0"/>
              <w:right w:val="single" w:color="auto" w:sz="4" w:space="0"/>
            </w:tcBorders>
            <w:noWrap w:val="0"/>
            <w:vAlign w:val="center"/>
          </w:tcPr>
          <w:p w14:paraId="636AF4D5">
            <w:pPr>
              <w:widowControl/>
              <w:spacing w:line="220" w:lineRule="exact"/>
              <w:jc w:val="left"/>
              <w:rPr>
                <w:rFonts w:hint="eastAsia" w:ascii="仿宋" w:hAnsi="仿宋" w:eastAsia="仿宋" w:cs="仿宋"/>
                <w:color w:val="000000"/>
                <w:kern w:val="0"/>
                <w:sz w:val="21"/>
                <w:szCs w:val="21"/>
              </w:rPr>
            </w:pPr>
          </w:p>
        </w:tc>
        <w:tc>
          <w:tcPr>
            <w:tcW w:w="4711" w:type="dxa"/>
            <w:gridSpan w:val="5"/>
            <w:tcBorders>
              <w:top w:val="single" w:color="auto" w:sz="4" w:space="0"/>
              <w:left w:val="nil"/>
              <w:bottom w:val="single" w:color="auto" w:sz="4" w:space="0"/>
              <w:right w:val="single" w:color="000000" w:sz="4" w:space="0"/>
            </w:tcBorders>
            <w:noWrap w:val="0"/>
            <w:vAlign w:val="center"/>
          </w:tcPr>
          <w:p w14:paraId="7A548793">
            <w:pPr>
              <w:widowControl/>
              <w:tabs>
                <w:tab w:val="left" w:pos="1690"/>
              </w:tabs>
              <w:spacing w:line="220" w:lineRule="exact"/>
              <w:ind w:firstLine="420" w:firstLineChars="200"/>
              <w:jc w:val="left"/>
              <w:rPr>
                <w:rFonts w:hint="eastAsia"/>
                <w:lang w:eastAsia="zh-CN"/>
              </w:rPr>
            </w:pPr>
            <w:r>
              <w:rPr>
                <w:rFonts w:hint="eastAsia"/>
                <w:lang w:eastAsia="zh-CN"/>
              </w:rPr>
              <w:t>1：促进乡镇经济发展</w:t>
            </w:r>
          </w:p>
          <w:p w14:paraId="08522749">
            <w:pPr>
              <w:pStyle w:val="6"/>
              <w:ind w:left="0" w:leftChars="0" w:firstLine="420" w:firstLineChars="200"/>
              <w:rPr>
                <w:rFonts w:hint="eastAsia" w:ascii="Times New Roman" w:hAnsi="Times New Roman" w:eastAsia="宋体" w:cs="Times New Roman"/>
                <w:kern w:val="2"/>
                <w:sz w:val="21"/>
                <w:szCs w:val="24"/>
                <w:lang w:val="en-US" w:eastAsia="zh-CN" w:bidi="ar-SA"/>
              </w:rPr>
            </w:pPr>
            <w:r>
              <w:rPr>
                <w:rFonts w:hint="eastAsia"/>
                <w:lang w:eastAsia="zh-CN"/>
              </w:rPr>
              <w:t>2：改善民生</w:t>
            </w:r>
          </w:p>
        </w:tc>
        <w:tc>
          <w:tcPr>
            <w:tcW w:w="4988" w:type="dxa"/>
            <w:gridSpan w:val="4"/>
            <w:tcBorders>
              <w:top w:val="single" w:color="auto" w:sz="4" w:space="0"/>
              <w:left w:val="nil"/>
              <w:bottom w:val="single" w:color="auto" w:sz="4" w:space="0"/>
              <w:right w:val="single" w:color="auto" w:sz="4" w:space="0"/>
            </w:tcBorders>
            <w:noWrap w:val="0"/>
            <w:vAlign w:val="center"/>
          </w:tcPr>
          <w:p w14:paraId="06A1B807">
            <w:pPr>
              <w:spacing w:line="240" w:lineRule="exact"/>
              <w:ind w:firstLine="420" w:firstLineChars="200"/>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完成100%</w:t>
            </w:r>
          </w:p>
        </w:tc>
      </w:tr>
      <w:tr w14:paraId="0FE10662">
        <w:tblPrEx>
          <w:tblCellMar>
            <w:top w:w="0" w:type="dxa"/>
            <w:left w:w="108" w:type="dxa"/>
            <w:bottom w:w="0" w:type="dxa"/>
            <w:right w:w="108" w:type="dxa"/>
          </w:tblCellMar>
        </w:tblPrEx>
        <w:trPr>
          <w:trHeight w:val="850" w:hRule="atLeast"/>
          <w:jc w:val="center"/>
        </w:trPr>
        <w:tc>
          <w:tcPr>
            <w:tcW w:w="716" w:type="dxa"/>
            <w:vMerge w:val="restart"/>
            <w:tcBorders>
              <w:top w:val="single" w:color="auto" w:sz="4" w:space="0"/>
              <w:left w:val="single" w:color="auto" w:sz="4" w:space="0"/>
              <w:bottom w:val="single" w:color="auto" w:sz="4" w:space="0"/>
              <w:right w:val="single" w:color="auto" w:sz="4" w:space="0"/>
            </w:tcBorders>
            <w:noWrap w:val="0"/>
            <w:vAlign w:val="center"/>
          </w:tcPr>
          <w:p w14:paraId="539B5804">
            <w:pPr>
              <w:widowControl/>
              <w:spacing w:line="220" w:lineRule="exact"/>
              <w:ind w:firstLine="422" w:firstLineChars="200"/>
              <w:jc w:val="both"/>
              <w:rPr>
                <w:rFonts w:hint="eastAsia" w:ascii="仿宋" w:hAnsi="仿宋" w:eastAsia="仿宋" w:cs="仿宋"/>
                <w:b/>
                <w:bCs/>
                <w:color w:val="000000"/>
                <w:kern w:val="0"/>
                <w:sz w:val="21"/>
                <w:szCs w:val="21"/>
              </w:rPr>
            </w:pPr>
            <w:r>
              <w:rPr>
                <w:rFonts w:hint="eastAsia" w:ascii="仿宋" w:hAnsi="仿宋" w:eastAsia="仿宋" w:cs="仿宋"/>
                <w:b/>
                <w:bCs/>
                <w:color w:val="000000"/>
                <w:kern w:val="0"/>
                <w:sz w:val="21"/>
                <w:szCs w:val="21"/>
              </w:rPr>
              <w:t>绩效</w:t>
            </w:r>
          </w:p>
          <w:p w14:paraId="312A4374">
            <w:pPr>
              <w:widowControl/>
              <w:spacing w:line="220" w:lineRule="exact"/>
              <w:ind w:firstLine="422" w:firstLineChars="200"/>
              <w:jc w:val="left"/>
              <w:rPr>
                <w:rFonts w:hint="default" w:ascii="仿宋" w:hAnsi="仿宋" w:eastAsia="仿宋" w:cs="仿宋"/>
                <w:color w:val="000000"/>
                <w:kern w:val="0"/>
                <w:sz w:val="21"/>
                <w:szCs w:val="21"/>
                <w:lang w:val="en-US" w:eastAsia="zh-CN"/>
              </w:rPr>
            </w:pPr>
            <w:r>
              <w:rPr>
                <w:rFonts w:hint="eastAsia" w:ascii="仿宋" w:hAnsi="仿宋" w:eastAsia="仿宋" w:cs="仿宋"/>
                <w:b/>
                <w:bCs/>
                <w:color w:val="000000"/>
                <w:kern w:val="0"/>
                <w:sz w:val="21"/>
                <w:szCs w:val="21"/>
              </w:rPr>
              <w:t>指标</w:t>
            </w:r>
            <w:r>
              <w:rPr>
                <w:rFonts w:hint="eastAsia" w:ascii="仿宋" w:hAnsi="仿宋" w:eastAsia="仿宋" w:cs="仿宋"/>
                <w:b/>
                <w:bCs/>
                <w:color w:val="000000"/>
                <w:kern w:val="0"/>
                <w:sz w:val="21"/>
                <w:szCs w:val="21"/>
                <w:lang w:val="en-US" w:eastAsia="zh-CN"/>
              </w:rPr>
              <w:t>（90分）</w:t>
            </w:r>
          </w:p>
        </w:tc>
        <w:tc>
          <w:tcPr>
            <w:tcW w:w="851" w:type="dxa"/>
            <w:tcBorders>
              <w:top w:val="single" w:color="auto" w:sz="4" w:space="0"/>
              <w:left w:val="nil"/>
              <w:bottom w:val="single" w:color="auto" w:sz="4" w:space="0"/>
              <w:right w:val="single" w:color="auto" w:sz="4" w:space="0"/>
            </w:tcBorders>
            <w:noWrap w:val="0"/>
            <w:vAlign w:val="center"/>
          </w:tcPr>
          <w:p w14:paraId="1BD96800">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一级指标</w:t>
            </w:r>
          </w:p>
        </w:tc>
        <w:tc>
          <w:tcPr>
            <w:tcW w:w="770" w:type="dxa"/>
            <w:tcBorders>
              <w:top w:val="single" w:color="auto" w:sz="4" w:space="0"/>
              <w:left w:val="nil"/>
              <w:bottom w:val="single" w:color="auto" w:sz="4" w:space="0"/>
              <w:right w:val="single" w:color="auto" w:sz="4" w:space="0"/>
            </w:tcBorders>
            <w:noWrap w:val="0"/>
            <w:vAlign w:val="center"/>
          </w:tcPr>
          <w:p w14:paraId="21C6A67B">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二级指标</w:t>
            </w:r>
          </w:p>
        </w:tc>
        <w:tc>
          <w:tcPr>
            <w:tcW w:w="1603" w:type="dxa"/>
            <w:gridSpan w:val="2"/>
            <w:tcBorders>
              <w:top w:val="single" w:color="auto" w:sz="4" w:space="0"/>
              <w:left w:val="nil"/>
              <w:bottom w:val="single" w:color="auto" w:sz="4" w:space="0"/>
              <w:right w:val="single" w:color="auto" w:sz="4" w:space="0"/>
            </w:tcBorders>
            <w:noWrap w:val="0"/>
            <w:vAlign w:val="center"/>
          </w:tcPr>
          <w:p w14:paraId="03E8EB0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三级指标</w:t>
            </w:r>
          </w:p>
        </w:tc>
        <w:tc>
          <w:tcPr>
            <w:tcW w:w="1487" w:type="dxa"/>
            <w:tcBorders>
              <w:top w:val="single" w:color="auto" w:sz="4" w:space="0"/>
              <w:left w:val="nil"/>
              <w:bottom w:val="single" w:color="auto" w:sz="4" w:space="0"/>
              <w:right w:val="single" w:color="auto" w:sz="4" w:space="0"/>
            </w:tcBorders>
            <w:noWrap w:val="0"/>
            <w:vAlign w:val="center"/>
          </w:tcPr>
          <w:p w14:paraId="4FFA15BE">
            <w:pPr>
              <w:widowControl/>
              <w:spacing w:line="220" w:lineRule="exact"/>
              <w:ind w:firstLine="420" w:firstLineChars="20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年度</w:t>
            </w:r>
          </w:p>
          <w:p w14:paraId="5BEB8D40">
            <w:pPr>
              <w:widowControl/>
              <w:spacing w:line="220" w:lineRule="exact"/>
              <w:ind w:firstLine="420" w:firstLineChars="20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指标值</w:t>
            </w:r>
          </w:p>
        </w:tc>
        <w:tc>
          <w:tcPr>
            <w:tcW w:w="1635" w:type="dxa"/>
            <w:tcBorders>
              <w:top w:val="single" w:color="auto" w:sz="4" w:space="0"/>
              <w:left w:val="nil"/>
              <w:bottom w:val="single" w:color="auto" w:sz="4" w:space="0"/>
              <w:right w:val="single" w:color="auto" w:sz="4" w:space="0"/>
            </w:tcBorders>
            <w:noWrap w:val="0"/>
            <w:vAlign w:val="center"/>
          </w:tcPr>
          <w:p w14:paraId="18BD6106">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实际完成值</w:t>
            </w:r>
          </w:p>
        </w:tc>
        <w:tc>
          <w:tcPr>
            <w:tcW w:w="825" w:type="dxa"/>
            <w:tcBorders>
              <w:top w:val="single" w:color="auto" w:sz="4" w:space="0"/>
              <w:left w:val="nil"/>
              <w:bottom w:val="single" w:color="auto" w:sz="4" w:space="0"/>
              <w:right w:val="single" w:color="auto" w:sz="4" w:space="0"/>
            </w:tcBorders>
            <w:noWrap w:val="0"/>
            <w:vAlign w:val="center"/>
          </w:tcPr>
          <w:p w14:paraId="0D1D6940">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分值</w:t>
            </w:r>
          </w:p>
        </w:tc>
        <w:tc>
          <w:tcPr>
            <w:tcW w:w="1455" w:type="dxa"/>
            <w:tcBorders>
              <w:top w:val="single" w:color="auto" w:sz="4" w:space="0"/>
              <w:left w:val="nil"/>
              <w:bottom w:val="single" w:color="auto" w:sz="4" w:space="0"/>
              <w:right w:val="single" w:color="auto" w:sz="4" w:space="0"/>
            </w:tcBorders>
            <w:noWrap w:val="0"/>
            <w:vAlign w:val="center"/>
          </w:tcPr>
          <w:p w14:paraId="7C5DDE5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得分</w:t>
            </w:r>
          </w:p>
        </w:tc>
        <w:tc>
          <w:tcPr>
            <w:tcW w:w="1073" w:type="dxa"/>
            <w:tcBorders>
              <w:top w:val="single" w:color="auto" w:sz="4" w:space="0"/>
              <w:left w:val="nil"/>
              <w:bottom w:val="single" w:color="auto" w:sz="4" w:space="0"/>
              <w:right w:val="single" w:color="auto" w:sz="4" w:space="0"/>
            </w:tcBorders>
            <w:noWrap w:val="0"/>
            <w:vAlign w:val="center"/>
          </w:tcPr>
          <w:p w14:paraId="56681692">
            <w:pPr>
              <w:widowControl/>
              <w:spacing w:line="220" w:lineRule="exact"/>
              <w:ind w:firstLine="420" w:firstLineChars="20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偏差原因</w:t>
            </w:r>
          </w:p>
          <w:p w14:paraId="7313217E">
            <w:pPr>
              <w:widowControl/>
              <w:spacing w:line="220" w:lineRule="exact"/>
              <w:ind w:firstLine="420" w:firstLineChars="20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分析及</w:t>
            </w:r>
          </w:p>
          <w:p w14:paraId="4519D629">
            <w:pPr>
              <w:widowControl/>
              <w:spacing w:line="220" w:lineRule="exact"/>
              <w:ind w:firstLine="420" w:firstLineChars="20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改进措施</w:t>
            </w:r>
          </w:p>
        </w:tc>
      </w:tr>
      <w:tr w14:paraId="1AD38DA8">
        <w:tblPrEx>
          <w:tblCellMar>
            <w:top w:w="0" w:type="dxa"/>
            <w:left w:w="108" w:type="dxa"/>
            <w:bottom w:w="0" w:type="dxa"/>
            <w:right w:w="108" w:type="dxa"/>
          </w:tblCellMar>
        </w:tblPrEx>
        <w:trPr>
          <w:trHeight w:val="486"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03475CF6">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nil"/>
              <w:bottom w:val="single" w:color="auto" w:sz="4" w:space="0"/>
              <w:right w:val="single" w:color="auto" w:sz="4" w:space="0"/>
            </w:tcBorders>
            <w:noWrap w:val="0"/>
            <w:vAlign w:val="center"/>
          </w:tcPr>
          <w:p w14:paraId="5BDA045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rPr>
              <w:t>产出指标（50分）</w:t>
            </w:r>
          </w:p>
        </w:tc>
        <w:tc>
          <w:tcPr>
            <w:tcW w:w="770" w:type="dxa"/>
            <w:vMerge w:val="restart"/>
            <w:tcBorders>
              <w:top w:val="single" w:color="auto" w:sz="4" w:space="0"/>
              <w:left w:val="nil"/>
              <w:bottom w:val="single" w:color="auto" w:sz="4" w:space="0"/>
              <w:right w:val="single" w:color="auto" w:sz="4" w:space="0"/>
            </w:tcBorders>
            <w:noWrap w:val="0"/>
            <w:vAlign w:val="center"/>
          </w:tcPr>
          <w:p w14:paraId="65D2CC1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rPr>
              <w:t>数量   指标</w:t>
            </w:r>
          </w:p>
        </w:tc>
        <w:tc>
          <w:tcPr>
            <w:tcW w:w="1603" w:type="dxa"/>
            <w:gridSpan w:val="2"/>
            <w:tcBorders>
              <w:top w:val="single" w:color="auto" w:sz="4" w:space="0"/>
              <w:left w:val="nil"/>
              <w:bottom w:val="single" w:color="auto" w:sz="4" w:space="0"/>
              <w:right w:val="single" w:color="auto" w:sz="4" w:space="0"/>
            </w:tcBorders>
            <w:noWrap w:val="0"/>
            <w:vAlign w:val="center"/>
          </w:tcPr>
          <w:p w14:paraId="60F8032F">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工资发放人数</w:t>
            </w:r>
          </w:p>
        </w:tc>
        <w:tc>
          <w:tcPr>
            <w:tcW w:w="1487" w:type="dxa"/>
            <w:tcBorders>
              <w:top w:val="single" w:color="auto" w:sz="4" w:space="0"/>
              <w:left w:val="nil"/>
              <w:bottom w:val="single" w:color="auto" w:sz="4" w:space="0"/>
              <w:right w:val="single" w:color="auto" w:sz="4" w:space="0"/>
            </w:tcBorders>
            <w:noWrap w:val="0"/>
            <w:vAlign w:val="center"/>
          </w:tcPr>
          <w:p w14:paraId="34511933">
            <w:pPr>
              <w:spacing w:line="240" w:lineRule="exact"/>
              <w:rPr>
                <w:rFonts w:hint="eastAsia" w:ascii="仿宋" w:hAnsi="仿宋" w:eastAsia="仿宋" w:cs="仿宋"/>
                <w:sz w:val="20"/>
                <w:szCs w:val="20"/>
              </w:rPr>
            </w:pPr>
            <w:r>
              <w:rPr>
                <w:rFonts w:hint="eastAsia" w:ascii="仿宋" w:hAnsi="仿宋" w:eastAsia="仿宋" w:cs="仿宋"/>
                <w:sz w:val="20"/>
                <w:szCs w:val="20"/>
                <w:lang w:val="en-US" w:eastAsia="zh-CN"/>
              </w:rPr>
              <w:t>58人</w:t>
            </w:r>
          </w:p>
        </w:tc>
        <w:tc>
          <w:tcPr>
            <w:tcW w:w="1635" w:type="dxa"/>
            <w:tcBorders>
              <w:top w:val="single" w:color="auto" w:sz="4" w:space="0"/>
              <w:left w:val="nil"/>
              <w:bottom w:val="single" w:color="auto" w:sz="4" w:space="0"/>
              <w:right w:val="single" w:color="auto" w:sz="4" w:space="0"/>
            </w:tcBorders>
            <w:noWrap w:val="0"/>
            <w:vAlign w:val="center"/>
          </w:tcPr>
          <w:p w14:paraId="1A276D9F">
            <w:pPr>
              <w:spacing w:line="240" w:lineRule="exact"/>
              <w:rPr>
                <w:rFonts w:hint="eastAsia" w:ascii="仿宋" w:hAnsi="仿宋" w:eastAsia="仿宋" w:cs="仿宋"/>
                <w:color w:val="000000"/>
                <w:kern w:val="0"/>
                <w:sz w:val="21"/>
                <w:szCs w:val="21"/>
              </w:rPr>
            </w:pPr>
            <w:r>
              <w:rPr>
                <w:rFonts w:hint="eastAsia" w:ascii="仿宋" w:hAnsi="仿宋" w:eastAsia="仿宋" w:cs="仿宋"/>
                <w:sz w:val="20"/>
                <w:szCs w:val="20"/>
                <w:lang w:val="en-US" w:eastAsia="zh-CN"/>
              </w:rPr>
              <w:t>58人</w:t>
            </w:r>
          </w:p>
        </w:tc>
        <w:tc>
          <w:tcPr>
            <w:tcW w:w="825" w:type="dxa"/>
            <w:tcBorders>
              <w:top w:val="single" w:color="auto" w:sz="4" w:space="0"/>
              <w:left w:val="nil"/>
              <w:bottom w:val="single" w:color="auto" w:sz="4" w:space="0"/>
              <w:right w:val="single" w:color="auto" w:sz="4" w:space="0"/>
            </w:tcBorders>
            <w:noWrap w:val="0"/>
            <w:vAlign w:val="center"/>
          </w:tcPr>
          <w:p w14:paraId="559A0027">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455" w:type="dxa"/>
            <w:tcBorders>
              <w:top w:val="single" w:color="auto" w:sz="4" w:space="0"/>
              <w:left w:val="nil"/>
              <w:bottom w:val="single" w:color="auto" w:sz="4" w:space="0"/>
              <w:right w:val="single" w:color="auto" w:sz="4" w:space="0"/>
            </w:tcBorders>
            <w:noWrap w:val="0"/>
            <w:vAlign w:val="center"/>
          </w:tcPr>
          <w:p w14:paraId="6CCDA73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073" w:type="dxa"/>
            <w:tcBorders>
              <w:top w:val="single" w:color="auto" w:sz="4" w:space="0"/>
              <w:left w:val="nil"/>
              <w:bottom w:val="single" w:color="auto" w:sz="4" w:space="0"/>
              <w:right w:val="single" w:color="auto" w:sz="4" w:space="0"/>
            </w:tcBorders>
            <w:noWrap w:val="0"/>
            <w:vAlign w:val="center"/>
          </w:tcPr>
          <w:p w14:paraId="0A68D468">
            <w:pPr>
              <w:widowControl/>
              <w:spacing w:line="220" w:lineRule="exact"/>
              <w:jc w:val="center"/>
              <w:rPr>
                <w:rFonts w:hint="eastAsia" w:ascii="仿宋" w:hAnsi="仿宋" w:eastAsia="仿宋" w:cs="仿宋"/>
                <w:color w:val="000000"/>
                <w:kern w:val="0"/>
                <w:sz w:val="21"/>
                <w:szCs w:val="21"/>
              </w:rPr>
            </w:pPr>
          </w:p>
        </w:tc>
      </w:tr>
      <w:tr w14:paraId="29E947CA">
        <w:tblPrEx>
          <w:tblCellMar>
            <w:top w:w="0" w:type="dxa"/>
            <w:left w:w="108" w:type="dxa"/>
            <w:bottom w:w="0" w:type="dxa"/>
            <w:right w:w="108" w:type="dxa"/>
          </w:tblCellMar>
        </w:tblPrEx>
        <w:trPr>
          <w:trHeight w:val="460" w:hRule="atLeast"/>
          <w:jc w:val="center"/>
        </w:trPr>
        <w:tc>
          <w:tcPr>
            <w:tcW w:w="716" w:type="dxa"/>
            <w:vMerge w:val="continue"/>
            <w:tcBorders>
              <w:top w:val="single" w:color="auto" w:sz="4" w:space="0"/>
              <w:left w:val="single" w:color="auto" w:sz="4" w:space="0"/>
              <w:bottom w:val="single" w:color="auto" w:sz="4" w:space="0"/>
              <w:right w:val="single" w:color="auto" w:sz="4" w:space="0"/>
            </w:tcBorders>
            <w:noWrap w:val="0"/>
            <w:vAlign w:val="center"/>
          </w:tcPr>
          <w:p w14:paraId="1F1EF937">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auto" w:sz="4" w:space="0"/>
              <w:right w:val="single" w:color="auto" w:sz="4" w:space="0"/>
            </w:tcBorders>
            <w:noWrap w:val="0"/>
            <w:vAlign w:val="center"/>
          </w:tcPr>
          <w:p w14:paraId="7F99885E">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top w:val="single" w:color="auto" w:sz="4" w:space="0"/>
              <w:left w:val="nil"/>
              <w:bottom w:val="single" w:color="auto" w:sz="4" w:space="0"/>
              <w:right w:val="single" w:color="auto" w:sz="4" w:space="0"/>
            </w:tcBorders>
            <w:noWrap w:val="0"/>
            <w:vAlign w:val="center"/>
          </w:tcPr>
          <w:p w14:paraId="58B51856">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1C9186C4">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地方收入增幅</w:t>
            </w:r>
          </w:p>
        </w:tc>
        <w:tc>
          <w:tcPr>
            <w:tcW w:w="1487" w:type="dxa"/>
            <w:tcBorders>
              <w:top w:val="single" w:color="auto" w:sz="4" w:space="0"/>
              <w:left w:val="nil"/>
              <w:bottom w:val="single" w:color="auto" w:sz="4" w:space="0"/>
              <w:right w:val="single" w:color="auto" w:sz="4" w:space="0"/>
            </w:tcBorders>
            <w:noWrap w:val="0"/>
            <w:vAlign w:val="center"/>
          </w:tcPr>
          <w:p w14:paraId="3A5549C0">
            <w:pPr>
              <w:spacing w:line="240" w:lineRule="exact"/>
              <w:rPr>
                <w:rFonts w:hint="eastAsia" w:ascii="仿宋" w:hAnsi="仿宋" w:eastAsia="仿宋" w:cs="仿宋"/>
                <w:sz w:val="20"/>
                <w:szCs w:val="20"/>
              </w:rPr>
            </w:pPr>
            <w:r>
              <w:rPr>
                <w:rFonts w:hint="eastAsia" w:ascii="仿宋" w:hAnsi="仿宋" w:eastAsia="仿宋" w:cs="仿宋"/>
                <w:sz w:val="20"/>
                <w:szCs w:val="20"/>
                <w:lang w:val="en-US" w:eastAsia="zh-CN"/>
              </w:rPr>
              <w:t>8%</w:t>
            </w:r>
          </w:p>
        </w:tc>
        <w:tc>
          <w:tcPr>
            <w:tcW w:w="1635" w:type="dxa"/>
            <w:tcBorders>
              <w:top w:val="single" w:color="auto" w:sz="4" w:space="0"/>
              <w:left w:val="nil"/>
              <w:bottom w:val="single" w:color="auto" w:sz="4" w:space="0"/>
              <w:right w:val="single" w:color="auto" w:sz="4" w:space="0"/>
            </w:tcBorders>
            <w:noWrap w:val="0"/>
            <w:vAlign w:val="center"/>
          </w:tcPr>
          <w:p w14:paraId="741C1E08">
            <w:pPr>
              <w:spacing w:line="240" w:lineRule="exact"/>
              <w:rPr>
                <w:rFonts w:hint="eastAsia" w:ascii="仿宋" w:hAnsi="仿宋" w:eastAsia="仿宋" w:cs="仿宋"/>
                <w:color w:val="000000"/>
                <w:kern w:val="0"/>
                <w:sz w:val="21"/>
                <w:szCs w:val="21"/>
              </w:rPr>
            </w:pPr>
            <w:r>
              <w:rPr>
                <w:rFonts w:hint="eastAsia" w:ascii="仿宋" w:hAnsi="仿宋" w:eastAsia="仿宋" w:cs="仿宋"/>
                <w:sz w:val="20"/>
                <w:szCs w:val="20"/>
                <w:lang w:val="en-US" w:eastAsia="zh-CN"/>
              </w:rPr>
              <w:t>8%</w:t>
            </w:r>
          </w:p>
        </w:tc>
        <w:tc>
          <w:tcPr>
            <w:tcW w:w="825" w:type="dxa"/>
            <w:tcBorders>
              <w:top w:val="single" w:color="auto" w:sz="4" w:space="0"/>
              <w:left w:val="nil"/>
              <w:bottom w:val="single" w:color="auto" w:sz="4" w:space="0"/>
              <w:right w:val="single" w:color="auto" w:sz="4" w:space="0"/>
            </w:tcBorders>
            <w:noWrap w:val="0"/>
            <w:vAlign w:val="center"/>
          </w:tcPr>
          <w:p w14:paraId="31417AF4">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455" w:type="dxa"/>
            <w:tcBorders>
              <w:top w:val="single" w:color="auto" w:sz="4" w:space="0"/>
              <w:left w:val="nil"/>
              <w:bottom w:val="single" w:color="auto" w:sz="4" w:space="0"/>
              <w:right w:val="single" w:color="auto" w:sz="4" w:space="0"/>
            </w:tcBorders>
            <w:noWrap w:val="0"/>
            <w:vAlign w:val="center"/>
          </w:tcPr>
          <w:p w14:paraId="79CC91DA">
            <w:pPr>
              <w:widowControl/>
              <w:spacing w:line="220" w:lineRule="exact"/>
              <w:jc w:val="center"/>
              <w:rPr>
                <w:rFonts w:hint="default" w:ascii="仿宋" w:hAnsi="仿宋" w:eastAsia="仿宋" w:cs="仿宋"/>
                <w:color w:val="000000"/>
                <w:kern w:val="0"/>
                <w:sz w:val="21"/>
                <w:szCs w:val="21"/>
                <w:lang w:val="en-US"/>
              </w:rPr>
            </w:pPr>
            <w:r>
              <w:rPr>
                <w:rFonts w:hint="eastAsia" w:ascii="仿宋" w:hAnsi="仿宋" w:eastAsia="仿宋" w:cs="仿宋"/>
                <w:color w:val="000000"/>
                <w:kern w:val="0"/>
                <w:szCs w:val="21"/>
                <w:lang w:val="en-US" w:eastAsia="zh-CN"/>
              </w:rPr>
              <w:t>10</w:t>
            </w:r>
          </w:p>
        </w:tc>
        <w:tc>
          <w:tcPr>
            <w:tcW w:w="1073" w:type="dxa"/>
            <w:tcBorders>
              <w:top w:val="single" w:color="auto" w:sz="4" w:space="0"/>
              <w:left w:val="nil"/>
              <w:bottom w:val="single" w:color="auto" w:sz="4" w:space="0"/>
              <w:right w:val="single" w:color="auto" w:sz="4" w:space="0"/>
            </w:tcBorders>
            <w:noWrap w:val="0"/>
            <w:vAlign w:val="center"/>
          </w:tcPr>
          <w:p w14:paraId="74BA6A27">
            <w:pPr>
              <w:widowControl/>
              <w:spacing w:line="220" w:lineRule="exact"/>
              <w:jc w:val="center"/>
              <w:rPr>
                <w:rFonts w:hint="eastAsia" w:ascii="仿宋" w:hAnsi="仿宋" w:eastAsia="仿宋" w:cs="仿宋"/>
                <w:color w:val="000000"/>
                <w:kern w:val="0"/>
                <w:sz w:val="21"/>
                <w:szCs w:val="21"/>
              </w:rPr>
            </w:pPr>
          </w:p>
        </w:tc>
      </w:tr>
      <w:tr w14:paraId="26F455D4">
        <w:tblPrEx>
          <w:tblCellMar>
            <w:top w:w="0" w:type="dxa"/>
            <w:left w:w="108" w:type="dxa"/>
            <w:bottom w:w="0" w:type="dxa"/>
            <w:right w:w="108" w:type="dxa"/>
          </w:tblCellMar>
        </w:tblPrEx>
        <w:trPr>
          <w:trHeight w:val="510" w:hRule="atLeast"/>
          <w:jc w:val="center"/>
        </w:trPr>
        <w:tc>
          <w:tcPr>
            <w:tcW w:w="716" w:type="dxa"/>
            <w:vMerge w:val="continue"/>
            <w:tcBorders>
              <w:top w:val="single" w:color="auto" w:sz="4" w:space="0"/>
              <w:left w:val="single" w:color="auto" w:sz="4" w:space="0"/>
              <w:bottom w:val="single" w:color="000000" w:sz="4" w:space="0"/>
              <w:right w:val="single" w:color="auto" w:sz="4" w:space="0"/>
            </w:tcBorders>
            <w:noWrap w:val="0"/>
            <w:vAlign w:val="center"/>
          </w:tcPr>
          <w:p w14:paraId="2760313C">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nil"/>
              <w:bottom w:val="single" w:color="000000" w:sz="4" w:space="0"/>
              <w:right w:val="single" w:color="auto" w:sz="4" w:space="0"/>
            </w:tcBorders>
            <w:noWrap w:val="0"/>
            <w:vAlign w:val="center"/>
          </w:tcPr>
          <w:p w14:paraId="1E195211">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000000" w:sz="4" w:space="0"/>
              <w:right w:val="single" w:color="auto" w:sz="4" w:space="0"/>
            </w:tcBorders>
            <w:noWrap w:val="0"/>
            <w:vAlign w:val="center"/>
          </w:tcPr>
          <w:p w14:paraId="54C1A82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rPr>
              <w:t>质量   指标</w:t>
            </w:r>
          </w:p>
        </w:tc>
        <w:tc>
          <w:tcPr>
            <w:tcW w:w="1603" w:type="dxa"/>
            <w:gridSpan w:val="2"/>
            <w:tcBorders>
              <w:top w:val="single" w:color="auto" w:sz="4" w:space="0"/>
              <w:left w:val="nil"/>
              <w:bottom w:val="single" w:color="auto" w:sz="4" w:space="0"/>
              <w:right w:val="single" w:color="auto" w:sz="4" w:space="0"/>
            </w:tcBorders>
            <w:noWrap w:val="0"/>
            <w:vAlign w:val="center"/>
          </w:tcPr>
          <w:p w14:paraId="76AB9896">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rPr>
              <w:t>工资发放及时率率</w:t>
            </w:r>
          </w:p>
        </w:tc>
        <w:tc>
          <w:tcPr>
            <w:tcW w:w="1487" w:type="dxa"/>
            <w:tcBorders>
              <w:top w:val="single" w:color="auto" w:sz="4" w:space="0"/>
              <w:left w:val="nil"/>
              <w:bottom w:val="single" w:color="auto" w:sz="4" w:space="0"/>
              <w:right w:val="single" w:color="auto" w:sz="4" w:space="0"/>
            </w:tcBorders>
            <w:noWrap w:val="0"/>
            <w:vAlign w:val="center"/>
          </w:tcPr>
          <w:p w14:paraId="1A6F475A">
            <w:pPr>
              <w:spacing w:line="240" w:lineRule="exact"/>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100%</w:t>
            </w:r>
          </w:p>
        </w:tc>
        <w:tc>
          <w:tcPr>
            <w:tcW w:w="1635" w:type="dxa"/>
            <w:tcBorders>
              <w:top w:val="single" w:color="auto" w:sz="4" w:space="0"/>
              <w:left w:val="nil"/>
              <w:bottom w:val="single" w:color="auto" w:sz="4" w:space="0"/>
              <w:right w:val="single" w:color="auto" w:sz="4" w:space="0"/>
            </w:tcBorders>
            <w:noWrap w:val="0"/>
            <w:vAlign w:val="center"/>
          </w:tcPr>
          <w:p w14:paraId="047E3EA0">
            <w:pPr>
              <w:spacing w:line="240" w:lineRule="exact"/>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100%</w:t>
            </w:r>
          </w:p>
        </w:tc>
        <w:tc>
          <w:tcPr>
            <w:tcW w:w="825" w:type="dxa"/>
            <w:tcBorders>
              <w:top w:val="single" w:color="auto" w:sz="4" w:space="0"/>
              <w:left w:val="nil"/>
              <w:bottom w:val="single" w:color="auto" w:sz="4" w:space="0"/>
              <w:right w:val="single" w:color="auto" w:sz="4" w:space="0"/>
            </w:tcBorders>
            <w:noWrap w:val="0"/>
            <w:vAlign w:val="center"/>
          </w:tcPr>
          <w:p w14:paraId="099B1F81">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455" w:type="dxa"/>
            <w:tcBorders>
              <w:top w:val="single" w:color="auto" w:sz="4" w:space="0"/>
              <w:left w:val="nil"/>
              <w:bottom w:val="single" w:color="auto" w:sz="4" w:space="0"/>
              <w:right w:val="single" w:color="auto" w:sz="4" w:space="0"/>
            </w:tcBorders>
            <w:noWrap w:val="0"/>
            <w:vAlign w:val="center"/>
          </w:tcPr>
          <w:p w14:paraId="598F0816">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073" w:type="dxa"/>
            <w:tcBorders>
              <w:top w:val="single" w:color="auto" w:sz="4" w:space="0"/>
              <w:left w:val="nil"/>
              <w:bottom w:val="single" w:color="auto" w:sz="4" w:space="0"/>
              <w:right w:val="single" w:color="auto" w:sz="4" w:space="0"/>
            </w:tcBorders>
            <w:noWrap w:val="0"/>
            <w:vAlign w:val="center"/>
          </w:tcPr>
          <w:p w14:paraId="0E52154B">
            <w:pPr>
              <w:widowControl/>
              <w:spacing w:line="220" w:lineRule="exact"/>
              <w:jc w:val="center"/>
              <w:rPr>
                <w:rFonts w:hint="eastAsia" w:ascii="仿宋" w:hAnsi="仿宋" w:eastAsia="仿宋" w:cs="仿宋"/>
                <w:color w:val="000000"/>
                <w:kern w:val="0"/>
                <w:sz w:val="21"/>
                <w:szCs w:val="21"/>
              </w:rPr>
            </w:pPr>
          </w:p>
        </w:tc>
      </w:tr>
      <w:tr w14:paraId="63FA2978">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65047540">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000000" w:sz="4" w:space="0"/>
              <w:right w:val="single" w:color="auto" w:sz="4" w:space="0"/>
            </w:tcBorders>
            <w:noWrap w:val="0"/>
            <w:vAlign w:val="center"/>
          </w:tcPr>
          <w:p w14:paraId="1AC03E4B">
            <w:pPr>
              <w:widowControl/>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nil"/>
              <w:bottom w:val="single" w:color="000000" w:sz="4" w:space="0"/>
              <w:right w:val="single" w:color="auto" w:sz="4" w:space="0"/>
            </w:tcBorders>
            <w:noWrap w:val="0"/>
            <w:vAlign w:val="center"/>
          </w:tcPr>
          <w:p w14:paraId="298AB040">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auto" w:sz="4" w:space="0"/>
              <w:left w:val="nil"/>
              <w:bottom w:val="single" w:color="auto" w:sz="4" w:space="0"/>
              <w:right w:val="single" w:color="auto" w:sz="4" w:space="0"/>
            </w:tcBorders>
            <w:noWrap w:val="0"/>
            <w:vAlign w:val="center"/>
          </w:tcPr>
          <w:p w14:paraId="16EA2571">
            <w:pPr>
              <w:spacing w:line="24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rPr>
              <w:t>工程结算审核审减率</w:t>
            </w:r>
          </w:p>
        </w:tc>
        <w:tc>
          <w:tcPr>
            <w:tcW w:w="1487" w:type="dxa"/>
            <w:tcBorders>
              <w:top w:val="single" w:color="auto" w:sz="4" w:space="0"/>
              <w:left w:val="nil"/>
              <w:bottom w:val="single" w:color="auto" w:sz="4" w:space="0"/>
              <w:right w:val="single" w:color="auto" w:sz="4" w:space="0"/>
            </w:tcBorders>
            <w:noWrap w:val="0"/>
            <w:vAlign w:val="center"/>
          </w:tcPr>
          <w:p w14:paraId="5BADEA92">
            <w:pPr>
              <w:spacing w:line="240" w:lineRule="exact"/>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1635" w:type="dxa"/>
            <w:tcBorders>
              <w:top w:val="single" w:color="auto" w:sz="4" w:space="0"/>
              <w:left w:val="nil"/>
              <w:bottom w:val="single" w:color="auto" w:sz="4" w:space="0"/>
              <w:right w:val="single" w:color="auto" w:sz="4" w:space="0"/>
            </w:tcBorders>
            <w:noWrap w:val="0"/>
            <w:vAlign w:val="center"/>
          </w:tcPr>
          <w:p w14:paraId="2A5D442D">
            <w:pPr>
              <w:widowControl/>
              <w:spacing w:line="220" w:lineRule="exact"/>
              <w:jc w:val="left"/>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10%</w:t>
            </w:r>
          </w:p>
        </w:tc>
        <w:tc>
          <w:tcPr>
            <w:tcW w:w="825" w:type="dxa"/>
            <w:tcBorders>
              <w:top w:val="single" w:color="auto" w:sz="4" w:space="0"/>
              <w:left w:val="nil"/>
              <w:bottom w:val="single" w:color="auto" w:sz="4" w:space="0"/>
              <w:right w:val="single" w:color="auto" w:sz="4" w:space="0"/>
            </w:tcBorders>
            <w:noWrap w:val="0"/>
            <w:vAlign w:val="center"/>
          </w:tcPr>
          <w:p w14:paraId="001B8321">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5</w:t>
            </w:r>
          </w:p>
        </w:tc>
        <w:tc>
          <w:tcPr>
            <w:tcW w:w="1455" w:type="dxa"/>
            <w:tcBorders>
              <w:top w:val="single" w:color="auto" w:sz="4" w:space="0"/>
              <w:left w:val="nil"/>
              <w:bottom w:val="single" w:color="auto" w:sz="4" w:space="0"/>
              <w:right w:val="single" w:color="auto" w:sz="4" w:space="0"/>
            </w:tcBorders>
            <w:noWrap w:val="0"/>
            <w:vAlign w:val="center"/>
          </w:tcPr>
          <w:p w14:paraId="77912C06">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5</w:t>
            </w:r>
          </w:p>
        </w:tc>
        <w:tc>
          <w:tcPr>
            <w:tcW w:w="1073" w:type="dxa"/>
            <w:tcBorders>
              <w:top w:val="single" w:color="auto" w:sz="4" w:space="0"/>
              <w:left w:val="nil"/>
              <w:bottom w:val="single" w:color="auto" w:sz="4" w:space="0"/>
              <w:right w:val="single" w:color="auto" w:sz="4" w:space="0"/>
            </w:tcBorders>
            <w:noWrap w:val="0"/>
            <w:vAlign w:val="center"/>
          </w:tcPr>
          <w:p w14:paraId="1E81AAF5">
            <w:pPr>
              <w:widowControl/>
              <w:spacing w:line="220" w:lineRule="exact"/>
              <w:jc w:val="center"/>
              <w:rPr>
                <w:rFonts w:hint="eastAsia" w:ascii="仿宋" w:hAnsi="仿宋" w:eastAsia="仿宋" w:cs="仿宋"/>
                <w:color w:val="000000"/>
                <w:kern w:val="0"/>
                <w:sz w:val="21"/>
                <w:szCs w:val="21"/>
              </w:rPr>
            </w:pPr>
          </w:p>
        </w:tc>
      </w:tr>
      <w:tr w14:paraId="2289F933">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567F51BA">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584AEB3B">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nil"/>
              <w:right w:val="single" w:color="auto" w:sz="4" w:space="0"/>
            </w:tcBorders>
            <w:noWrap w:val="0"/>
            <w:vAlign w:val="center"/>
          </w:tcPr>
          <w:p w14:paraId="2228F696">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rPr>
              <w:t>时效指标</w:t>
            </w:r>
          </w:p>
        </w:tc>
        <w:tc>
          <w:tcPr>
            <w:tcW w:w="1603" w:type="dxa"/>
            <w:gridSpan w:val="2"/>
            <w:tcBorders>
              <w:top w:val="nil"/>
              <w:left w:val="nil"/>
              <w:bottom w:val="single" w:color="auto" w:sz="4" w:space="0"/>
              <w:right w:val="single" w:color="auto" w:sz="4" w:space="0"/>
            </w:tcBorders>
            <w:noWrap w:val="0"/>
            <w:vAlign w:val="center"/>
          </w:tcPr>
          <w:p w14:paraId="1146FB64">
            <w:pPr>
              <w:tabs>
                <w:tab w:val="left" w:pos="561"/>
              </w:tabs>
              <w:spacing w:line="24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eastAsia="zh-CN"/>
              </w:rPr>
              <w:t>三保保障情况</w:t>
            </w:r>
          </w:p>
        </w:tc>
        <w:tc>
          <w:tcPr>
            <w:tcW w:w="1487" w:type="dxa"/>
            <w:tcBorders>
              <w:top w:val="nil"/>
              <w:left w:val="nil"/>
              <w:bottom w:val="single" w:color="auto" w:sz="4" w:space="0"/>
              <w:right w:val="single" w:color="auto" w:sz="4" w:space="0"/>
            </w:tcBorders>
            <w:noWrap w:val="0"/>
            <w:vAlign w:val="center"/>
          </w:tcPr>
          <w:p w14:paraId="632C2491">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SA"/>
              </w:rPr>
            </w:pPr>
            <w:r>
              <w:rPr>
                <w:rFonts w:ascii="宋体" w:hAnsi="宋体" w:eastAsia="宋体" w:cs="宋体"/>
                <w:i w:val="0"/>
                <w:iCs w:val="0"/>
                <w:color w:val="000000"/>
                <w:kern w:val="0"/>
                <w:sz w:val="14"/>
                <w:szCs w:val="14"/>
                <w:u w:val="none"/>
                <w:lang w:val="en-US" w:eastAsia="zh-CN" w:bidi="ar"/>
              </w:rPr>
              <w:t>每月按时保障</w:t>
            </w:r>
          </w:p>
        </w:tc>
        <w:tc>
          <w:tcPr>
            <w:tcW w:w="1635" w:type="dxa"/>
            <w:tcBorders>
              <w:top w:val="nil"/>
              <w:left w:val="nil"/>
              <w:bottom w:val="single" w:color="auto" w:sz="4" w:space="0"/>
              <w:right w:val="single" w:color="auto" w:sz="4" w:space="0"/>
            </w:tcBorders>
            <w:noWrap w:val="0"/>
            <w:vAlign w:val="center"/>
          </w:tcPr>
          <w:p w14:paraId="032FD659">
            <w:pPr>
              <w:keepNext w:val="0"/>
              <w:keepLines w:val="0"/>
              <w:widowControl/>
              <w:suppressLineNumbers w:val="0"/>
              <w:jc w:val="left"/>
              <w:textAlignment w:val="center"/>
              <w:rPr>
                <w:rFonts w:hint="eastAsia" w:ascii="仿宋" w:hAnsi="仿宋" w:eastAsia="仿宋" w:cs="仿宋"/>
                <w:color w:val="000000"/>
                <w:kern w:val="0"/>
                <w:sz w:val="21"/>
                <w:szCs w:val="21"/>
                <w:lang w:val="en-US" w:eastAsia="zh-CN" w:bidi="ar-SA"/>
              </w:rPr>
            </w:pPr>
            <w:r>
              <w:rPr>
                <w:rFonts w:ascii="宋体" w:hAnsi="宋体" w:eastAsia="宋体" w:cs="宋体"/>
                <w:i w:val="0"/>
                <w:iCs w:val="0"/>
                <w:color w:val="000000"/>
                <w:kern w:val="0"/>
                <w:sz w:val="14"/>
                <w:szCs w:val="14"/>
                <w:u w:val="none"/>
                <w:lang w:val="en-US" w:eastAsia="zh-CN" w:bidi="ar"/>
              </w:rPr>
              <w:t>每月按时保障</w:t>
            </w:r>
          </w:p>
        </w:tc>
        <w:tc>
          <w:tcPr>
            <w:tcW w:w="825" w:type="dxa"/>
            <w:tcBorders>
              <w:top w:val="nil"/>
              <w:left w:val="nil"/>
              <w:bottom w:val="single" w:color="auto" w:sz="4" w:space="0"/>
              <w:right w:val="single" w:color="auto" w:sz="4" w:space="0"/>
            </w:tcBorders>
            <w:noWrap w:val="0"/>
            <w:vAlign w:val="center"/>
          </w:tcPr>
          <w:p w14:paraId="49F2E4C9">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455" w:type="dxa"/>
            <w:tcBorders>
              <w:top w:val="nil"/>
              <w:left w:val="nil"/>
              <w:bottom w:val="single" w:color="auto" w:sz="4" w:space="0"/>
              <w:right w:val="single" w:color="auto" w:sz="4" w:space="0"/>
            </w:tcBorders>
            <w:noWrap w:val="0"/>
            <w:vAlign w:val="center"/>
          </w:tcPr>
          <w:p w14:paraId="0C0349FC">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073" w:type="dxa"/>
            <w:tcBorders>
              <w:top w:val="nil"/>
              <w:left w:val="nil"/>
              <w:bottom w:val="single" w:color="auto" w:sz="4" w:space="0"/>
              <w:right w:val="single" w:color="auto" w:sz="4" w:space="0"/>
            </w:tcBorders>
            <w:noWrap w:val="0"/>
            <w:vAlign w:val="center"/>
          </w:tcPr>
          <w:p w14:paraId="1168797D">
            <w:pPr>
              <w:widowControl/>
              <w:spacing w:line="220" w:lineRule="exact"/>
              <w:jc w:val="center"/>
              <w:rPr>
                <w:rFonts w:hint="eastAsia" w:ascii="仿宋" w:hAnsi="仿宋" w:eastAsia="仿宋" w:cs="仿宋"/>
                <w:color w:val="000000"/>
                <w:kern w:val="0"/>
                <w:sz w:val="21"/>
                <w:szCs w:val="21"/>
                <w:lang w:val="en-US" w:eastAsia="zh-CN" w:bidi="ar-SA"/>
              </w:rPr>
            </w:pPr>
          </w:p>
        </w:tc>
      </w:tr>
      <w:tr w14:paraId="3E70D04E">
        <w:tblPrEx>
          <w:tblCellMar>
            <w:top w:w="0" w:type="dxa"/>
            <w:left w:w="108" w:type="dxa"/>
            <w:bottom w:w="0" w:type="dxa"/>
            <w:right w:w="108" w:type="dxa"/>
          </w:tblCellMar>
        </w:tblPrEx>
        <w:trPr>
          <w:trHeight w:val="51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5126FF36">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nil"/>
              <w:bottom w:val="single" w:color="auto" w:sz="4" w:space="0"/>
              <w:right w:val="single" w:color="auto" w:sz="4" w:space="0"/>
            </w:tcBorders>
            <w:noWrap w:val="0"/>
            <w:vAlign w:val="center"/>
          </w:tcPr>
          <w:p w14:paraId="470A83A1">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auto" w:sz="4" w:space="0"/>
              <w:right w:val="single" w:color="auto" w:sz="4" w:space="0"/>
            </w:tcBorders>
            <w:noWrap w:val="0"/>
            <w:vAlign w:val="center"/>
          </w:tcPr>
          <w:p w14:paraId="2C688820">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noWrap w:val="0"/>
            <w:vAlign w:val="center"/>
          </w:tcPr>
          <w:p w14:paraId="3B9495C7">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资金拨付及时率</w:t>
            </w:r>
          </w:p>
        </w:tc>
        <w:tc>
          <w:tcPr>
            <w:tcW w:w="1487" w:type="dxa"/>
            <w:tcBorders>
              <w:top w:val="nil"/>
              <w:left w:val="nil"/>
              <w:bottom w:val="single" w:color="auto" w:sz="4" w:space="0"/>
              <w:right w:val="single" w:color="auto" w:sz="4" w:space="0"/>
            </w:tcBorders>
            <w:noWrap w:val="0"/>
            <w:vAlign w:val="center"/>
          </w:tcPr>
          <w:p w14:paraId="7DF7857A">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100%</w:t>
            </w:r>
          </w:p>
        </w:tc>
        <w:tc>
          <w:tcPr>
            <w:tcW w:w="1635" w:type="dxa"/>
            <w:tcBorders>
              <w:top w:val="nil"/>
              <w:left w:val="nil"/>
              <w:bottom w:val="single" w:color="auto" w:sz="4" w:space="0"/>
              <w:right w:val="single" w:color="auto" w:sz="4" w:space="0"/>
            </w:tcBorders>
            <w:noWrap w:val="0"/>
            <w:vAlign w:val="center"/>
          </w:tcPr>
          <w:p w14:paraId="627CDE67">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100%</w:t>
            </w:r>
          </w:p>
        </w:tc>
        <w:tc>
          <w:tcPr>
            <w:tcW w:w="825" w:type="dxa"/>
            <w:tcBorders>
              <w:top w:val="nil"/>
              <w:left w:val="nil"/>
              <w:bottom w:val="single" w:color="auto" w:sz="4" w:space="0"/>
              <w:right w:val="single" w:color="auto" w:sz="4" w:space="0"/>
            </w:tcBorders>
            <w:noWrap w:val="0"/>
            <w:vAlign w:val="center"/>
          </w:tcPr>
          <w:p w14:paraId="2601DC01">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1455" w:type="dxa"/>
            <w:tcBorders>
              <w:top w:val="nil"/>
              <w:left w:val="nil"/>
              <w:bottom w:val="single" w:color="auto" w:sz="4" w:space="0"/>
              <w:right w:val="single" w:color="auto" w:sz="4" w:space="0"/>
            </w:tcBorders>
            <w:noWrap w:val="0"/>
            <w:vAlign w:val="center"/>
          </w:tcPr>
          <w:p w14:paraId="3C9A7CC4">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5</w:t>
            </w:r>
          </w:p>
        </w:tc>
        <w:tc>
          <w:tcPr>
            <w:tcW w:w="1073" w:type="dxa"/>
            <w:tcBorders>
              <w:top w:val="nil"/>
              <w:left w:val="nil"/>
              <w:bottom w:val="single" w:color="auto" w:sz="4" w:space="0"/>
              <w:right w:val="single" w:color="auto" w:sz="4" w:space="0"/>
            </w:tcBorders>
            <w:noWrap w:val="0"/>
            <w:vAlign w:val="center"/>
          </w:tcPr>
          <w:p w14:paraId="346B4C76">
            <w:pPr>
              <w:widowControl/>
              <w:spacing w:line="220" w:lineRule="exact"/>
              <w:jc w:val="center"/>
              <w:rPr>
                <w:rFonts w:hint="eastAsia" w:ascii="仿宋" w:hAnsi="仿宋" w:eastAsia="仿宋" w:cs="仿宋"/>
                <w:color w:val="000000"/>
                <w:kern w:val="0"/>
                <w:sz w:val="21"/>
                <w:szCs w:val="21"/>
                <w:lang w:val="en-US" w:eastAsia="zh-CN" w:bidi="ar-SA"/>
              </w:rPr>
            </w:pPr>
          </w:p>
        </w:tc>
      </w:tr>
      <w:tr w14:paraId="5814A7F6">
        <w:tblPrEx>
          <w:tblCellMar>
            <w:top w:w="0" w:type="dxa"/>
            <w:left w:w="108" w:type="dxa"/>
            <w:bottom w:w="0" w:type="dxa"/>
            <w:right w:w="108" w:type="dxa"/>
          </w:tblCellMar>
        </w:tblPrEx>
        <w:trPr>
          <w:trHeight w:val="490" w:hRule="atLeast"/>
          <w:jc w:val="center"/>
        </w:trPr>
        <w:tc>
          <w:tcPr>
            <w:tcW w:w="716" w:type="dxa"/>
            <w:vMerge w:val="continue"/>
            <w:tcBorders>
              <w:left w:val="single" w:color="auto" w:sz="4" w:space="0"/>
              <w:bottom w:val="single" w:color="auto" w:sz="4" w:space="0"/>
              <w:right w:val="single" w:color="auto" w:sz="4" w:space="0"/>
            </w:tcBorders>
            <w:noWrap w:val="0"/>
            <w:vAlign w:val="center"/>
          </w:tcPr>
          <w:p w14:paraId="5FA9AF61">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auto" w:sz="4" w:space="0"/>
              <w:right w:val="single" w:color="auto" w:sz="4" w:space="0"/>
            </w:tcBorders>
            <w:noWrap w:val="0"/>
            <w:vAlign w:val="center"/>
          </w:tcPr>
          <w:p w14:paraId="64766E22">
            <w:pPr>
              <w:widowControl/>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auto" w:sz="4" w:space="0"/>
              <w:left w:val="nil"/>
              <w:bottom w:val="single" w:color="auto" w:sz="4" w:space="0"/>
              <w:right w:val="single" w:color="auto" w:sz="4" w:space="0"/>
            </w:tcBorders>
            <w:noWrap w:val="0"/>
            <w:vAlign w:val="center"/>
          </w:tcPr>
          <w:p w14:paraId="47915602">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rPr>
              <w:t>成本指标</w:t>
            </w:r>
          </w:p>
        </w:tc>
        <w:tc>
          <w:tcPr>
            <w:tcW w:w="1603" w:type="dxa"/>
            <w:gridSpan w:val="2"/>
            <w:tcBorders>
              <w:top w:val="nil"/>
              <w:left w:val="nil"/>
              <w:bottom w:val="single" w:color="auto" w:sz="4" w:space="0"/>
              <w:right w:val="single" w:color="auto" w:sz="4" w:space="0"/>
            </w:tcBorders>
            <w:noWrap w:val="0"/>
            <w:vAlign w:val="center"/>
          </w:tcPr>
          <w:p w14:paraId="42EFA9F2">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保证人员工资</w:t>
            </w:r>
          </w:p>
        </w:tc>
        <w:tc>
          <w:tcPr>
            <w:tcW w:w="1487" w:type="dxa"/>
            <w:tcBorders>
              <w:top w:val="nil"/>
              <w:left w:val="nil"/>
              <w:bottom w:val="single" w:color="auto" w:sz="4" w:space="0"/>
              <w:right w:val="single" w:color="auto" w:sz="4" w:space="0"/>
            </w:tcBorders>
            <w:noWrap w:val="0"/>
            <w:vAlign w:val="center"/>
          </w:tcPr>
          <w:p w14:paraId="729C788A">
            <w:pPr>
              <w:keepNext w:val="0"/>
              <w:keepLines w:val="0"/>
              <w:widowControl/>
              <w:suppressLineNumbers w:val="0"/>
              <w:jc w:val="left"/>
              <w:textAlignment w:val="center"/>
              <w:rPr>
                <w:rFonts w:hint="default" w:ascii="仿宋" w:hAnsi="仿宋" w:eastAsia="仿宋" w:cs="仿宋"/>
                <w:sz w:val="20"/>
                <w:szCs w:val="20"/>
                <w:lang w:val="en-US"/>
              </w:rPr>
            </w:pPr>
            <w:r>
              <w:rPr>
                <w:rFonts w:hint="eastAsia" w:ascii="宋体" w:hAnsi="宋体" w:cs="宋体"/>
                <w:i w:val="0"/>
                <w:iCs w:val="0"/>
                <w:color w:val="000000"/>
                <w:kern w:val="0"/>
                <w:sz w:val="14"/>
                <w:szCs w:val="14"/>
                <w:u w:val="none"/>
                <w:lang w:val="en-US" w:eastAsia="zh-CN" w:bidi="ar"/>
              </w:rPr>
              <w:t>870.11</w:t>
            </w:r>
          </w:p>
        </w:tc>
        <w:tc>
          <w:tcPr>
            <w:tcW w:w="1635" w:type="dxa"/>
            <w:tcBorders>
              <w:top w:val="nil"/>
              <w:left w:val="nil"/>
              <w:bottom w:val="single" w:color="auto" w:sz="4" w:space="0"/>
              <w:right w:val="single" w:color="auto" w:sz="4" w:space="0"/>
            </w:tcBorders>
            <w:noWrap w:val="0"/>
            <w:vAlign w:val="center"/>
          </w:tcPr>
          <w:p w14:paraId="4C82741D">
            <w:pPr>
              <w:keepNext w:val="0"/>
              <w:keepLines w:val="0"/>
              <w:widowControl/>
              <w:suppressLineNumbers w:val="0"/>
              <w:jc w:val="left"/>
              <w:textAlignment w:val="center"/>
              <w:rPr>
                <w:rFonts w:hint="default" w:ascii="仿宋" w:hAnsi="仿宋" w:eastAsia="仿宋" w:cs="仿宋"/>
                <w:color w:val="000000"/>
                <w:kern w:val="0"/>
                <w:sz w:val="21"/>
                <w:szCs w:val="21"/>
                <w:lang w:val="en-US"/>
              </w:rPr>
            </w:pPr>
            <w:r>
              <w:rPr>
                <w:rFonts w:hint="eastAsia" w:ascii="宋体" w:hAnsi="宋体" w:cs="宋体"/>
                <w:i w:val="0"/>
                <w:iCs w:val="0"/>
                <w:color w:val="000000"/>
                <w:kern w:val="0"/>
                <w:sz w:val="14"/>
                <w:szCs w:val="14"/>
                <w:u w:val="none"/>
                <w:lang w:val="en-US" w:eastAsia="zh-CN" w:bidi="ar"/>
              </w:rPr>
              <w:t>870.11</w:t>
            </w:r>
          </w:p>
        </w:tc>
        <w:tc>
          <w:tcPr>
            <w:tcW w:w="825" w:type="dxa"/>
            <w:tcBorders>
              <w:top w:val="nil"/>
              <w:left w:val="nil"/>
              <w:bottom w:val="single" w:color="auto" w:sz="4" w:space="0"/>
              <w:right w:val="single" w:color="auto" w:sz="4" w:space="0"/>
            </w:tcBorders>
            <w:noWrap w:val="0"/>
            <w:vAlign w:val="center"/>
          </w:tcPr>
          <w:p w14:paraId="45F7ACCD">
            <w:pPr>
              <w:widowControl/>
              <w:spacing w:line="220" w:lineRule="exact"/>
              <w:jc w:val="center"/>
              <w:rPr>
                <w:rFonts w:hint="default" w:ascii="仿宋" w:hAnsi="仿宋" w:eastAsia="仿宋" w:cs="仿宋"/>
                <w:color w:val="000000"/>
                <w:kern w:val="0"/>
                <w:sz w:val="21"/>
                <w:szCs w:val="21"/>
                <w:lang w:val="en-US"/>
              </w:rPr>
            </w:pPr>
            <w:r>
              <w:rPr>
                <w:rFonts w:hint="eastAsia" w:ascii="仿宋" w:hAnsi="仿宋" w:eastAsia="仿宋" w:cs="仿宋"/>
                <w:color w:val="000000"/>
                <w:kern w:val="0"/>
                <w:szCs w:val="21"/>
                <w:lang w:val="en-US" w:eastAsia="zh-CN"/>
              </w:rPr>
              <w:t>10</w:t>
            </w:r>
          </w:p>
        </w:tc>
        <w:tc>
          <w:tcPr>
            <w:tcW w:w="1455" w:type="dxa"/>
            <w:tcBorders>
              <w:top w:val="nil"/>
              <w:left w:val="nil"/>
              <w:bottom w:val="single" w:color="auto" w:sz="4" w:space="0"/>
              <w:right w:val="single" w:color="auto" w:sz="4" w:space="0"/>
            </w:tcBorders>
            <w:noWrap w:val="0"/>
            <w:vAlign w:val="center"/>
          </w:tcPr>
          <w:p w14:paraId="57D834AD">
            <w:pPr>
              <w:widowControl/>
              <w:spacing w:line="220" w:lineRule="exact"/>
              <w:jc w:val="center"/>
              <w:rPr>
                <w:rFonts w:hint="default" w:ascii="仿宋" w:hAnsi="仿宋" w:eastAsia="仿宋" w:cs="仿宋"/>
                <w:color w:val="000000"/>
                <w:kern w:val="0"/>
                <w:sz w:val="21"/>
                <w:szCs w:val="21"/>
                <w:lang w:val="en-US"/>
              </w:rPr>
            </w:pPr>
            <w:r>
              <w:rPr>
                <w:rFonts w:hint="eastAsia" w:ascii="仿宋" w:hAnsi="仿宋" w:eastAsia="仿宋" w:cs="仿宋"/>
                <w:color w:val="000000"/>
                <w:kern w:val="0"/>
                <w:szCs w:val="21"/>
                <w:lang w:val="en-US" w:eastAsia="zh-CN"/>
              </w:rPr>
              <w:t>10</w:t>
            </w:r>
          </w:p>
        </w:tc>
        <w:tc>
          <w:tcPr>
            <w:tcW w:w="1073" w:type="dxa"/>
            <w:tcBorders>
              <w:top w:val="nil"/>
              <w:left w:val="nil"/>
              <w:bottom w:val="single" w:color="auto" w:sz="4" w:space="0"/>
              <w:right w:val="single" w:color="auto" w:sz="4" w:space="0"/>
            </w:tcBorders>
            <w:noWrap w:val="0"/>
            <w:vAlign w:val="center"/>
          </w:tcPr>
          <w:p w14:paraId="14DFBD1D">
            <w:pPr>
              <w:widowControl/>
              <w:spacing w:line="220" w:lineRule="exact"/>
              <w:jc w:val="center"/>
              <w:rPr>
                <w:rFonts w:hint="eastAsia" w:ascii="仿宋" w:hAnsi="仿宋" w:eastAsia="仿宋" w:cs="仿宋"/>
                <w:color w:val="000000"/>
                <w:kern w:val="0"/>
                <w:sz w:val="21"/>
                <w:szCs w:val="21"/>
              </w:rPr>
            </w:pPr>
          </w:p>
        </w:tc>
      </w:tr>
      <w:tr w14:paraId="25167216">
        <w:tblPrEx>
          <w:tblCellMar>
            <w:top w:w="0" w:type="dxa"/>
            <w:left w:w="108" w:type="dxa"/>
            <w:bottom w:w="0" w:type="dxa"/>
            <w:right w:w="108" w:type="dxa"/>
          </w:tblCellMar>
        </w:tblPrEx>
        <w:trPr>
          <w:trHeight w:val="530" w:hRule="atLeast"/>
          <w:jc w:val="center"/>
        </w:trPr>
        <w:tc>
          <w:tcPr>
            <w:tcW w:w="716" w:type="dxa"/>
            <w:vMerge w:val="continue"/>
            <w:tcBorders>
              <w:left w:val="single" w:color="auto" w:sz="4" w:space="0"/>
              <w:bottom w:val="single" w:color="000000" w:sz="4" w:space="0"/>
              <w:right w:val="single" w:color="auto" w:sz="4" w:space="0"/>
            </w:tcBorders>
            <w:noWrap w:val="0"/>
            <w:vAlign w:val="center"/>
          </w:tcPr>
          <w:p w14:paraId="36858BC7">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nil"/>
              <w:bottom w:val="single" w:color="000000" w:sz="4" w:space="0"/>
              <w:right w:val="single" w:color="auto" w:sz="4" w:space="0"/>
            </w:tcBorders>
            <w:noWrap w:val="0"/>
            <w:vAlign w:val="center"/>
          </w:tcPr>
          <w:p w14:paraId="1204AEAD">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nil"/>
              <w:bottom w:val="single" w:color="000000" w:sz="4" w:space="0"/>
              <w:right w:val="single" w:color="auto" w:sz="4" w:space="0"/>
            </w:tcBorders>
            <w:noWrap w:val="0"/>
            <w:vAlign w:val="center"/>
          </w:tcPr>
          <w:p w14:paraId="18EF7588">
            <w:pPr>
              <w:widowControl/>
              <w:spacing w:line="220" w:lineRule="exact"/>
              <w:jc w:val="left"/>
              <w:rPr>
                <w:rFonts w:hint="eastAsia" w:ascii="仿宋" w:hAnsi="仿宋" w:eastAsia="仿宋" w:cs="仿宋"/>
                <w:color w:val="000000"/>
                <w:kern w:val="0"/>
                <w:sz w:val="21"/>
                <w:szCs w:val="21"/>
              </w:rPr>
            </w:pPr>
          </w:p>
        </w:tc>
        <w:tc>
          <w:tcPr>
            <w:tcW w:w="1603" w:type="dxa"/>
            <w:gridSpan w:val="2"/>
            <w:tcBorders>
              <w:top w:val="nil"/>
              <w:left w:val="nil"/>
              <w:bottom w:val="single" w:color="000000" w:sz="4" w:space="0"/>
              <w:right w:val="single" w:color="auto" w:sz="4" w:space="0"/>
            </w:tcBorders>
            <w:noWrap w:val="0"/>
            <w:vAlign w:val="center"/>
          </w:tcPr>
          <w:p w14:paraId="4FB7ED27">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单位日常运转经费</w:t>
            </w:r>
          </w:p>
        </w:tc>
        <w:tc>
          <w:tcPr>
            <w:tcW w:w="1487" w:type="dxa"/>
            <w:tcBorders>
              <w:top w:val="nil"/>
              <w:left w:val="nil"/>
              <w:bottom w:val="single" w:color="000000" w:sz="4" w:space="0"/>
              <w:right w:val="single" w:color="auto" w:sz="4" w:space="0"/>
            </w:tcBorders>
            <w:noWrap w:val="0"/>
            <w:vAlign w:val="center"/>
          </w:tcPr>
          <w:p w14:paraId="7227194E">
            <w:pPr>
              <w:keepNext w:val="0"/>
              <w:keepLines w:val="0"/>
              <w:widowControl/>
              <w:suppressLineNumbers w:val="0"/>
              <w:jc w:val="left"/>
              <w:textAlignment w:val="center"/>
              <w:rPr>
                <w:rFonts w:hint="default" w:ascii="仿宋" w:hAnsi="仿宋" w:eastAsia="仿宋" w:cs="仿宋"/>
                <w:sz w:val="20"/>
                <w:szCs w:val="20"/>
                <w:lang w:val="en-US"/>
              </w:rPr>
            </w:pPr>
            <w:r>
              <w:rPr>
                <w:rFonts w:ascii="宋体" w:hAnsi="宋体" w:eastAsia="宋体" w:cs="宋体"/>
                <w:i w:val="0"/>
                <w:iCs w:val="0"/>
                <w:color w:val="000000"/>
                <w:kern w:val="0"/>
                <w:sz w:val="14"/>
                <w:szCs w:val="14"/>
                <w:u w:val="none"/>
                <w:lang w:val="en-US" w:eastAsia="zh-CN" w:bidi="ar"/>
              </w:rPr>
              <w:t>185.08</w:t>
            </w:r>
          </w:p>
        </w:tc>
        <w:tc>
          <w:tcPr>
            <w:tcW w:w="1635" w:type="dxa"/>
            <w:tcBorders>
              <w:top w:val="nil"/>
              <w:left w:val="nil"/>
              <w:bottom w:val="single" w:color="000000" w:sz="4" w:space="0"/>
              <w:right w:val="single" w:color="auto" w:sz="4" w:space="0"/>
            </w:tcBorders>
            <w:noWrap w:val="0"/>
            <w:vAlign w:val="center"/>
          </w:tcPr>
          <w:p w14:paraId="667A70D8">
            <w:pPr>
              <w:keepNext w:val="0"/>
              <w:keepLines w:val="0"/>
              <w:widowControl/>
              <w:suppressLineNumbers w:val="0"/>
              <w:jc w:val="left"/>
              <w:textAlignment w:val="center"/>
              <w:rPr>
                <w:rFonts w:hint="default" w:ascii="仿宋" w:hAnsi="仿宋" w:eastAsia="仿宋" w:cs="仿宋"/>
                <w:sz w:val="20"/>
                <w:szCs w:val="20"/>
                <w:lang w:val="en-US"/>
              </w:rPr>
            </w:pPr>
            <w:r>
              <w:rPr>
                <w:rFonts w:ascii="宋体" w:hAnsi="宋体" w:eastAsia="宋体" w:cs="宋体"/>
                <w:i w:val="0"/>
                <w:iCs w:val="0"/>
                <w:color w:val="000000"/>
                <w:kern w:val="0"/>
                <w:sz w:val="14"/>
                <w:szCs w:val="14"/>
                <w:u w:val="none"/>
                <w:lang w:val="en-US" w:eastAsia="zh-CN" w:bidi="ar"/>
              </w:rPr>
              <w:t>185.08</w:t>
            </w:r>
          </w:p>
        </w:tc>
        <w:tc>
          <w:tcPr>
            <w:tcW w:w="825" w:type="dxa"/>
            <w:tcBorders>
              <w:top w:val="nil"/>
              <w:left w:val="nil"/>
              <w:bottom w:val="single" w:color="000000" w:sz="4" w:space="0"/>
              <w:right w:val="single" w:color="auto" w:sz="4" w:space="0"/>
            </w:tcBorders>
            <w:noWrap w:val="0"/>
            <w:vAlign w:val="center"/>
          </w:tcPr>
          <w:p w14:paraId="73FB617E">
            <w:pPr>
              <w:widowControl/>
              <w:spacing w:line="220" w:lineRule="exact"/>
              <w:jc w:val="center"/>
              <w:rPr>
                <w:rFonts w:hint="default" w:ascii="仿宋" w:hAnsi="仿宋" w:eastAsia="仿宋" w:cs="仿宋"/>
                <w:color w:val="000000"/>
                <w:kern w:val="0"/>
                <w:sz w:val="21"/>
                <w:szCs w:val="21"/>
                <w:lang w:val="en-US"/>
              </w:rPr>
            </w:pPr>
            <w:r>
              <w:rPr>
                <w:rFonts w:hint="eastAsia" w:ascii="仿宋" w:hAnsi="仿宋" w:eastAsia="仿宋" w:cs="仿宋"/>
                <w:color w:val="000000"/>
                <w:kern w:val="0"/>
                <w:szCs w:val="21"/>
                <w:lang w:val="en-US" w:eastAsia="zh-CN"/>
              </w:rPr>
              <w:t>10</w:t>
            </w:r>
          </w:p>
        </w:tc>
        <w:tc>
          <w:tcPr>
            <w:tcW w:w="1455" w:type="dxa"/>
            <w:tcBorders>
              <w:top w:val="nil"/>
              <w:left w:val="nil"/>
              <w:bottom w:val="single" w:color="000000" w:sz="4" w:space="0"/>
              <w:right w:val="single" w:color="auto" w:sz="4" w:space="0"/>
            </w:tcBorders>
            <w:noWrap w:val="0"/>
            <w:vAlign w:val="center"/>
          </w:tcPr>
          <w:p w14:paraId="361977CC">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Cs w:val="21"/>
                <w:lang w:val="en-US" w:eastAsia="zh-CN"/>
              </w:rPr>
              <w:t>5</w:t>
            </w:r>
          </w:p>
        </w:tc>
        <w:tc>
          <w:tcPr>
            <w:tcW w:w="1073" w:type="dxa"/>
            <w:tcBorders>
              <w:top w:val="nil"/>
              <w:left w:val="nil"/>
              <w:bottom w:val="single" w:color="000000" w:sz="4" w:space="0"/>
              <w:right w:val="single" w:color="auto" w:sz="4" w:space="0"/>
            </w:tcBorders>
            <w:noWrap w:val="0"/>
            <w:vAlign w:val="center"/>
          </w:tcPr>
          <w:p w14:paraId="4F63ED45">
            <w:pPr>
              <w:widowControl/>
              <w:spacing w:line="220" w:lineRule="exact"/>
              <w:jc w:val="center"/>
              <w:rPr>
                <w:rFonts w:hint="eastAsia" w:ascii="仿宋" w:hAnsi="仿宋" w:eastAsia="仿宋" w:cs="仿宋"/>
                <w:color w:val="000000"/>
                <w:kern w:val="0"/>
                <w:sz w:val="21"/>
                <w:szCs w:val="21"/>
              </w:rPr>
            </w:pPr>
          </w:p>
        </w:tc>
      </w:tr>
      <w:tr w14:paraId="45564142">
        <w:tblPrEx>
          <w:tblCellMar>
            <w:top w:w="0" w:type="dxa"/>
            <w:left w:w="108" w:type="dxa"/>
            <w:bottom w:w="0" w:type="dxa"/>
            <w:right w:w="108" w:type="dxa"/>
          </w:tblCellMar>
        </w:tblPrEx>
        <w:trPr>
          <w:trHeight w:val="490" w:hRule="atLeast"/>
          <w:jc w:val="center"/>
        </w:trPr>
        <w:tc>
          <w:tcPr>
            <w:tcW w:w="716" w:type="dxa"/>
            <w:vMerge w:val="continue"/>
            <w:tcBorders>
              <w:top w:val="single" w:color="000000" w:sz="4" w:space="0"/>
              <w:left w:val="single" w:color="auto" w:sz="4" w:space="0"/>
              <w:bottom w:val="single" w:color="000000" w:sz="4" w:space="0"/>
              <w:right w:val="single" w:color="auto" w:sz="4" w:space="0"/>
            </w:tcBorders>
            <w:noWrap w:val="0"/>
            <w:vAlign w:val="center"/>
          </w:tcPr>
          <w:p w14:paraId="7A48C399">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000000" w:sz="4" w:space="0"/>
              <w:left w:val="single" w:color="auto" w:sz="4" w:space="0"/>
              <w:bottom w:val="single" w:color="000000" w:sz="4" w:space="0"/>
              <w:right w:val="single" w:color="auto" w:sz="4" w:space="0"/>
            </w:tcBorders>
            <w:noWrap w:val="0"/>
            <w:vAlign w:val="center"/>
          </w:tcPr>
          <w:p w14:paraId="31E49596">
            <w:pPr>
              <w:widowControl/>
              <w:spacing w:line="220" w:lineRule="exact"/>
              <w:ind w:firstLine="420" w:firstLineChars="200"/>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效益指标（30分）</w:t>
            </w:r>
          </w:p>
          <w:p w14:paraId="64CF9C7E">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bottom w:val="single" w:color="000000" w:sz="4" w:space="0"/>
              <w:right w:val="single" w:color="auto" w:sz="4" w:space="0"/>
            </w:tcBorders>
            <w:noWrap w:val="0"/>
            <w:vAlign w:val="center"/>
          </w:tcPr>
          <w:p w14:paraId="09D42840">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经济效益指标</w:t>
            </w:r>
          </w:p>
        </w:tc>
        <w:tc>
          <w:tcPr>
            <w:tcW w:w="1603" w:type="dxa"/>
            <w:gridSpan w:val="2"/>
            <w:vMerge w:val="restart"/>
            <w:tcBorders>
              <w:top w:val="single" w:color="000000" w:sz="4" w:space="0"/>
              <w:left w:val="single" w:color="auto" w:sz="4" w:space="0"/>
              <w:bottom w:val="single" w:color="000000" w:sz="4" w:space="0"/>
              <w:right w:val="single" w:color="auto" w:sz="4" w:space="0"/>
            </w:tcBorders>
            <w:noWrap w:val="0"/>
            <w:vAlign w:val="center"/>
          </w:tcPr>
          <w:p w14:paraId="1D2A2C24">
            <w:pPr>
              <w:widowControl/>
              <w:spacing w:line="220" w:lineRule="exact"/>
              <w:jc w:val="center"/>
              <w:rPr>
                <w:rFonts w:hint="eastAsia" w:ascii="仿宋" w:hAnsi="仿宋" w:eastAsia="仿宋" w:cs="仿宋"/>
                <w:sz w:val="20"/>
                <w:szCs w:val="20"/>
              </w:rPr>
            </w:pPr>
            <w:r>
              <w:rPr>
                <w:rFonts w:hint="eastAsia" w:ascii="仿宋" w:hAnsi="仿宋" w:eastAsia="仿宋" w:cs="仿宋"/>
                <w:color w:val="000000"/>
                <w:kern w:val="0"/>
                <w:szCs w:val="21"/>
              </w:rPr>
              <w:t>经济效益指标</w:t>
            </w:r>
          </w:p>
        </w:tc>
        <w:tc>
          <w:tcPr>
            <w:tcW w:w="1487" w:type="dxa"/>
            <w:tcBorders>
              <w:top w:val="single" w:color="000000" w:sz="4" w:space="0"/>
              <w:left w:val="nil"/>
              <w:bottom w:val="single" w:color="000000" w:sz="4" w:space="0"/>
              <w:right w:val="single" w:color="auto" w:sz="4" w:space="0"/>
            </w:tcBorders>
            <w:noWrap w:val="0"/>
            <w:vAlign w:val="center"/>
          </w:tcPr>
          <w:p w14:paraId="133F712C">
            <w:pPr>
              <w:spacing w:line="240" w:lineRule="exact"/>
              <w:jc w:val="center"/>
              <w:rPr>
                <w:rFonts w:hint="eastAsia" w:ascii="仿宋" w:hAnsi="仿宋" w:eastAsia="仿宋" w:cs="仿宋"/>
                <w:sz w:val="20"/>
                <w:szCs w:val="20"/>
              </w:rPr>
            </w:pPr>
            <w:r>
              <w:rPr>
                <w:rFonts w:hint="eastAsia" w:ascii="仿宋" w:hAnsi="仿宋" w:eastAsia="仿宋" w:cs="仿宋"/>
                <w:sz w:val="20"/>
                <w:szCs w:val="20"/>
              </w:rPr>
              <w:t>工程审减节约资金</w:t>
            </w:r>
          </w:p>
        </w:tc>
        <w:tc>
          <w:tcPr>
            <w:tcW w:w="1635" w:type="dxa"/>
            <w:tcBorders>
              <w:top w:val="single" w:color="000000" w:sz="4" w:space="0"/>
              <w:left w:val="nil"/>
              <w:bottom w:val="single" w:color="000000" w:sz="4" w:space="0"/>
              <w:right w:val="single" w:color="auto" w:sz="4" w:space="0"/>
            </w:tcBorders>
            <w:noWrap w:val="0"/>
            <w:vAlign w:val="center"/>
          </w:tcPr>
          <w:p w14:paraId="624AD1BF">
            <w:pPr>
              <w:spacing w:line="240" w:lineRule="exact"/>
              <w:rPr>
                <w:rFonts w:hint="eastAsia" w:ascii="仿宋" w:hAnsi="仿宋" w:eastAsia="仿宋" w:cs="仿宋"/>
                <w:color w:val="000000"/>
                <w:kern w:val="0"/>
                <w:sz w:val="21"/>
                <w:szCs w:val="21"/>
              </w:rPr>
            </w:pPr>
            <w:r>
              <w:rPr>
                <w:rFonts w:hint="eastAsia" w:ascii="仿宋" w:hAnsi="仿宋" w:eastAsia="仿宋" w:cs="仿宋"/>
                <w:sz w:val="20"/>
                <w:szCs w:val="20"/>
                <w:lang w:val="en-US" w:eastAsia="zh-CN"/>
              </w:rPr>
              <w:t>3</w:t>
            </w:r>
          </w:p>
        </w:tc>
        <w:tc>
          <w:tcPr>
            <w:tcW w:w="825" w:type="dxa"/>
            <w:tcBorders>
              <w:top w:val="single" w:color="000000" w:sz="4" w:space="0"/>
              <w:left w:val="nil"/>
              <w:bottom w:val="single" w:color="000000" w:sz="4" w:space="0"/>
              <w:right w:val="single" w:color="auto" w:sz="4" w:space="0"/>
            </w:tcBorders>
            <w:noWrap w:val="0"/>
            <w:vAlign w:val="center"/>
          </w:tcPr>
          <w:p w14:paraId="16F0DDF5">
            <w:pPr>
              <w:widowControl/>
              <w:spacing w:line="220" w:lineRule="exact"/>
              <w:jc w:val="left"/>
              <w:rPr>
                <w:rFonts w:hint="default" w:ascii="仿宋" w:hAnsi="仿宋" w:eastAsia="仿宋" w:cs="仿宋"/>
                <w:color w:val="000000"/>
                <w:kern w:val="0"/>
                <w:sz w:val="21"/>
                <w:szCs w:val="21"/>
                <w:lang w:val="en-US"/>
              </w:rPr>
            </w:pPr>
            <w:r>
              <w:rPr>
                <w:rFonts w:hint="eastAsia" w:ascii="仿宋" w:hAnsi="仿宋" w:eastAsia="仿宋" w:cs="仿宋"/>
                <w:color w:val="000000"/>
                <w:kern w:val="0"/>
                <w:szCs w:val="21"/>
                <w:lang w:val="en-US" w:eastAsia="zh-CN"/>
              </w:rPr>
              <w:t>10</w:t>
            </w:r>
          </w:p>
        </w:tc>
        <w:tc>
          <w:tcPr>
            <w:tcW w:w="1455" w:type="dxa"/>
            <w:tcBorders>
              <w:top w:val="single" w:color="000000" w:sz="4" w:space="0"/>
              <w:left w:val="nil"/>
              <w:bottom w:val="single" w:color="000000" w:sz="4" w:space="0"/>
              <w:right w:val="single" w:color="auto" w:sz="4" w:space="0"/>
            </w:tcBorders>
            <w:noWrap w:val="0"/>
            <w:vAlign w:val="center"/>
          </w:tcPr>
          <w:p w14:paraId="6451E4A4">
            <w:pPr>
              <w:widowControl/>
              <w:spacing w:line="220" w:lineRule="exact"/>
              <w:jc w:val="center"/>
              <w:rPr>
                <w:rFonts w:hint="default" w:ascii="仿宋" w:hAnsi="仿宋" w:eastAsia="仿宋" w:cs="仿宋"/>
                <w:color w:val="000000"/>
                <w:kern w:val="0"/>
                <w:sz w:val="21"/>
                <w:szCs w:val="21"/>
                <w:lang w:val="en-US"/>
              </w:rPr>
            </w:pPr>
            <w:r>
              <w:rPr>
                <w:rFonts w:hint="eastAsia" w:ascii="仿宋" w:hAnsi="仿宋" w:eastAsia="仿宋" w:cs="仿宋"/>
                <w:color w:val="000000"/>
                <w:kern w:val="0"/>
                <w:szCs w:val="21"/>
                <w:lang w:val="en-US" w:eastAsia="zh-CN"/>
              </w:rPr>
              <w:t>10</w:t>
            </w:r>
          </w:p>
        </w:tc>
        <w:tc>
          <w:tcPr>
            <w:tcW w:w="1073" w:type="dxa"/>
            <w:tcBorders>
              <w:top w:val="single" w:color="000000" w:sz="4" w:space="0"/>
              <w:left w:val="nil"/>
              <w:bottom w:val="single" w:color="000000" w:sz="4" w:space="0"/>
              <w:right w:val="single" w:color="auto" w:sz="4" w:space="0"/>
            </w:tcBorders>
            <w:noWrap w:val="0"/>
            <w:vAlign w:val="center"/>
          </w:tcPr>
          <w:p w14:paraId="32A4B093">
            <w:pPr>
              <w:widowControl/>
              <w:spacing w:line="220" w:lineRule="exact"/>
              <w:jc w:val="center"/>
              <w:rPr>
                <w:rFonts w:hint="eastAsia" w:ascii="仿宋" w:hAnsi="仿宋" w:eastAsia="仿宋" w:cs="仿宋"/>
                <w:color w:val="000000"/>
                <w:kern w:val="0"/>
                <w:sz w:val="21"/>
                <w:szCs w:val="21"/>
              </w:rPr>
            </w:pPr>
          </w:p>
        </w:tc>
      </w:tr>
      <w:tr w14:paraId="4AD56718">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34B9DF97">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665F8FCE">
            <w:pPr>
              <w:spacing w:line="220" w:lineRule="exact"/>
              <w:jc w:val="left"/>
              <w:rPr>
                <w:rFonts w:hint="eastAsia" w:ascii="仿宋" w:hAnsi="仿宋" w:eastAsia="仿宋" w:cs="仿宋"/>
                <w:color w:val="000000"/>
                <w:kern w:val="0"/>
                <w:sz w:val="21"/>
                <w:szCs w:val="21"/>
              </w:rPr>
            </w:pPr>
          </w:p>
        </w:tc>
        <w:tc>
          <w:tcPr>
            <w:tcW w:w="770" w:type="dxa"/>
            <w:vMerge w:val="continue"/>
            <w:tcBorders>
              <w:top w:val="single" w:color="000000" w:sz="4" w:space="0"/>
              <w:left w:val="single" w:color="auto" w:sz="4" w:space="0"/>
              <w:bottom w:val="single" w:color="auto" w:sz="4" w:space="0"/>
              <w:right w:val="single" w:color="auto" w:sz="4" w:space="0"/>
            </w:tcBorders>
            <w:noWrap w:val="0"/>
            <w:vAlign w:val="center"/>
          </w:tcPr>
          <w:p w14:paraId="1A3DFAC5">
            <w:pPr>
              <w:widowControl/>
              <w:spacing w:line="220" w:lineRule="exact"/>
              <w:jc w:val="center"/>
              <w:rPr>
                <w:rFonts w:hint="eastAsia" w:ascii="仿宋" w:hAnsi="仿宋" w:eastAsia="仿宋" w:cs="仿宋"/>
                <w:color w:val="000000"/>
                <w:kern w:val="0"/>
                <w:sz w:val="21"/>
                <w:szCs w:val="21"/>
              </w:rPr>
            </w:pPr>
          </w:p>
        </w:tc>
        <w:tc>
          <w:tcPr>
            <w:tcW w:w="1603" w:type="dxa"/>
            <w:gridSpan w:val="2"/>
            <w:vMerge w:val="continue"/>
            <w:tcBorders>
              <w:top w:val="single" w:color="000000" w:sz="4" w:space="0"/>
              <w:left w:val="nil"/>
              <w:bottom w:val="single" w:color="auto" w:sz="4" w:space="0"/>
              <w:right w:val="single" w:color="auto" w:sz="4" w:space="0"/>
            </w:tcBorders>
            <w:noWrap w:val="0"/>
            <w:vAlign w:val="center"/>
          </w:tcPr>
          <w:p w14:paraId="6065132F">
            <w:pPr>
              <w:widowControl/>
              <w:spacing w:line="220" w:lineRule="exact"/>
              <w:jc w:val="center"/>
              <w:rPr>
                <w:rFonts w:hint="eastAsia" w:ascii="仿宋" w:hAnsi="仿宋" w:eastAsia="仿宋" w:cs="仿宋"/>
                <w:color w:val="000000"/>
                <w:kern w:val="0"/>
                <w:sz w:val="21"/>
                <w:szCs w:val="21"/>
              </w:rPr>
            </w:pPr>
          </w:p>
        </w:tc>
        <w:tc>
          <w:tcPr>
            <w:tcW w:w="1487" w:type="dxa"/>
            <w:tcBorders>
              <w:top w:val="single" w:color="000000" w:sz="4" w:space="0"/>
              <w:left w:val="nil"/>
              <w:bottom w:val="single" w:color="auto" w:sz="4" w:space="0"/>
              <w:right w:val="single" w:color="auto" w:sz="4" w:space="0"/>
            </w:tcBorders>
            <w:noWrap w:val="0"/>
            <w:vAlign w:val="center"/>
          </w:tcPr>
          <w:p w14:paraId="28B115A3">
            <w:pPr>
              <w:spacing w:line="240" w:lineRule="exact"/>
              <w:jc w:val="center"/>
              <w:rPr>
                <w:rFonts w:hint="eastAsia" w:ascii="仿宋" w:hAnsi="仿宋" w:eastAsia="仿宋" w:cs="仿宋"/>
                <w:color w:val="000000"/>
                <w:kern w:val="0"/>
                <w:sz w:val="21"/>
                <w:szCs w:val="21"/>
              </w:rPr>
            </w:pPr>
          </w:p>
        </w:tc>
        <w:tc>
          <w:tcPr>
            <w:tcW w:w="1635" w:type="dxa"/>
            <w:tcBorders>
              <w:top w:val="single" w:color="000000" w:sz="4" w:space="0"/>
              <w:left w:val="nil"/>
              <w:bottom w:val="single" w:color="auto" w:sz="4" w:space="0"/>
              <w:right w:val="single" w:color="auto" w:sz="4" w:space="0"/>
            </w:tcBorders>
            <w:noWrap w:val="0"/>
            <w:vAlign w:val="center"/>
          </w:tcPr>
          <w:p w14:paraId="4FE3EA64">
            <w:pPr>
              <w:spacing w:line="240" w:lineRule="exact"/>
              <w:rPr>
                <w:rFonts w:hint="eastAsia" w:ascii="仿宋" w:hAnsi="仿宋" w:eastAsia="仿宋" w:cs="仿宋"/>
                <w:color w:val="000000"/>
                <w:kern w:val="0"/>
                <w:sz w:val="21"/>
                <w:szCs w:val="21"/>
              </w:rPr>
            </w:pPr>
          </w:p>
        </w:tc>
        <w:tc>
          <w:tcPr>
            <w:tcW w:w="825" w:type="dxa"/>
            <w:tcBorders>
              <w:top w:val="single" w:color="000000" w:sz="4" w:space="0"/>
              <w:left w:val="nil"/>
              <w:bottom w:val="single" w:color="auto" w:sz="4" w:space="0"/>
              <w:right w:val="single" w:color="auto" w:sz="4" w:space="0"/>
            </w:tcBorders>
            <w:noWrap w:val="0"/>
            <w:vAlign w:val="center"/>
          </w:tcPr>
          <w:p w14:paraId="112D6581">
            <w:pPr>
              <w:widowControl/>
              <w:spacing w:line="220" w:lineRule="exact"/>
              <w:jc w:val="left"/>
              <w:rPr>
                <w:rFonts w:hint="eastAsia" w:ascii="仿宋" w:hAnsi="仿宋" w:eastAsia="仿宋" w:cs="仿宋"/>
                <w:color w:val="000000"/>
                <w:kern w:val="0"/>
                <w:sz w:val="21"/>
                <w:szCs w:val="21"/>
              </w:rPr>
            </w:pPr>
          </w:p>
        </w:tc>
        <w:tc>
          <w:tcPr>
            <w:tcW w:w="1455" w:type="dxa"/>
            <w:tcBorders>
              <w:top w:val="single" w:color="000000" w:sz="4" w:space="0"/>
              <w:left w:val="nil"/>
              <w:bottom w:val="single" w:color="auto" w:sz="4" w:space="0"/>
              <w:right w:val="single" w:color="auto" w:sz="4" w:space="0"/>
            </w:tcBorders>
            <w:noWrap w:val="0"/>
            <w:vAlign w:val="center"/>
          </w:tcPr>
          <w:p w14:paraId="3AF4AB09">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000000" w:sz="4" w:space="0"/>
              <w:left w:val="nil"/>
              <w:bottom w:val="single" w:color="auto" w:sz="4" w:space="0"/>
              <w:right w:val="single" w:color="auto" w:sz="4" w:space="0"/>
            </w:tcBorders>
            <w:noWrap w:val="0"/>
            <w:vAlign w:val="center"/>
          </w:tcPr>
          <w:p w14:paraId="294503CE">
            <w:pPr>
              <w:widowControl/>
              <w:spacing w:line="220" w:lineRule="exact"/>
              <w:jc w:val="center"/>
              <w:rPr>
                <w:rFonts w:hint="eastAsia" w:ascii="仿宋" w:hAnsi="仿宋" w:eastAsia="仿宋" w:cs="仿宋"/>
                <w:color w:val="000000"/>
                <w:kern w:val="0"/>
                <w:sz w:val="21"/>
                <w:szCs w:val="21"/>
              </w:rPr>
            </w:pPr>
          </w:p>
        </w:tc>
      </w:tr>
      <w:tr w14:paraId="1884508F">
        <w:tblPrEx>
          <w:tblCellMar>
            <w:top w:w="0" w:type="dxa"/>
            <w:left w:w="108" w:type="dxa"/>
            <w:bottom w:w="0" w:type="dxa"/>
            <w:right w:w="108" w:type="dxa"/>
          </w:tblCellMar>
        </w:tblPrEx>
        <w:trPr>
          <w:trHeight w:val="55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5E78B9A0">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62D97A07">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noWrap w:val="0"/>
            <w:vAlign w:val="center"/>
          </w:tcPr>
          <w:p w14:paraId="23F140B5">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Cs w:val="21"/>
              </w:rPr>
              <w:t>社会效益指标</w:t>
            </w:r>
          </w:p>
        </w:tc>
        <w:tc>
          <w:tcPr>
            <w:tcW w:w="1603" w:type="dxa"/>
            <w:gridSpan w:val="2"/>
            <w:tcBorders>
              <w:top w:val="single" w:color="000000" w:sz="4" w:space="0"/>
              <w:left w:val="nil"/>
              <w:bottom w:val="single" w:color="auto" w:sz="4" w:space="0"/>
              <w:right w:val="single" w:color="auto" w:sz="4" w:space="0"/>
            </w:tcBorders>
            <w:noWrap w:val="0"/>
            <w:vAlign w:val="center"/>
          </w:tcPr>
          <w:p w14:paraId="7CC8AFEF">
            <w:pPr>
              <w:spacing w:line="24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rPr>
              <w:t>预算单位集中支付覆盖率</w:t>
            </w:r>
          </w:p>
        </w:tc>
        <w:tc>
          <w:tcPr>
            <w:tcW w:w="1487" w:type="dxa"/>
            <w:tcBorders>
              <w:top w:val="single" w:color="000000" w:sz="4" w:space="0"/>
              <w:left w:val="nil"/>
              <w:bottom w:val="single" w:color="auto" w:sz="4" w:space="0"/>
              <w:right w:val="single" w:color="auto" w:sz="4" w:space="0"/>
            </w:tcBorders>
            <w:noWrap w:val="0"/>
            <w:vAlign w:val="center"/>
          </w:tcPr>
          <w:p w14:paraId="5F4EF1DF">
            <w:pPr>
              <w:spacing w:line="240" w:lineRule="exac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100%</w:t>
            </w:r>
          </w:p>
        </w:tc>
        <w:tc>
          <w:tcPr>
            <w:tcW w:w="1635" w:type="dxa"/>
            <w:tcBorders>
              <w:top w:val="single" w:color="000000" w:sz="4" w:space="0"/>
              <w:left w:val="nil"/>
              <w:bottom w:val="single" w:color="auto" w:sz="4" w:space="0"/>
              <w:right w:val="single" w:color="auto" w:sz="4" w:space="0"/>
            </w:tcBorders>
            <w:noWrap w:val="0"/>
            <w:vAlign w:val="center"/>
          </w:tcPr>
          <w:p w14:paraId="0FAC8FC9">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100%</w:t>
            </w:r>
          </w:p>
        </w:tc>
        <w:tc>
          <w:tcPr>
            <w:tcW w:w="825" w:type="dxa"/>
            <w:tcBorders>
              <w:top w:val="single" w:color="000000" w:sz="4" w:space="0"/>
              <w:left w:val="nil"/>
              <w:bottom w:val="single" w:color="auto" w:sz="4" w:space="0"/>
              <w:right w:val="single" w:color="auto" w:sz="4" w:space="0"/>
            </w:tcBorders>
            <w:noWrap w:val="0"/>
            <w:vAlign w:val="center"/>
          </w:tcPr>
          <w:p w14:paraId="2B4E850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455" w:type="dxa"/>
            <w:tcBorders>
              <w:top w:val="single" w:color="000000" w:sz="4" w:space="0"/>
              <w:left w:val="nil"/>
              <w:bottom w:val="single" w:color="auto" w:sz="4" w:space="0"/>
              <w:right w:val="single" w:color="auto" w:sz="4" w:space="0"/>
            </w:tcBorders>
            <w:noWrap w:val="0"/>
            <w:vAlign w:val="center"/>
          </w:tcPr>
          <w:p w14:paraId="1068DB9D">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073" w:type="dxa"/>
            <w:tcBorders>
              <w:top w:val="single" w:color="000000" w:sz="4" w:space="0"/>
              <w:left w:val="nil"/>
              <w:bottom w:val="single" w:color="auto" w:sz="4" w:space="0"/>
              <w:right w:val="single" w:color="auto" w:sz="4" w:space="0"/>
            </w:tcBorders>
            <w:noWrap w:val="0"/>
            <w:vAlign w:val="center"/>
          </w:tcPr>
          <w:p w14:paraId="43B2E5C7">
            <w:pPr>
              <w:widowControl/>
              <w:spacing w:line="220" w:lineRule="exact"/>
              <w:jc w:val="center"/>
              <w:rPr>
                <w:rFonts w:hint="eastAsia" w:ascii="仿宋" w:hAnsi="仿宋" w:eastAsia="仿宋" w:cs="仿宋"/>
                <w:color w:val="000000"/>
                <w:kern w:val="0"/>
                <w:sz w:val="21"/>
                <w:szCs w:val="21"/>
                <w:lang w:val="en-US" w:eastAsia="zh-CN" w:bidi="ar-SA"/>
              </w:rPr>
            </w:pPr>
          </w:p>
        </w:tc>
      </w:tr>
      <w:tr w14:paraId="2C3DCD73">
        <w:tblPrEx>
          <w:tblCellMar>
            <w:top w:w="0" w:type="dxa"/>
            <w:left w:w="108" w:type="dxa"/>
            <w:bottom w:w="0" w:type="dxa"/>
            <w:right w:w="108" w:type="dxa"/>
          </w:tblCellMar>
        </w:tblPrEx>
        <w:trPr>
          <w:trHeight w:val="475"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2CF527FE">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7FA67C42">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noWrap w:val="0"/>
            <w:vAlign w:val="center"/>
          </w:tcPr>
          <w:p w14:paraId="2CD66A76">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05F12232">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single" w:color="000000" w:sz="4" w:space="0"/>
              <w:left w:val="nil"/>
              <w:bottom w:val="single" w:color="auto" w:sz="4" w:space="0"/>
              <w:right w:val="single" w:color="auto" w:sz="4" w:space="0"/>
            </w:tcBorders>
            <w:noWrap w:val="0"/>
            <w:vAlign w:val="center"/>
          </w:tcPr>
          <w:p w14:paraId="1B99A622">
            <w:pPr>
              <w:spacing w:line="240" w:lineRule="exac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noWrap w:val="0"/>
            <w:vAlign w:val="center"/>
          </w:tcPr>
          <w:p w14:paraId="091EA734">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000000" w:sz="4" w:space="0"/>
              <w:left w:val="nil"/>
              <w:bottom w:val="single" w:color="auto" w:sz="4" w:space="0"/>
              <w:right w:val="single" w:color="auto" w:sz="4" w:space="0"/>
            </w:tcBorders>
            <w:noWrap w:val="0"/>
            <w:vAlign w:val="center"/>
          </w:tcPr>
          <w:p w14:paraId="5C65EC39">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000000" w:sz="4" w:space="0"/>
              <w:left w:val="nil"/>
              <w:bottom w:val="single" w:color="auto" w:sz="4" w:space="0"/>
              <w:right w:val="single" w:color="auto" w:sz="4" w:space="0"/>
            </w:tcBorders>
            <w:noWrap w:val="0"/>
            <w:vAlign w:val="center"/>
          </w:tcPr>
          <w:p w14:paraId="4D23E625">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000000" w:sz="4" w:space="0"/>
              <w:left w:val="nil"/>
              <w:bottom w:val="single" w:color="auto" w:sz="4" w:space="0"/>
              <w:right w:val="single" w:color="auto" w:sz="4" w:space="0"/>
            </w:tcBorders>
            <w:noWrap w:val="0"/>
            <w:vAlign w:val="center"/>
          </w:tcPr>
          <w:p w14:paraId="12E3B3D1">
            <w:pPr>
              <w:widowControl/>
              <w:spacing w:line="220" w:lineRule="exact"/>
              <w:jc w:val="center"/>
              <w:rPr>
                <w:rFonts w:hint="eastAsia" w:ascii="仿宋" w:hAnsi="仿宋" w:eastAsia="仿宋" w:cs="仿宋"/>
                <w:color w:val="000000"/>
                <w:kern w:val="0"/>
                <w:sz w:val="21"/>
                <w:szCs w:val="21"/>
                <w:lang w:val="en-US" w:eastAsia="zh-CN" w:bidi="ar-SA"/>
              </w:rPr>
            </w:pPr>
          </w:p>
        </w:tc>
      </w:tr>
      <w:tr w14:paraId="7765F4B7">
        <w:tblPrEx>
          <w:tblCellMar>
            <w:top w:w="0" w:type="dxa"/>
            <w:left w:w="108" w:type="dxa"/>
            <w:bottom w:w="0" w:type="dxa"/>
            <w:right w:w="108" w:type="dxa"/>
          </w:tblCellMar>
        </w:tblPrEx>
        <w:trPr>
          <w:trHeight w:val="52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10051053">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4B6F7318">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noWrap w:val="0"/>
            <w:vAlign w:val="center"/>
          </w:tcPr>
          <w:p w14:paraId="03CAA99E">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Cs w:val="21"/>
              </w:rPr>
              <w:t>生态效益指标</w:t>
            </w:r>
          </w:p>
        </w:tc>
        <w:tc>
          <w:tcPr>
            <w:tcW w:w="1603" w:type="dxa"/>
            <w:gridSpan w:val="2"/>
            <w:tcBorders>
              <w:top w:val="single" w:color="000000" w:sz="4" w:space="0"/>
              <w:left w:val="nil"/>
              <w:bottom w:val="single" w:color="auto" w:sz="4" w:space="0"/>
              <w:right w:val="single" w:color="auto" w:sz="4" w:space="0"/>
            </w:tcBorders>
            <w:noWrap w:val="0"/>
            <w:vAlign w:val="center"/>
          </w:tcPr>
          <w:p w14:paraId="123653BD">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single" w:color="000000" w:sz="4" w:space="0"/>
              <w:left w:val="nil"/>
              <w:bottom w:val="single" w:color="auto" w:sz="4" w:space="0"/>
              <w:right w:val="single" w:color="auto" w:sz="4" w:space="0"/>
            </w:tcBorders>
            <w:noWrap w:val="0"/>
            <w:vAlign w:val="center"/>
          </w:tcPr>
          <w:p w14:paraId="4990F1E7">
            <w:pPr>
              <w:spacing w:line="240" w:lineRule="exac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noWrap w:val="0"/>
            <w:vAlign w:val="center"/>
          </w:tcPr>
          <w:p w14:paraId="12725CAB">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000000" w:sz="4" w:space="0"/>
              <w:left w:val="nil"/>
              <w:bottom w:val="single" w:color="auto" w:sz="4" w:space="0"/>
              <w:right w:val="single" w:color="auto" w:sz="4" w:space="0"/>
            </w:tcBorders>
            <w:noWrap w:val="0"/>
            <w:vAlign w:val="center"/>
          </w:tcPr>
          <w:p w14:paraId="6070D45B">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000000" w:sz="4" w:space="0"/>
              <w:left w:val="nil"/>
              <w:bottom w:val="single" w:color="auto" w:sz="4" w:space="0"/>
              <w:right w:val="single" w:color="auto" w:sz="4" w:space="0"/>
            </w:tcBorders>
            <w:noWrap w:val="0"/>
            <w:vAlign w:val="center"/>
          </w:tcPr>
          <w:p w14:paraId="60BC4934">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000000" w:sz="4" w:space="0"/>
              <w:left w:val="nil"/>
              <w:bottom w:val="single" w:color="auto" w:sz="4" w:space="0"/>
              <w:right w:val="single" w:color="auto" w:sz="4" w:space="0"/>
            </w:tcBorders>
            <w:noWrap w:val="0"/>
            <w:vAlign w:val="center"/>
          </w:tcPr>
          <w:p w14:paraId="05119FA7">
            <w:pPr>
              <w:widowControl/>
              <w:spacing w:line="220" w:lineRule="exact"/>
              <w:jc w:val="center"/>
              <w:rPr>
                <w:rFonts w:hint="eastAsia" w:ascii="仿宋" w:hAnsi="仿宋" w:eastAsia="仿宋" w:cs="仿宋"/>
                <w:color w:val="000000"/>
                <w:kern w:val="0"/>
                <w:sz w:val="21"/>
                <w:szCs w:val="21"/>
                <w:lang w:val="en-US" w:eastAsia="zh-CN" w:bidi="ar-SA"/>
              </w:rPr>
            </w:pPr>
          </w:p>
        </w:tc>
      </w:tr>
      <w:tr w14:paraId="3F6676D0">
        <w:tblPrEx>
          <w:tblCellMar>
            <w:top w:w="0" w:type="dxa"/>
            <w:left w:w="108" w:type="dxa"/>
            <w:bottom w:w="0" w:type="dxa"/>
            <w:right w:w="108" w:type="dxa"/>
          </w:tblCellMar>
        </w:tblPrEx>
        <w:trPr>
          <w:trHeight w:val="46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19811E24">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05103843">
            <w:pPr>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bottom w:val="single" w:color="auto" w:sz="4" w:space="0"/>
              <w:right w:val="single" w:color="auto" w:sz="4" w:space="0"/>
            </w:tcBorders>
            <w:noWrap w:val="0"/>
            <w:vAlign w:val="center"/>
          </w:tcPr>
          <w:p w14:paraId="0B7C139C">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0C777305">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single" w:color="000000" w:sz="4" w:space="0"/>
              <w:left w:val="nil"/>
              <w:bottom w:val="single" w:color="auto" w:sz="4" w:space="0"/>
              <w:right w:val="single" w:color="auto" w:sz="4" w:space="0"/>
            </w:tcBorders>
            <w:noWrap w:val="0"/>
            <w:vAlign w:val="center"/>
          </w:tcPr>
          <w:p w14:paraId="295A8B81">
            <w:pPr>
              <w:spacing w:line="240" w:lineRule="exac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noWrap w:val="0"/>
            <w:vAlign w:val="center"/>
          </w:tcPr>
          <w:p w14:paraId="7937AE61">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000000" w:sz="4" w:space="0"/>
              <w:left w:val="nil"/>
              <w:bottom w:val="single" w:color="auto" w:sz="4" w:space="0"/>
              <w:right w:val="single" w:color="auto" w:sz="4" w:space="0"/>
            </w:tcBorders>
            <w:noWrap w:val="0"/>
            <w:vAlign w:val="center"/>
          </w:tcPr>
          <w:p w14:paraId="7271DA53">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000000" w:sz="4" w:space="0"/>
              <w:left w:val="nil"/>
              <w:bottom w:val="single" w:color="auto" w:sz="4" w:space="0"/>
              <w:right w:val="single" w:color="auto" w:sz="4" w:space="0"/>
            </w:tcBorders>
            <w:noWrap w:val="0"/>
            <w:vAlign w:val="center"/>
          </w:tcPr>
          <w:p w14:paraId="01784B6A">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000000" w:sz="4" w:space="0"/>
              <w:left w:val="nil"/>
              <w:bottom w:val="single" w:color="auto" w:sz="4" w:space="0"/>
              <w:right w:val="single" w:color="auto" w:sz="4" w:space="0"/>
            </w:tcBorders>
            <w:noWrap w:val="0"/>
            <w:vAlign w:val="center"/>
          </w:tcPr>
          <w:p w14:paraId="34186FDE">
            <w:pPr>
              <w:widowControl/>
              <w:spacing w:line="220" w:lineRule="exact"/>
              <w:jc w:val="center"/>
              <w:rPr>
                <w:rFonts w:hint="eastAsia" w:ascii="仿宋" w:hAnsi="仿宋" w:eastAsia="仿宋" w:cs="仿宋"/>
                <w:color w:val="000000"/>
                <w:kern w:val="0"/>
                <w:sz w:val="21"/>
                <w:szCs w:val="21"/>
                <w:lang w:val="en-US" w:eastAsia="zh-CN" w:bidi="ar-SA"/>
              </w:rPr>
            </w:pPr>
          </w:p>
        </w:tc>
      </w:tr>
      <w:tr w14:paraId="1C2A5E35">
        <w:tblPrEx>
          <w:tblCellMar>
            <w:top w:w="0" w:type="dxa"/>
            <w:left w:w="108" w:type="dxa"/>
            <w:bottom w:w="0" w:type="dxa"/>
            <w:right w:w="108" w:type="dxa"/>
          </w:tblCellMar>
        </w:tblPrEx>
        <w:trPr>
          <w:trHeight w:val="580" w:hRule="atLeast"/>
          <w:jc w:val="center"/>
        </w:trPr>
        <w:tc>
          <w:tcPr>
            <w:tcW w:w="716" w:type="dxa"/>
            <w:vMerge w:val="continue"/>
            <w:tcBorders>
              <w:top w:val="single" w:color="000000" w:sz="4" w:space="0"/>
              <w:left w:val="single" w:color="auto" w:sz="4" w:space="0"/>
              <w:right w:val="single" w:color="auto" w:sz="4" w:space="0"/>
            </w:tcBorders>
            <w:noWrap w:val="0"/>
            <w:vAlign w:val="center"/>
          </w:tcPr>
          <w:p w14:paraId="4C8503C1">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000000" w:sz="4" w:space="0"/>
              <w:left w:val="single" w:color="auto" w:sz="4" w:space="0"/>
              <w:bottom w:val="single" w:color="auto" w:sz="4" w:space="0"/>
              <w:right w:val="single" w:color="auto" w:sz="4" w:space="0"/>
            </w:tcBorders>
            <w:noWrap w:val="0"/>
            <w:vAlign w:val="center"/>
          </w:tcPr>
          <w:p w14:paraId="764C3550">
            <w:pPr>
              <w:spacing w:line="220" w:lineRule="exact"/>
              <w:jc w:val="left"/>
              <w:rPr>
                <w:rFonts w:hint="eastAsia" w:ascii="仿宋" w:hAnsi="仿宋" w:eastAsia="仿宋" w:cs="仿宋"/>
                <w:color w:val="000000"/>
                <w:kern w:val="0"/>
                <w:sz w:val="21"/>
                <w:szCs w:val="21"/>
              </w:rPr>
            </w:pPr>
          </w:p>
        </w:tc>
        <w:tc>
          <w:tcPr>
            <w:tcW w:w="770" w:type="dxa"/>
            <w:vMerge w:val="restart"/>
            <w:tcBorders>
              <w:top w:val="single" w:color="000000" w:sz="4" w:space="0"/>
              <w:left w:val="single" w:color="auto" w:sz="4" w:space="0"/>
              <w:right w:val="single" w:color="auto" w:sz="4" w:space="0"/>
            </w:tcBorders>
            <w:noWrap w:val="0"/>
            <w:vAlign w:val="center"/>
          </w:tcPr>
          <w:p w14:paraId="73EF43BD">
            <w:pPr>
              <w:widowControl/>
              <w:spacing w:line="220" w:lineRule="exact"/>
              <w:ind w:firstLine="420" w:firstLineChars="200"/>
              <w:jc w:val="center"/>
              <w:rPr>
                <w:rFonts w:ascii="仿宋" w:hAnsi="仿宋" w:eastAsia="仿宋" w:cs="仿宋"/>
                <w:color w:val="000000"/>
                <w:kern w:val="0"/>
                <w:szCs w:val="21"/>
              </w:rPr>
            </w:pPr>
            <w:r>
              <w:rPr>
                <w:rFonts w:hint="eastAsia" w:ascii="仿宋" w:hAnsi="仿宋" w:eastAsia="仿宋" w:cs="仿宋"/>
                <w:color w:val="000000"/>
                <w:kern w:val="0"/>
                <w:szCs w:val="21"/>
              </w:rPr>
              <w:t>可持续影响指标</w:t>
            </w:r>
          </w:p>
          <w:p w14:paraId="3BD9492A">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single" w:color="000000" w:sz="4" w:space="0"/>
              <w:left w:val="nil"/>
              <w:bottom w:val="single" w:color="auto" w:sz="4" w:space="0"/>
              <w:right w:val="single" w:color="auto" w:sz="4" w:space="0"/>
            </w:tcBorders>
            <w:noWrap w:val="0"/>
            <w:vAlign w:val="center"/>
          </w:tcPr>
          <w:p w14:paraId="2F7DCFAC">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single" w:color="000000" w:sz="4" w:space="0"/>
              <w:left w:val="nil"/>
              <w:bottom w:val="single" w:color="auto" w:sz="4" w:space="0"/>
              <w:right w:val="single" w:color="auto" w:sz="4" w:space="0"/>
            </w:tcBorders>
            <w:noWrap w:val="0"/>
            <w:vAlign w:val="center"/>
          </w:tcPr>
          <w:p w14:paraId="413285C4">
            <w:pPr>
              <w:spacing w:line="240" w:lineRule="exact"/>
              <w:rPr>
                <w:rFonts w:hint="eastAsia" w:ascii="仿宋" w:hAnsi="仿宋" w:eastAsia="仿宋" w:cs="仿宋"/>
                <w:color w:val="000000"/>
                <w:kern w:val="0"/>
                <w:sz w:val="21"/>
                <w:szCs w:val="21"/>
                <w:lang w:val="en-US" w:eastAsia="zh-CN" w:bidi="ar-SA"/>
              </w:rPr>
            </w:pPr>
          </w:p>
        </w:tc>
        <w:tc>
          <w:tcPr>
            <w:tcW w:w="1635" w:type="dxa"/>
            <w:tcBorders>
              <w:top w:val="single" w:color="000000" w:sz="4" w:space="0"/>
              <w:left w:val="nil"/>
              <w:bottom w:val="single" w:color="auto" w:sz="4" w:space="0"/>
              <w:right w:val="single" w:color="auto" w:sz="4" w:space="0"/>
            </w:tcBorders>
            <w:noWrap w:val="0"/>
            <w:vAlign w:val="center"/>
          </w:tcPr>
          <w:p w14:paraId="42AF9638">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single" w:color="000000" w:sz="4" w:space="0"/>
              <w:left w:val="nil"/>
              <w:bottom w:val="single" w:color="auto" w:sz="4" w:space="0"/>
              <w:right w:val="single" w:color="auto" w:sz="4" w:space="0"/>
            </w:tcBorders>
            <w:noWrap w:val="0"/>
            <w:vAlign w:val="center"/>
          </w:tcPr>
          <w:p w14:paraId="74B77370">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single" w:color="000000" w:sz="4" w:space="0"/>
              <w:left w:val="nil"/>
              <w:bottom w:val="single" w:color="auto" w:sz="4" w:space="0"/>
              <w:right w:val="single" w:color="auto" w:sz="4" w:space="0"/>
            </w:tcBorders>
            <w:noWrap w:val="0"/>
            <w:vAlign w:val="center"/>
          </w:tcPr>
          <w:p w14:paraId="112C2B42">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single" w:color="000000" w:sz="4" w:space="0"/>
              <w:left w:val="nil"/>
              <w:bottom w:val="single" w:color="auto" w:sz="4" w:space="0"/>
              <w:right w:val="single" w:color="auto" w:sz="4" w:space="0"/>
            </w:tcBorders>
            <w:noWrap w:val="0"/>
            <w:vAlign w:val="center"/>
          </w:tcPr>
          <w:p w14:paraId="6F288AF0">
            <w:pPr>
              <w:widowControl/>
              <w:spacing w:line="220" w:lineRule="exact"/>
              <w:jc w:val="center"/>
              <w:rPr>
                <w:rFonts w:hint="eastAsia" w:ascii="仿宋" w:hAnsi="仿宋" w:eastAsia="仿宋" w:cs="仿宋"/>
                <w:color w:val="000000"/>
                <w:kern w:val="0"/>
                <w:sz w:val="21"/>
                <w:szCs w:val="21"/>
                <w:lang w:val="en-US" w:eastAsia="zh-CN" w:bidi="ar-SA"/>
              </w:rPr>
            </w:pPr>
          </w:p>
        </w:tc>
      </w:tr>
      <w:tr w14:paraId="103FC90B">
        <w:tblPrEx>
          <w:tblCellMar>
            <w:top w:w="0" w:type="dxa"/>
            <w:left w:w="108" w:type="dxa"/>
            <w:bottom w:w="0" w:type="dxa"/>
            <w:right w:w="108" w:type="dxa"/>
          </w:tblCellMar>
        </w:tblPrEx>
        <w:trPr>
          <w:trHeight w:val="535" w:hRule="atLeast"/>
          <w:jc w:val="center"/>
        </w:trPr>
        <w:tc>
          <w:tcPr>
            <w:tcW w:w="716" w:type="dxa"/>
            <w:vMerge w:val="continue"/>
            <w:tcBorders>
              <w:left w:val="single" w:color="auto" w:sz="4" w:space="0"/>
              <w:right w:val="single" w:color="auto" w:sz="4" w:space="0"/>
            </w:tcBorders>
            <w:noWrap w:val="0"/>
            <w:vAlign w:val="center"/>
          </w:tcPr>
          <w:p w14:paraId="37B34362">
            <w:pPr>
              <w:widowControl/>
              <w:spacing w:line="220" w:lineRule="exact"/>
              <w:jc w:val="left"/>
              <w:rPr>
                <w:rFonts w:hint="eastAsia" w:ascii="仿宋" w:hAnsi="仿宋" w:eastAsia="仿宋" w:cs="仿宋"/>
                <w:color w:val="000000"/>
                <w:kern w:val="0"/>
                <w:sz w:val="21"/>
                <w:szCs w:val="21"/>
              </w:rPr>
            </w:pPr>
          </w:p>
        </w:tc>
        <w:tc>
          <w:tcPr>
            <w:tcW w:w="851" w:type="dxa"/>
            <w:vMerge w:val="continue"/>
            <w:tcBorders>
              <w:top w:val="single" w:color="auto" w:sz="4" w:space="0"/>
              <w:left w:val="single" w:color="auto" w:sz="4" w:space="0"/>
              <w:bottom w:val="single" w:color="auto" w:sz="4" w:space="0"/>
              <w:right w:val="single" w:color="auto" w:sz="4" w:space="0"/>
            </w:tcBorders>
            <w:noWrap w:val="0"/>
            <w:vAlign w:val="center"/>
          </w:tcPr>
          <w:p w14:paraId="7305F8B4">
            <w:pPr>
              <w:widowControl/>
              <w:spacing w:line="220" w:lineRule="exact"/>
              <w:jc w:val="left"/>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noWrap w:val="0"/>
            <w:vAlign w:val="center"/>
          </w:tcPr>
          <w:p w14:paraId="61F13BD7">
            <w:pPr>
              <w:widowControl/>
              <w:spacing w:line="220" w:lineRule="exact"/>
              <w:jc w:val="center"/>
              <w:rPr>
                <w:rFonts w:hint="eastAsia" w:ascii="仿宋" w:hAnsi="仿宋" w:eastAsia="仿宋" w:cs="仿宋"/>
                <w:color w:val="000000"/>
                <w:kern w:val="0"/>
                <w:sz w:val="21"/>
                <w:szCs w:val="21"/>
              </w:rPr>
            </w:pPr>
          </w:p>
        </w:tc>
        <w:tc>
          <w:tcPr>
            <w:tcW w:w="1603" w:type="dxa"/>
            <w:gridSpan w:val="2"/>
            <w:tcBorders>
              <w:top w:val="nil"/>
              <w:left w:val="nil"/>
              <w:bottom w:val="single" w:color="auto" w:sz="4" w:space="0"/>
              <w:right w:val="single" w:color="auto" w:sz="4" w:space="0"/>
            </w:tcBorders>
            <w:noWrap w:val="0"/>
            <w:vAlign w:val="center"/>
          </w:tcPr>
          <w:p w14:paraId="3DDCAA32">
            <w:pPr>
              <w:spacing w:line="240" w:lineRule="exact"/>
              <w:jc w:val="center"/>
              <w:rPr>
                <w:rFonts w:hint="eastAsia" w:ascii="仿宋" w:hAnsi="仿宋" w:eastAsia="仿宋" w:cs="仿宋"/>
                <w:color w:val="000000"/>
                <w:kern w:val="0"/>
                <w:sz w:val="21"/>
                <w:szCs w:val="21"/>
                <w:lang w:val="en-US" w:eastAsia="zh-CN" w:bidi="ar-SA"/>
              </w:rPr>
            </w:pPr>
          </w:p>
        </w:tc>
        <w:tc>
          <w:tcPr>
            <w:tcW w:w="1487" w:type="dxa"/>
            <w:tcBorders>
              <w:top w:val="nil"/>
              <w:left w:val="nil"/>
              <w:bottom w:val="single" w:color="auto" w:sz="4" w:space="0"/>
              <w:right w:val="single" w:color="auto" w:sz="4" w:space="0"/>
            </w:tcBorders>
            <w:noWrap w:val="0"/>
            <w:vAlign w:val="center"/>
          </w:tcPr>
          <w:p w14:paraId="481EF361">
            <w:pPr>
              <w:spacing w:line="240" w:lineRule="exact"/>
              <w:rPr>
                <w:rFonts w:hint="eastAsia" w:ascii="仿宋" w:hAnsi="仿宋" w:eastAsia="仿宋" w:cs="仿宋"/>
                <w:color w:val="000000"/>
                <w:kern w:val="0"/>
                <w:sz w:val="21"/>
                <w:szCs w:val="21"/>
                <w:lang w:val="en-US" w:eastAsia="zh-CN" w:bidi="ar-SA"/>
              </w:rPr>
            </w:pPr>
          </w:p>
        </w:tc>
        <w:tc>
          <w:tcPr>
            <w:tcW w:w="1635" w:type="dxa"/>
            <w:tcBorders>
              <w:top w:val="nil"/>
              <w:left w:val="nil"/>
              <w:bottom w:val="single" w:color="auto" w:sz="4" w:space="0"/>
              <w:right w:val="single" w:color="auto" w:sz="4" w:space="0"/>
            </w:tcBorders>
            <w:noWrap w:val="0"/>
            <w:vAlign w:val="center"/>
          </w:tcPr>
          <w:p w14:paraId="102BDC8B">
            <w:pPr>
              <w:widowControl/>
              <w:spacing w:line="220" w:lineRule="exact"/>
              <w:jc w:val="left"/>
              <w:rPr>
                <w:rFonts w:hint="eastAsia" w:ascii="仿宋" w:hAnsi="仿宋" w:eastAsia="仿宋" w:cs="仿宋"/>
                <w:color w:val="000000"/>
                <w:kern w:val="0"/>
                <w:sz w:val="21"/>
                <w:szCs w:val="21"/>
                <w:lang w:val="en-US" w:eastAsia="zh-CN" w:bidi="ar-SA"/>
              </w:rPr>
            </w:pPr>
          </w:p>
        </w:tc>
        <w:tc>
          <w:tcPr>
            <w:tcW w:w="825" w:type="dxa"/>
            <w:tcBorders>
              <w:top w:val="nil"/>
              <w:left w:val="nil"/>
              <w:bottom w:val="single" w:color="auto" w:sz="4" w:space="0"/>
              <w:right w:val="single" w:color="auto" w:sz="4" w:space="0"/>
            </w:tcBorders>
            <w:noWrap w:val="0"/>
            <w:vAlign w:val="center"/>
          </w:tcPr>
          <w:p w14:paraId="14029DA0">
            <w:pPr>
              <w:widowControl/>
              <w:spacing w:line="220" w:lineRule="exact"/>
              <w:jc w:val="center"/>
              <w:rPr>
                <w:rFonts w:hint="eastAsia" w:ascii="仿宋" w:hAnsi="仿宋" w:eastAsia="仿宋" w:cs="仿宋"/>
                <w:color w:val="000000"/>
                <w:kern w:val="0"/>
                <w:sz w:val="21"/>
                <w:szCs w:val="21"/>
                <w:lang w:val="en-US" w:eastAsia="zh-CN" w:bidi="ar-SA"/>
              </w:rPr>
            </w:pPr>
          </w:p>
        </w:tc>
        <w:tc>
          <w:tcPr>
            <w:tcW w:w="1455" w:type="dxa"/>
            <w:tcBorders>
              <w:top w:val="nil"/>
              <w:left w:val="nil"/>
              <w:bottom w:val="single" w:color="auto" w:sz="4" w:space="0"/>
              <w:right w:val="single" w:color="auto" w:sz="4" w:space="0"/>
            </w:tcBorders>
            <w:noWrap w:val="0"/>
            <w:vAlign w:val="center"/>
          </w:tcPr>
          <w:p w14:paraId="1445A4B3">
            <w:pPr>
              <w:widowControl/>
              <w:spacing w:line="220" w:lineRule="exact"/>
              <w:jc w:val="center"/>
              <w:rPr>
                <w:rFonts w:hint="eastAsia" w:ascii="仿宋" w:hAnsi="仿宋" w:eastAsia="仿宋" w:cs="仿宋"/>
                <w:color w:val="000000"/>
                <w:kern w:val="0"/>
                <w:sz w:val="21"/>
                <w:szCs w:val="21"/>
                <w:lang w:val="en-US" w:eastAsia="zh-CN" w:bidi="ar-SA"/>
              </w:rPr>
            </w:pPr>
          </w:p>
        </w:tc>
        <w:tc>
          <w:tcPr>
            <w:tcW w:w="1073" w:type="dxa"/>
            <w:tcBorders>
              <w:top w:val="nil"/>
              <w:left w:val="nil"/>
              <w:bottom w:val="single" w:color="auto" w:sz="4" w:space="0"/>
              <w:right w:val="single" w:color="auto" w:sz="4" w:space="0"/>
            </w:tcBorders>
            <w:noWrap w:val="0"/>
            <w:vAlign w:val="center"/>
          </w:tcPr>
          <w:p w14:paraId="6BB6F8CE">
            <w:pPr>
              <w:widowControl/>
              <w:spacing w:line="220" w:lineRule="exact"/>
              <w:jc w:val="center"/>
              <w:rPr>
                <w:rFonts w:hint="eastAsia" w:ascii="仿宋" w:hAnsi="仿宋" w:eastAsia="仿宋" w:cs="仿宋"/>
                <w:color w:val="000000"/>
                <w:kern w:val="0"/>
                <w:sz w:val="21"/>
                <w:szCs w:val="21"/>
                <w:lang w:val="en-US" w:eastAsia="zh-CN" w:bidi="ar-SA"/>
              </w:rPr>
            </w:pPr>
          </w:p>
        </w:tc>
      </w:tr>
      <w:tr w14:paraId="6F0A908E">
        <w:tblPrEx>
          <w:tblCellMar>
            <w:top w:w="0" w:type="dxa"/>
            <w:left w:w="108" w:type="dxa"/>
            <w:bottom w:w="0" w:type="dxa"/>
            <w:right w:w="108" w:type="dxa"/>
          </w:tblCellMar>
        </w:tblPrEx>
        <w:trPr>
          <w:trHeight w:val="658" w:hRule="atLeast"/>
          <w:jc w:val="center"/>
        </w:trPr>
        <w:tc>
          <w:tcPr>
            <w:tcW w:w="716" w:type="dxa"/>
            <w:vMerge w:val="continue"/>
            <w:tcBorders>
              <w:left w:val="single" w:color="auto" w:sz="4" w:space="0"/>
              <w:right w:val="single" w:color="auto" w:sz="4" w:space="0"/>
            </w:tcBorders>
            <w:noWrap w:val="0"/>
            <w:vAlign w:val="center"/>
          </w:tcPr>
          <w:p w14:paraId="13ACCAD5">
            <w:pPr>
              <w:widowControl/>
              <w:spacing w:line="220" w:lineRule="exact"/>
              <w:jc w:val="left"/>
              <w:rPr>
                <w:rFonts w:hint="eastAsia" w:ascii="仿宋" w:hAnsi="仿宋" w:eastAsia="仿宋" w:cs="仿宋"/>
                <w:color w:val="000000"/>
                <w:kern w:val="0"/>
                <w:sz w:val="21"/>
                <w:szCs w:val="21"/>
              </w:rPr>
            </w:pPr>
          </w:p>
        </w:tc>
        <w:tc>
          <w:tcPr>
            <w:tcW w:w="851" w:type="dxa"/>
            <w:vMerge w:val="restart"/>
            <w:tcBorders>
              <w:top w:val="single" w:color="auto" w:sz="4" w:space="0"/>
              <w:left w:val="single" w:color="auto" w:sz="4" w:space="0"/>
              <w:right w:val="single" w:color="auto" w:sz="4" w:space="0"/>
            </w:tcBorders>
            <w:noWrap w:val="0"/>
            <w:vAlign w:val="center"/>
          </w:tcPr>
          <w:p w14:paraId="4676D58F">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满意</w:t>
            </w:r>
            <w:r>
              <w:rPr>
                <w:rFonts w:hint="eastAsia" w:ascii="仿宋" w:hAnsi="仿宋" w:eastAsia="仿宋" w:cs="仿宋"/>
                <w:color w:val="000000"/>
                <w:kern w:val="0"/>
                <w:sz w:val="21"/>
                <w:szCs w:val="21"/>
                <w:lang w:val="en-US" w:eastAsia="zh-CN"/>
              </w:rPr>
              <w:t>度</w:t>
            </w:r>
            <w:r>
              <w:rPr>
                <w:rFonts w:hint="eastAsia" w:ascii="仿宋" w:hAnsi="仿宋" w:eastAsia="仿宋" w:cs="仿宋"/>
                <w:color w:val="000000"/>
                <w:kern w:val="0"/>
                <w:sz w:val="21"/>
                <w:szCs w:val="21"/>
              </w:rPr>
              <w:t>指标（10分）</w:t>
            </w:r>
          </w:p>
        </w:tc>
        <w:tc>
          <w:tcPr>
            <w:tcW w:w="770" w:type="dxa"/>
            <w:vMerge w:val="restart"/>
            <w:tcBorders>
              <w:top w:val="single" w:color="000000" w:sz="6" w:space="0"/>
              <w:left w:val="single" w:color="auto" w:sz="4" w:space="0"/>
              <w:right w:val="single" w:color="auto" w:sz="4" w:space="0"/>
            </w:tcBorders>
            <w:noWrap w:val="0"/>
            <w:vAlign w:val="center"/>
          </w:tcPr>
          <w:p w14:paraId="04DB2821">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sz w:val="20"/>
                <w:szCs w:val="20"/>
              </w:rPr>
              <w:t>服务对象满意度指标</w:t>
            </w:r>
          </w:p>
        </w:tc>
        <w:tc>
          <w:tcPr>
            <w:tcW w:w="1603" w:type="dxa"/>
            <w:gridSpan w:val="2"/>
            <w:tcBorders>
              <w:top w:val="single" w:color="auto" w:sz="4" w:space="0"/>
              <w:left w:val="nil"/>
              <w:bottom w:val="single" w:color="auto" w:sz="4" w:space="0"/>
              <w:right w:val="single" w:color="auto" w:sz="4" w:space="0"/>
            </w:tcBorders>
            <w:noWrap w:val="0"/>
            <w:vAlign w:val="center"/>
          </w:tcPr>
          <w:p w14:paraId="543F2437">
            <w:pPr>
              <w:spacing w:line="240" w:lineRule="exact"/>
              <w:jc w:val="center"/>
              <w:rPr>
                <w:rFonts w:hint="eastAsia" w:ascii="仿宋" w:hAnsi="仿宋" w:eastAsia="仿宋" w:cs="仿宋"/>
                <w:kern w:val="2"/>
                <w:sz w:val="20"/>
                <w:szCs w:val="20"/>
                <w:lang w:val="en-US" w:eastAsia="zh-CN" w:bidi="ar-SA"/>
              </w:rPr>
            </w:pPr>
            <w:r>
              <w:rPr>
                <w:rFonts w:hint="eastAsia" w:ascii="仿宋" w:hAnsi="仿宋" w:eastAsia="仿宋" w:cs="仿宋"/>
                <w:sz w:val="20"/>
                <w:szCs w:val="20"/>
              </w:rPr>
              <w:t>受益对象满意度</w:t>
            </w:r>
          </w:p>
        </w:tc>
        <w:tc>
          <w:tcPr>
            <w:tcW w:w="1487" w:type="dxa"/>
            <w:tcBorders>
              <w:top w:val="single" w:color="auto" w:sz="4" w:space="0"/>
              <w:left w:val="nil"/>
              <w:bottom w:val="single" w:color="auto" w:sz="4" w:space="0"/>
              <w:right w:val="single" w:color="auto" w:sz="4" w:space="0"/>
            </w:tcBorders>
            <w:noWrap w:val="0"/>
            <w:vAlign w:val="center"/>
          </w:tcPr>
          <w:p w14:paraId="59BD162B">
            <w:pPr>
              <w:spacing w:line="240" w:lineRule="exact"/>
              <w:rPr>
                <w:rFonts w:hint="eastAsia" w:ascii="仿宋" w:hAnsi="仿宋" w:eastAsia="仿宋" w:cs="仿宋"/>
                <w:kern w:val="2"/>
                <w:sz w:val="20"/>
                <w:szCs w:val="20"/>
                <w:lang w:val="en-US" w:eastAsia="zh-CN" w:bidi="ar-SA"/>
              </w:rPr>
            </w:pPr>
            <w:r>
              <w:rPr>
                <w:rFonts w:hint="eastAsia" w:ascii="仿宋" w:hAnsi="仿宋" w:eastAsia="仿宋" w:cs="仿宋"/>
                <w:sz w:val="20"/>
                <w:szCs w:val="20"/>
                <w:lang w:val="en-US" w:eastAsia="zh-CN"/>
              </w:rPr>
              <w:t>100%</w:t>
            </w:r>
          </w:p>
        </w:tc>
        <w:tc>
          <w:tcPr>
            <w:tcW w:w="1635" w:type="dxa"/>
            <w:tcBorders>
              <w:top w:val="single" w:color="auto" w:sz="4" w:space="0"/>
              <w:left w:val="nil"/>
              <w:bottom w:val="single" w:color="auto" w:sz="4" w:space="0"/>
              <w:right w:val="single" w:color="auto" w:sz="4" w:space="0"/>
            </w:tcBorders>
            <w:noWrap w:val="0"/>
            <w:vAlign w:val="center"/>
          </w:tcPr>
          <w:p w14:paraId="419DDAD6">
            <w:pPr>
              <w:widowControl/>
              <w:spacing w:line="220" w:lineRule="exact"/>
              <w:jc w:val="left"/>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100%</w:t>
            </w:r>
          </w:p>
        </w:tc>
        <w:tc>
          <w:tcPr>
            <w:tcW w:w="825" w:type="dxa"/>
            <w:tcBorders>
              <w:top w:val="single" w:color="auto" w:sz="4" w:space="0"/>
              <w:left w:val="nil"/>
              <w:bottom w:val="single" w:color="auto" w:sz="4" w:space="0"/>
              <w:right w:val="single" w:color="auto" w:sz="4" w:space="0"/>
            </w:tcBorders>
            <w:noWrap w:val="0"/>
            <w:vAlign w:val="center"/>
          </w:tcPr>
          <w:p w14:paraId="6A327BC8">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455" w:type="dxa"/>
            <w:tcBorders>
              <w:top w:val="single" w:color="auto" w:sz="4" w:space="0"/>
              <w:left w:val="nil"/>
              <w:bottom w:val="single" w:color="auto" w:sz="4" w:space="0"/>
              <w:right w:val="single" w:color="auto" w:sz="4" w:space="0"/>
            </w:tcBorders>
            <w:noWrap w:val="0"/>
            <w:vAlign w:val="center"/>
          </w:tcPr>
          <w:p w14:paraId="191895A9">
            <w:pPr>
              <w:widowControl/>
              <w:spacing w:line="220" w:lineRule="exact"/>
              <w:jc w:val="center"/>
              <w:rPr>
                <w:rFonts w:hint="eastAsia" w:ascii="仿宋" w:hAnsi="仿宋" w:eastAsia="仿宋" w:cs="仿宋"/>
                <w:color w:val="000000"/>
                <w:kern w:val="0"/>
                <w:sz w:val="21"/>
                <w:szCs w:val="21"/>
                <w:lang w:val="en-US" w:eastAsia="zh-CN" w:bidi="ar-SA"/>
              </w:rPr>
            </w:pPr>
            <w:r>
              <w:rPr>
                <w:rFonts w:hint="eastAsia" w:ascii="仿宋" w:hAnsi="仿宋" w:eastAsia="仿宋" w:cs="仿宋"/>
                <w:color w:val="000000"/>
                <w:kern w:val="0"/>
                <w:szCs w:val="21"/>
                <w:lang w:val="en-US" w:eastAsia="zh-CN"/>
              </w:rPr>
              <w:t>10</w:t>
            </w:r>
          </w:p>
        </w:tc>
        <w:tc>
          <w:tcPr>
            <w:tcW w:w="1073" w:type="dxa"/>
            <w:tcBorders>
              <w:top w:val="single" w:color="auto" w:sz="4" w:space="0"/>
              <w:left w:val="nil"/>
              <w:bottom w:val="single" w:color="auto" w:sz="4" w:space="0"/>
              <w:right w:val="single" w:color="auto" w:sz="4" w:space="0"/>
            </w:tcBorders>
            <w:noWrap w:val="0"/>
            <w:vAlign w:val="center"/>
          </w:tcPr>
          <w:p w14:paraId="20B259C2">
            <w:pPr>
              <w:widowControl/>
              <w:spacing w:line="220" w:lineRule="exact"/>
              <w:jc w:val="center"/>
              <w:rPr>
                <w:rFonts w:hint="eastAsia" w:ascii="仿宋" w:hAnsi="仿宋" w:eastAsia="仿宋" w:cs="仿宋"/>
                <w:color w:val="000000"/>
                <w:kern w:val="0"/>
                <w:sz w:val="21"/>
                <w:szCs w:val="21"/>
                <w:lang w:val="en-US" w:eastAsia="zh-CN" w:bidi="ar-SA"/>
              </w:rPr>
            </w:pPr>
          </w:p>
        </w:tc>
      </w:tr>
      <w:tr w14:paraId="554C64C7">
        <w:tblPrEx>
          <w:tblCellMar>
            <w:top w:w="0" w:type="dxa"/>
            <w:left w:w="108" w:type="dxa"/>
            <w:bottom w:w="0" w:type="dxa"/>
            <w:right w:w="108" w:type="dxa"/>
          </w:tblCellMar>
        </w:tblPrEx>
        <w:trPr>
          <w:trHeight w:val="668" w:hRule="atLeast"/>
          <w:jc w:val="center"/>
        </w:trPr>
        <w:tc>
          <w:tcPr>
            <w:tcW w:w="716" w:type="dxa"/>
            <w:tcBorders>
              <w:left w:val="single" w:color="auto" w:sz="4" w:space="0"/>
              <w:right w:val="single" w:color="auto" w:sz="4" w:space="0"/>
            </w:tcBorders>
            <w:noWrap w:val="0"/>
            <w:vAlign w:val="center"/>
          </w:tcPr>
          <w:p w14:paraId="66986C0E">
            <w:pPr>
              <w:widowControl/>
              <w:spacing w:line="220" w:lineRule="exact"/>
              <w:jc w:val="left"/>
              <w:rPr>
                <w:rFonts w:hint="eastAsia" w:ascii="仿宋" w:hAnsi="仿宋" w:eastAsia="仿宋" w:cs="仿宋"/>
                <w:color w:val="000000"/>
                <w:kern w:val="0"/>
                <w:sz w:val="21"/>
                <w:szCs w:val="21"/>
              </w:rPr>
            </w:pPr>
          </w:p>
        </w:tc>
        <w:tc>
          <w:tcPr>
            <w:tcW w:w="851" w:type="dxa"/>
            <w:vMerge w:val="continue"/>
            <w:tcBorders>
              <w:left w:val="single" w:color="auto" w:sz="4" w:space="0"/>
              <w:bottom w:val="single" w:color="auto" w:sz="4" w:space="0"/>
              <w:right w:val="single" w:color="auto" w:sz="4" w:space="0"/>
            </w:tcBorders>
            <w:noWrap w:val="0"/>
            <w:vAlign w:val="center"/>
          </w:tcPr>
          <w:p w14:paraId="1A53B7A9">
            <w:pPr>
              <w:widowControl/>
              <w:spacing w:line="220" w:lineRule="exact"/>
              <w:jc w:val="center"/>
              <w:rPr>
                <w:rFonts w:hint="eastAsia" w:ascii="仿宋" w:hAnsi="仿宋" w:eastAsia="仿宋" w:cs="仿宋"/>
                <w:color w:val="000000"/>
                <w:kern w:val="0"/>
                <w:sz w:val="21"/>
                <w:szCs w:val="21"/>
              </w:rPr>
            </w:pPr>
          </w:p>
        </w:tc>
        <w:tc>
          <w:tcPr>
            <w:tcW w:w="770" w:type="dxa"/>
            <w:vMerge w:val="continue"/>
            <w:tcBorders>
              <w:left w:val="single" w:color="auto" w:sz="4" w:space="0"/>
              <w:right w:val="single" w:color="auto" w:sz="4" w:space="0"/>
            </w:tcBorders>
            <w:noWrap w:val="0"/>
            <w:vAlign w:val="center"/>
          </w:tcPr>
          <w:p w14:paraId="43C5F9B5">
            <w:pPr>
              <w:widowControl/>
              <w:spacing w:line="220" w:lineRule="exact"/>
              <w:jc w:val="left"/>
              <w:rPr>
                <w:rFonts w:hint="eastAsia" w:ascii="仿宋" w:hAnsi="仿宋" w:eastAsia="仿宋" w:cs="仿宋"/>
                <w:sz w:val="20"/>
                <w:szCs w:val="20"/>
              </w:rPr>
            </w:pPr>
          </w:p>
        </w:tc>
        <w:tc>
          <w:tcPr>
            <w:tcW w:w="1603" w:type="dxa"/>
            <w:gridSpan w:val="2"/>
            <w:tcBorders>
              <w:top w:val="single" w:color="auto" w:sz="4" w:space="0"/>
              <w:left w:val="nil"/>
              <w:bottom w:val="single" w:color="auto" w:sz="4" w:space="0"/>
              <w:right w:val="single" w:color="auto" w:sz="4" w:space="0"/>
            </w:tcBorders>
            <w:noWrap w:val="0"/>
            <w:vAlign w:val="center"/>
          </w:tcPr>
          <w:p w14:paraId="58A59F46">
            <w:pPr>
              <w:spacing w:line="240" w:lineRule="exact"/>
              <w:jc w:val="center"/>
              <w:rPr>
                <w:rFonts w:hint="eastAsia" w:ascii="仿宋" w:hAnsi="仿宋" w:eastAsia="仿宋" w:cs="仿宋"/>
                <w:sz w:val="20"/>
                <w:szCs w:val="20"/>
              </w:rPr>
            </w:pPr>
          </w:p>
        </w:tc>
        <w:tc>
          <w:tcPr>
            <w:tcW w:w="1487" w:type="dxa"/>
            <w:tcBorders>
              <w:top w:val="single" w:color="auto" w:sz="4" w:space="0"/>
              <w:left w:val="nil"/>
              <w:bottom w:val="single" w:color="auto" w:sz="4" w:space="0"/>
              <w:right w:val="single" w:color="auto" w:sz="4" w:space="0"/>
            </w:tcBorders>
            <w:noWrap w:val="0"/>
            <w:vAlign w:val="center"/>
          </w:tcPr>
          <w:p w14:paraId="128F8AA8">
            <w:pPr>
              <w:spacing w:line="240" w:lineRule="exact"/>
              <w:rPr>
                <w:rFonts w:hint="eastAsia" w:ascii="仿宋" w:hAnsi="仿宋" w:eastAsia="仿宋" w:cs="仿宋"/>
                <w:sz w:val="20"/>
                <w:szCs w:val="20"/>
              </w:rPr>
            </w:pPr>
          </w:p>
        </w:tc>
        <w:tc>
          <w:tcPr>
            <w:tcW w:w="1635" w:type="dxa"/>
            <w:tcBorders>
              <w:top w:val="single" w:color="auto" w:sz="4" w:space="0"/>
              <w:left w:val="nil"/>
              <w:bottom w:val="single" w:color="auto" w:sz="4" w:space="0"/>
              <w:right w:val="single" w:color="auto" w:sz="4" w:space="0"/>
            </w:tcBorders>
            <w:noWrap w:val="0"/>
            <w:vAlign w:val="center"/>
          </w:tcPr>
          <w:p w14:paraId="1947DCFF">
            <w:pPr>
              <w:widowControl/>
              <w:spacing w:line="220" w:lineRule="exact"/>
              <w:jc w:val="left"/>
              <w:rPr>
                <w:rFonts w:hint="eastAsia" w:ascii="仿宋" w:hAnsi="仿宋" w:eastAsia="仿宋" w:cs="仿宋"/>
                <w:color w:val="000000"/>
                <w:kern w:val="0"/>
                <w:sz w:val="21"/>
                <w:szCs w:val="21"/>
              </w:rPr>
            </w:pPr>
          </w:p>
        </w:tc>
        <w:tc>
          <w:tcPr>
            <w:tcW w:w="825" w:type="dxa"/>
            <w:tcBorders>
              <w:top w:val="single" w:color="auto" w:sz="4" w:space="0"/>
              <w:left w:val="nil"/>
              <w:bottom w:val="single" w:color="auto" w:sz="4" w:space="0"/>
              <w:right w:val="single" w:color="auto" w:sz="4" w:space="0"/>
            </w:tcBorders>
            <w:noWrap w:val="0"/>
            <w:vAlign w:val="center"/>
          </w:tcPr>
          <w:p w14:paraId="1503EC62">
            <w:pPr>
              <w:widowControl/>
              <w:spacing w:line="220" w:lineRule="exact"/>
              <w:jc w:val="center"/>
              <w:rPr>
                <w:rFonts w:hint="eastAsia" w:ascii="仿宋" w:hAnsi="仿宋" w:eastAsia="仿宋" w:cs="仿宋"/>
                <w:color w:val="000000"/>
                <w:kern w:val="0"/>
                <w:sz w:val="21"/>
                <w:szCs w:val="21"/>
              </w:rPr>
            </w:pPr>
          </w:p>
        </w:tc>
        <w:tc>
          <w:tcPr>
            <w:tcW w:w="1455" w:type="dxa"/>
            <w:tcBorders>
              <w:top w:val="single" w:color="auto" w:sz="4" w:space="0"/>
              <w:left w:val="nil"/>
              <w:bottom w:val="single" w:color="auto" w:sz="4" w:space="0"/>
              <w:right w:val="single" w:color="auto" w:sz="4" w:space="0"/>
            </w:tcBorders>
            <w:noWrap w:val="0"/>
            <w:vAlign w:val="center"/>
          </w:tcPr>
          <w:p w14:paraId="30984F42">
            <w:pPr>
              <w:widowControl/>
              <w:spacing w:line="220" w:lineRule="exact"/>
              <w:jc w:val="center"/>
              <w:rPr>
                <w:rFonts w:hint="eastAsia" w:ascii="仿宋" w:hAnsi="仿宋" w:eastAsia="仿宋" w:cs="仿宋"/>
                <w:color w:val="000000"/>
                <w:kern w:val="0"/>
                <w:sz w:val="21"/>
                <w:szCs w:val="21"/>
              </w:rPr>
            </w:pPr>
          </w:p>
        </w:tc>
        <w:tc>
          <w:tcPr>
            <w:tcW w:w="1073" w:type="dxa"/>
            <w:tcBorders>
              <w:top w:val="single" w:color="auto" w:sz="4" w:space="0"/>
              <w:left w:val="nil"/>
              <w:bottom w:val="single" w:color="auto" w:sz="4" w:space="0"/>
              <w:right w:val="single" w:color="auto" w:sz="4" w:space="0"/>
            </w:tcBorders>
            <w:noWrap w:val="0"/>
            <w:vAlign w:val="center"/>
          </w:tcPr>
          <w:p w14:paraId="54D1A38E">
            <w:pPr>
              <w:widowControl/>
              <w:spacing w:line="220" w:lineRule="exact"/>
              <w:jc w:val="center"/>
              <w:rPr>
                <w:rFonts w:hint="eastAsia" w:ascii="仿宋" w:hAnsi="仿宋" w:eastAsia="仿宋" w:cs="仿宋"/>
                <w:color w:val="000000"/>
                <w:kern w:val="0"/>
                <w:sz w:val="21"/>
                <w:szCs w:val="21"/>
              </w:rPr>
            </w:pPr>
          </w:p>
        </w:tc>
      </w:tr>
      <w:tr w14:paraId="64324A7A">
        <w:tblPrEx>
          <w:tblCellMar>
            <w:top w:w="0" w:type="dxa"/>
            <w:left w:w="108" w:type="dxa"/>
            <w:bottom w:w="0" w:type="dxa"/>
            <w:right w:w="108" w:type="dxa"/>
          </w:tblCellMar>
        </w:tblPrEx>
        <w:trPr>
          <w:trHeight w:val="473" w:hRule="atLeast"/>
          <w:jc w:val="center"/>
        </w:trPr>
        <w:tc>
          <w:tcPr>
            <w:tcW w:w="7062" w:type="dxa"/>
            <w:gridSpan w:val="7"/>
            <w:tcBorders>
              <w:top w:val="single" w:color="auto" w:sz="4" w:space="0"/>
              <w:left w:val="single" w:color="auto" w:sz="4" w:space="0"/>
              <w:bottom w:val="single" w:color="auto" w:sz="4" w:space="0"/>
              <w:right w:val="single" w:color="000000" w:sz="4" w:space="0"/>
            </w:tcBorders>
            <w:noWrap w:val="0"/>
            <w:vAlign w:val="center"/>
          </w:tcPr>
          <w:p w14:paraId="08E350E7">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总分</w:t>
            </w:r>
          </w:p>
        </w:tc>
        <w:tc>
          <w:tcPr>
            <w:tcW w:w="825" w:type="dxa"/>
            <w:tcBorders>
              <w:top w:val="nil"/>
              <w:left w:val="nil"/>
              <w:bottom w:val="single" w:color="auto" w:sz="4" w:space="0"/>
              <w:right w:val="single" w:color="auto" w:sz="4" w:space="0"/>
            </w:tcBorders>
            <w:noWrap w:val="0"/>
            <w:vAlign w:val="center"/>
          </w:tcPr>
          <w:p w14:paraId="576E2AAD">
            <w:pPr>
              <w:widowControl/>
              <w:spacing w:line="220" w:lineRule="exact"/>
              <w:jc w:val="center"/>
              <w:rPr>
                <w:rFonts w:hint="eastAsia" w:ascii="仿宋" w:hAnsi="仿宋" w:eastAsia="仿宋" w:cs="仿宋"/>
                <w:color w:val="000000"/>
                <w:kern w:val="0"/>
                <w:sz w:val="21"/>
                <w:szCs w:val="21"/>
              </w:rPr>
            </w:pPr>
            <w:r>
              <w:rPr>
                <w:rFonts w:hint="eastAsia" w:ascii="仿宋" w:hAnsi="仿宋" w:eastAsia="仿宋" w:cs="仿宋"/>
                <w:color w:val="000000"/>
                <w:kern w:val="0"/>
                <w:sz w:val="21"/>
                <w:szCs w:val="21"/>
              </w:rPr>
              <w:t>100</w:t>
            </w:r>
          </w:p>
        </w:tc>
        <w:tc>
          <w:tcPr>
            <w:tcW w:w="1455" w:type="dxa"/>
            <w:tcBorders>
              <w:top w:val="nil"/>
              <w:left w:val="nil"/>
              <w:bottom w:val="single" w:color="auto" w:sz="4" w:space="0"/>
              <w:right w:val="single" w:color="auto" w:sz="4" w:space="0"/>
            </w:tcBorders>
            <w:noWrap w:val="0"/>
            <w:vAlign w:val="center"/>
          </w:tcPr>
          <w:p w14:paraId="6E256198">
            <w:pPr>
              <w:widowControl/>
              <w:spacing w:line="220" w:lineRule="exact"/>
              <w:jc w:val="center"/>
              <w:rPr>
                <w:rFonts w:hint="default" w:ascii="仿宋" w:hAnsi="仿宋" w:eastAsia="仿宋" w:cs="仿宋"/>
                <w:color w:val="000000"/>
                <w:kern w:val="0"/>
                <w:sz w:val="21"/>
                <w:szCs w:val="21"/>
                <w:lang w:val="en-US" w:eastAsia="zh-CN"/>
              </w:rPr>
            </w:pPr>
            <w:r>
              <w:rPr>
                <w:rFonts w:hint="eastAsia" w:ascii="仿宋" w:hAnsi="仿宋" w:eastAsia="仿宋" w:cs="仿宋"/>
                <w:color w:val="000000"/>
                <w:kern w:val="0"/>
                <w:sz w:val="21"/>
                <w:szCs w:val="21"/>
                <w:lang w:val="en-US" w:eastAsia="zh-CN"/>
              </w:rPr>
              <w:t>95</w:t>
            </w:r>
          </w:p>
        </w:tc>
        <w:tc>
          <w:tcPr>
            <w:tcW w:w="1073" w:type="dxa"/>
            <w:tcBorders>
              <w:top w:val="nil"/>
              <w:left w:val="nil"/>
              <w:bottom w:val="single" w:color="auto" w:sz="4" w:space="0"/>
              <w:right w:val="single" w:color="auto" w:sz="4" w:space="0"/>
            </w:tcBorders>
            <w:noWrap w:val="0"/>
            <w:vAlign w:val="center"/>
          </w:tcPr>
          <w:p w14:paraId="676FEC2A">
            <w:pPr>
              <w:widowControl/>
              <w:spacing w:line="220" w:lineRule="exact"/>
              <w:jc w:val="center"/>
              <w:rPr>
                <w:rFonts w:hint="eastAsia" w:ascii="仿宋" w:hAnsi="仿宋" w:eastAsia="仿宋" w:cs="仿宋"/>
                <w:color w:val="000000"/>
                <w:kern w:val="0"/>
                <w:sz w:val="21"/>
                <w:szCs w:val="21"/>
              </w:rPr>
            </w:pPr>
          </w:p>
        </w:tc>
      </w:tr>
    </w:tbl>
    <w:p w14:paraId="479E63D1">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firstLine="480" w:firstLineChars="200"/>
        <w:jc w:val="both"/>
        <w:rPr>
          <w:rFonts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说明：1.分值设定100分，其中预算执行率10分、产出指标50分、效益指标30分、满意度指标10分。除预算执行率外的指标应根据权重自行合理设定分值。</w:t>
      </w:r>
    </w:p>
    <w:p w14:paraId="0DAF1C2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960" w:right="0" w:firstLine="480" w:firstLineChars="2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2.综合评价等级分为优秀（</w:t>
      </w:r>
      <w:r>
        <w:rPr>
          <w:rFonts w:hint="eastAsia" w:ascii="仿宋_GB2312" w:eastAsia="仿宋_GB2312" w:cs="仿宋_GB2312"/>
          <w:i w:val="0"/>
          <w:iCs w:val="0"/>
          <w:caps w:val="0"/>
          <w:color w:val="000000"/>
          <w:spacing w:val="0"/>
          <w:sz w:val="24"/>
          <w:szCs w:val="24"/>
          <w:shd w:val="clear" w:fill="FFFFFF"/>
          <w:lang w:val="en-US" w:eastAsia="zh-CN"/>
        </w:rPr>
        <w:t>大于</w:t>
      </w:r>
      <w:r>
        <w:rPr>
          <w:rFonts w:hint="default" w:ascii="仿宋_GB2312" w:eastAsia="仿宋_GB2312" w:cs="仿宋_GB2312"/>
          <w:i w:val="0"/>
          <w:iCs w:val="0"/>
          <w:caps w:val="0"/>
          <w:color w:val="000000"/>
          <w:spacing w:val="0"/>
          <w:sz w:val="24"/>
          <w:szCs w:val="24"/>
          <w:shd w:val="clear" w:fill="FFFFFF"/>
        </w:rPr>
        <w:t>90</w:t>
      </w:r>
      <w:r>
        <w:rPr>
          <w:rFonts w:hint="eastAsia" w:ascii="仿宋_GB2312" w:eastAsia="仿宋_GB2312" w:cs="仿宋_GB2312"/>
          <w:i w:val="0"/>
          <w:iCs w:val="0"/>
          <w:caps w:val="0"/>
          <w:color w:val="000000"/>
          <w:spacing w:val="0"/>
          <w:sz w:val="24"/>
          <w:szCs w:val="24"/>
          <w:shd w:val="clear" w:fill="FFFFFF"/>
          <w:lang w:val="en-US" w:eastAsia="zh-CN"/>
        </w:rPr>
        <w:t>分</w:t>
      </w:r>
      <w:r>
        <w:rPr>
          <w:rFonts w:hint="default" w:ascii="仿宋_GB2312" w:eastAsia="仿宋_GB2312" w:cs="仿宋_GB2312"/>
          <w:i w:val="0"/>
          <w:iCs w:val="0"/>
          <w:caps w:val="0"/>
          <w:color w:val="000000"/>
          <w:spacing w:val="0"/>
          <w:sz w:val="24"/>
          <w:szCs w:val="24"/>
          <w:shd w:val="clear" w:fill="FFFFFF"/>
        </w:rPr>
        <w:t>）、良好（</w:t>
      </w:r>
      <w:r>
        <w:rPr>
          <w:rFonts w:hint="eastAsia" w:ascii="仿宋_GB2312" w:eastAsia="仿宋_GB2312" w:cs="仿宋_GB2312"/>
          <w:i w:val="0"/>
          <w:iCs w:val="0"/>
          <w:caps w:val="0"/>
          <w:color w:val="000000"/>
          <w:spacing w:val="0"/>
          <w:sz w:val="24"/>
          <w:szCs w:val="24"/>
          <w:shd w:val="clear" w:fill="FFFFFF"/>
          <w:lang w:val="en-US" w:eastAsia="zh-CN"/>
        </w:rPr>
        <w:t>80-90分</w:t>
      </w:r>
      <w:r>
        <w:rPr>
          <w:rFonts w:hint="default" w:ascii="仿宋_GB2312" w:eastAsia="仿宋_GB2312" w:cs="仿宋_GB2312"/>
          <w:i w:val="0"/>
          <w:iCs w:val="0"/>
          <w:caps w:val="0"/>
          <w:color w:val="000000"/>
          <w:spacing w:val="0"/>
          <w:sz w:val="24"/>
          <w:szCs w:val="24"/>
          <w:shd w:val="clear" w:fill="FFFFFF"/>
        </w:rPr>
        <w:t>）、较差（</w:t>
      </w:r>
      <w:r>
        <w:rPr>
          <w:rFonts w:hint="eastAsia" w:ascii="仿宋_GB2312" w:eastAsia="仿宋_GB2312" w:cs="仿宋_GB2312"/>
          <w:i w:val="0"/>
          <w:iCs w:val="0"/>
          <w:caps w:val="0"/>
          <w:color w:val="000000"/>
          <w:spacing w:val="0"/>
          <w:sz w:val="24"/>
          <w:szCs w:val="24"/>
          <w:shd w:val="clear" w:fill="FFFFFF"/>
          <w:lang w:val="en-US" w:eastAsia="zh-CN"/>
        </w:rPr>
        <w:t>60-80分</w:t>
      </w:r>
      <w:r>
        <w:rPr>
          <w:rFonts w:hint="default" w:ascii="仿宋_GB2312" w:eastAsia="仿宋_GB2312" w:cs="仿宋_GB2312"/>
          <w:i w:val="0"/>
          <w:iCs w:val="0"/>
          <w:caps w:val="0"/>
          <w:color w:val="000000"/>
          <w:spacing w:val="0"/>
          <w:sz w:val="24"/>
          <w:szCs w:val="24"/>
          <w:shd w:val="clear" w:fill="FFFFFF"/>
        </w:rPr>
        <w:t>）、 差（</w:t>
      </w:r>
      <w:r>
        <w:rPr>
          <w:rFonts w:hint="eastAsia" w:ascii="仿宋_GB2312" w:eastAsia="仿宋_GB2312" w:cs="仿宋_GB2312"/>
          <w:i w:val="0"/>
          <w:iCs w:val="0"/>
          <w:caps w:val="0"/>
          <w:color w:val="000000"/>
          <w:spacing w:val="0"/>
          <w:sz w:val="24"/>
          <w:szCs w:val="24"/>
          <w:shd w:val="clear" w:fill="FFFFFF"/>
          <w:lang w:val="en-US" w:eastAsia="zh-CN"/>
        </w:rPr>
        <w:t>小于60分</w:t>
      </w:r>
      <w:r>
        <w:rPr>
          <w:rFonts w:hint="default" w:ascii="仿宋_GB2312" w:eastAsia="仿宋_GB2312" w:cs="仿宋_GB2312"/>
          <w:i w:val="0"/>
          <w:iCs w:val="0"/>
          <w:caps w:val="0"/>
          <w:color w:val="000000"/>
          <w:spacing w:val="0"/>
          <w:sz w:val="24"/>
          <w:szCs w:val="24"/>
          <w:shd w:val="clear" w:fill="FFFFFF"/>
        </w:rPr>
        <w:t>）</w:t>
      </w:r>
      <w:r>
        <w:rPr>
          <w:rFonts w:ascii="Calibri" w:hAnsi="Calibri" w:eastAsia="仿宋_GB2312" w:cs="Calibri"/>
          <w:i w:val="0"/>
          <w:iCs w:val="0"/>
          <w:caps w:val="0"/>
          <w:color w:val="000000"/>
          <w:spacing w:val="0"/>
          <w:sz w:val="24"/>
          <w:szCs w:val="24"/>
          <w:shd w:val="clear" w:fill="FFFFFF"/>
        </w:rPr>
        <w:t>。</w:t>
      </w:r>
    </w:p>
    <w:p w14:paraId="6C043F1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firstLineChars="200"/>
        <w:jc w:val="both"/>
        <w:rPr>
          <w:rFonts w:hint="default" w:ascii="仿宋_GB2312" w:eastAsia="仿宋_GB2312" w:cs="仿宋_GB2312"/>
          <w:i w:val="0"/>
          <w:iCs w:val="0"/>
          <w:caps w:val="0"/>
          <w:color w:val="000000"/>
          <w:spacing w:val="0"/>
          <w:sz w:val="24"/>
          <w:szCs w:val="24"/>
        </w:rPr>
      </w:pPr>
      <w:r>
        <w:rPr>
          <w:rFonts w:hint="default" w:ascii="仿宋_GB2312" w:eastAsia="仿宋_GB2312" w:cs="仿宋_GB2312"/>
          <w:i w:val="0"/>
          <w:iCs w:val="0"/>
          <w:caps w:val="0"/>
          <w:color w:val="000000"/>
          <w:spacing w:val="0"/>
          <w:sz w:val="24"/>
          <w:szCs w:val="24"/>
          <w:shd w:val="clear" w:fill="FFFFFF"/>
        </w:rPr>
        <w:t>     </w:t>
      </w:r>
      <w:r>
        <w:rPr>
          <w:rFonts w:hint="eastAsia" w:ascii="仿宋_GB2312" w:eastAsia="仿宋_GB2312" w:cs="仿宋_GB2312"/>
          <w:i w:val="0"/>
          <w:iCs w:val="0"/>
          <w:caps w:val="0"/>
          <w:color w:val="000000"/>
          <w:spacing w:val="0"/>
          <w:sz w:val="24"/>
          <w:szCs w:val="24"/>
          <w:shd w:val="clear" w:fill="FFFFFF"/>
          <w:lang w:val="en-US" w:eastAsia="zh-CN"/>
        </w:rPr>
        <w:t xml:space="preserve">  </w:t>
      </w:r>
      <w:r>
        <w:rPr>
          <w:rFonts w:hint="default" w:ascii="仿宋_GB2312" w:eastAsia="仿宋_GB2312" w:cs="仿宋_GB2312"/>
          <w:i w:val="0"/>
          <w:iCs w:val="0"/>
          <w:caps w:val="0"/>
          <w:color w:val="000000"/>
          <w:spacing w:val="0"/>
          <w:sz w:val="24"/>
          <w:szCs w:val="24"/>
          <w:shd w:val="clear" w:fill="FFFFFF"/>
        </w:rPr>
        <w:t>3.三级绩效指标按需自行增减行。个别不涉及的二级指标可删除不要。</w:t>
      </w:r>
    </w:p>
    <w:p w14:paraId="1BAFAC28">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黑体" w:hAnsi="黑体" w:eastAsia="黑体" w:cs="黑体"/>
          <w:i w:val="0"/>
          <w:iCs w:val="0"/>
          <w:caps w:val="0"/>
          <w:color w:val="000000"/>
          <w:spacing w:val="0"/>
          <w:sz w:val="32"/>
          <w:szCs w:val="32"/>
          <w:shd w:val="clear" w:fill="FFFFFF"/>
        </w:rPr>
      </w:pPr>
    </w:p>
    <w:p w14:paraId="25DF65D5">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黑体" w:hAnsi="黑体" w:eastAsia="黑体" w:cs="黑体"/>
          <w:i w:val="0"/>
          <w:iCs w:val="0"/>
          <w:caps w:val="0"/>
          <w:color w:val="000000"/>
          <w:spacing w:val="0"/>
          <w:sz w:val="32"/>
          <w:szCs w:val="32"/>
          <w:shd w:val="clear" w:fill="FFFFFF"/>
        </w:rPr>
      </w:pPr>
    </w:p>
    <w:p w14:paraId="7E4ADE23">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黑体" w:hAnsi="黑体" w:eastAsia="黑体" w:cs="黑体"/>
          <w:i w:val="0"/>
          <w:iCs w:val="0"/>
          <w:caps w:val="0"/>
          <w:color w:val="000000"/>
          <w:spacing w:val="0"/>
          <w:sz w:val="32"/>
          <w:szCs w:val="32"/>
          <w:shd w:val="clear" w:fill="FFFFFF"/>
        </w:rPr>
      </w:pPr>
    </w:p>
    <w:p w14:paraId="13AA9EC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黑体" w:hAnsi="黑体" w:eastAsia="黑体" w:cs="黑体"/>
          <w:i w:val="0"/>
          <w:iCs w:val="0"/>
          <w:caps w:val="0"/>
          <w:color w:val="000000"/>
          <w:spacing w:val="0"/>
          <w:sz w:val="32"/>
          <w:szCs w:val="32"/>
          <w:shd w:val="clear" w:fill="FFFFFF"/>
        </w:rPr>
      </w:pPr>
    </w:p>
    <w:p w14:paraId="2CF52BBB">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黑体" w:hAnsi="黑体" w:eastAsia="黑体" w:cs="黑体"/>
          <w:i w:val="0"/>
          <w:iCs w:val="0"/>
          <w:caps w:val="0"/>
          <w:color w:val="000000"/>
          <w:spacing w:val="0"/>
          <w:sz w:val="32"/>
          <w:szCs w:val="32"/>
          <w:shd w:val="clear" w:fill="FFFFFF"/>
        </w:rPr>
      </w:pPr>
    </w:p>
    <w:p w14:paraId="0A3952C7">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黑体" w:hAnsi="黑体" w:eastAsia="黑体" w:cs="黑体"/>
          <w:i w:val="0"/>
          <w:iCs w:val="0"/>
          <w:caps w:val="0"/>
          <w:color w:val="000000"/>
          <w:spacing w:val="0"/>
          <w:sz w:val="32"/>
          <w:szCs w:val="32"/>
          <w:shd w:val="clear" w:fill="FFFFFF"/>
        </w:rPr>
      </w:pPr>
    </w:p>
    <w:p w14:paraId="77920F6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黑体" w:hAnsi="黑体" w:eastAsia="黑体" w:cs="黑体"/>
          <w:i w:val="0"/>
          <w:iCs w:val="0"/>
          <w:caps w:val="0"/>
          <w:color w:val="000000"/>
          <w:spacing w:val="0"/>
          <w:sz w:val="32"/>
          <w:szCs w:val="32"/>
          <w:shd w:val="clear" w:fill="FFFFFF"/>
        </w:rPr>
      </w:pPr>
    </w:p>
    <w:p w14:paraId="4144B63D">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default" w:ascii="黑体" w:hAnsi="黑体" w:eastAsia="黑体" w:cs="黑体"/>
          <w:i w:val="0"/>
          <w:iCs w:val="0"/>
          <w:caps w:val="0"/>
          <w:color w:val="000000"/>
          <w:spacing w:val="0"/>
          <w:sz w:val="32"/>
          <w:szCs w:val="32"/>
          <w:shd w:val="clear" w:fill="FFFFFF"/>
          <w:lang w:val="en-US" w:eastAsia="zh-CN"/>
        </w:rPr>
      </w:pPr>
      <w:r>
        <w:rPr>
          <w:rFonts w:hint="eastAsia" w:ascii="黑体" w:hAnsi="黑体" w:eastAsia="黑体" w:cs="黑体"/>
          <w:i w:val="0"/>
          <w:iCs w:val="0"/>
          <w:caps w:val="0"/>
          <w:color w:val="000000"/>
          <w:spacing w:val="0"/>
          <w:sz w:val="32"/>
          <w:szCs w:val="32"/>
          <w:shd w:val="clear" w:fill="FFFFFF"/>
          <w:lang w:val="en-US" w:eastAsia="zh-CN"/>
        </w:rPr>
        <w:t xml:space="preserve">                        </w:t>
      </w:r>
    </w:p>
    <w:p w14:paraId="1EE20269">
      <w:pPr>
        <w:pStyle w:val="5"/>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640" w:firstLineChars="200"/>
        <w:jc w:val="both"/>
        <w:rPr>
          <w:rFonts w:hint="eastAsia" w:ascii="黑体" w:hAnsi="黑体" w:eastAsia="黑体" w:cs="黑体"/>
          <w:i w:val="0"/>
          <w:iCs w:val="0"/>
          <w:caps w:val="0"/>
          <w:color w:val="000000"/>
          <w:spacing w:val="0"/>
          <w:sz w:val="32"/>
          <w:szCs w:val="32"/>
          <w:shd w:val="clear" w:fill="FFFFFF"/>
        </w:rPr>
      </w:pPr>
    </w:p>
    <w:p w14:paraId="5AB5E025">
      <w:pPr>
        <w:spacing w:line="600" w:lineRule="exact"/>
        <w:rPr>
          <w:rFonts w:hint="default" w:ascii="仿宋" w:hAnsi="仿宋" w:eastAsia="仿宋"/>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00"/>
    <w:family w:val="auto"/>
    <w:pitch w:val="default"/>
    <w:sig w:usb0="00000000" w:usb1="00000000" w:usb2="00000000" w:usb3="00000000" w:csb0="00000000" w:csb1="00000000"/>
  </w:font>
  <w:font w:name="华文仿宋">
    <w:panose1 w:val="02010600040101010101"/>
    <w:charset w:val="86"/>
    <w:family w:val="auto"/>
    <w:pitch w:val="default"/>
    <w:sig w:usb0="00000287" w:usb1="080F0000" w:usb2="00000000" w:usb3="00000000" w:csb0="0004009F" w:csb1="DFD70000"/>
  </w:font>
  <w:font w:name="等线">
    <w:panose1 w:val="02010600030101010101"/>
    <w:charset w:val="86"/>
    <w:family w:val="auto"/>
    <w:pitch w:val="default"/>
    <w:sig w:usb0="A00002BF" w:usb1="38CF7CFA" w:usb2="00000016" w:usb3="00000000" w:csb0="0004000F" w:csb1="00000000"/>
  </w:font>
  <w:font w:name="楷体_GB2312">
    <w:altName w:val="楷体"/>
    <w:panose1 w:val="02010609030101010101"/>
    <w:charset w:val="86"/>
    <w:family w:val="modern"/>
    <w:pitch w:val="default"/>
    <w:sig w:usb0="00000000" w:usb1="00000000" w:usb2="0000001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0B6EAE"/>
    <w:multiLevelType w:val="singleLevel"/>
    <w:tmpl w:val="920B6EAE"/>
    <w:lvl w:ilvl="0" w:tentative="0">
      <w:start w:val="8"/>
      <w:numFmt w:val="chineseCounting"/>
      <w:suff w:val="nothing"/>
      <w:lvlText w:val="%1、"/>
      <w:lvlJc w:val="left"/>
      <w:rPr>
        <w:rFonts w:hint="eastAsia"/>
      </w:rPr>
    </w:lvl>
  </w:abstractNum>
  <w:abstractNum w:abstractNumId="1">
    <w:nsid w:val="CCF45608"/>
    <w:multiLevelType w:val="singleLevel"/>
    <w:tmpl w:val="CCF45608"/>
    <w:lvl w:ilvl="0" w:tentative="0">
      <w:start w:val="2"/>
      <w:numFmt w:val="chineseCounting"/>
      <w:suff w:val="nothing"/>
      <w:lvlText w:val="（%1）"/>
      <w:lvlJc w:val="left"/>
      <w:rPr>
        <w:rFonts w:hint="eastAsia"/>
      </w:rPr>
    </w:lvl>
  </w:abstractNum>
  <w:abstractNum w:abstractNumId="2">
    <w:nsid w:val="6DD6DCE7"/>
    <w:multiLevelType w:val="singleLevel"/>
    <w:tmpl w:val="6DD6DCE7"/>
    <w:lvl w:ilvl="0" w:tentative="0">
      <w:start w:val="4"/>
      <w:numFmt w:val="chineseCounting"/>
      <w:suff w:val="nothing"/>
      <w:lvlText w:val="%1、"/>
      <w:lvlJc w:val="left"/>
      <w:rPr>
        <w:rFonts w:hint="eastAsia"/>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DEyYWFhYWU4NWI3NjVkMTBmNGRlNDY1OTdmYjVhMzQifQ=="/>
  </w:docVars>
  <w:rsids>
    <w:rsidRoot w:val="00000000"/>
    <w:rsid w:val="00902C2A"/>
    <w:rsid w:val="01577065"/>
    <w:rsid w:val="021653B1"/>
    <w:rsid w:val="0798514E"/>
    <w:rsid w:val="08FC60DA"/>
    <w:rsid w:val="0CE87099"/>
    <w:rsid w:val="0D747A78"/>
    <w:rsid w:val="0FB87AA7"/>
    <w:rsid w:val="13390EFF"/>
    <w:rsid w:val="166E65CB"/>
    <w:rsid w:val="1A1E0258"/>
    <w:rsid w:val="1E4F5D2D"/>
    <w:rsid w:val="1F443106"/>
    <w:rsid w:val="1FC15648"/>
    <w:rsid w:val="215313DE"/>
    <w:rsid w:val="22160D89"/>
    <w:rsid w:val="22725EDB"/>
    <w:rsid w:val="2797211F"/>
    <w:rsid w:val="29A90000"/>
    <w:rsid w:val="2ABD14E7"/>
    <w:rsid w:val="2B0C0F7B"/>
    <w:rsid w:val="2D3E0E68"/>
    <w:rsid w:val="31216E03"/>
    <w:rsid w:val="36EF112B"/>
    <w:rsid w:val="389B56ED"/>
    <w:rsid w:val="3D185B1A"/>
    <w:rsid w:val="405108C0"/>
    <w:rsid w:val="40F2256A"/>
    <w:rsid w:val="43AB5343"/>
    <w:rsid w:val="4B9939DE"/>
    <w:rsid w:val="5066262C"/>
    <w:rsid w:val="51A069D6"/>
    <w:rsid w:val="54296CE8"/>
    <w:rsid w:val="5D1E0517"/>
    <w:rsid w:val="5E157A96"/>
    <w:rsid w:val="5E3C17AA"/>
    <w:rsid w:val="606240A7"/>
    <w:rsid w:val="617701F5"/>
    <w:rsid w:val="6355558B"/>
    <w:rsid w:val="64D15E6F"/>
    <w:rsid w:val="6678592C"/>
    <w:rsid w:val="67963BF2"/>
    <w:rsid w:val="6D54391A"/>
    <w:rsid w:val="705625B9"/>
    <w:rsid w:val="72AB41A3"/>
    <w:rsid w:val="73E8023F"/>
    <w:rsid w:val="77CF494E"/>
    <w:rsid w:val="793234CB"/>
    <w:rsid w:val="7A884DCA"/>
    <w:rsid w:val="7C926E9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9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8">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w:basedOn w:val="1"/>
    <w:next w:val="1"/>
    <w:qFormat/>
    <w:uiPriority w:val="0"/>
    <w:pPr>
      <w:jc w:val="center"/>
    </w:pPr>
    <w:rPr>
      <w:rFonts w:ascii="宋体" w:hAnsi="华文中宋"/>
      <w:b/>
      <w:bCs/>
      <w:spacing w:val="-6"/>
      <w:sz w:val="44"/>
    </w:rPr>
  </w:style>
  <w:style w:type="paragraph" w:styleId="3">
    <w:name w:val="Body Text Indent"/>
    <w:basedOn w:val="1"/>
    <w:next w:val="2"/>
    <w:qFormat/>
    <w:uiPriority w:val="0"/>
    <w:pPr>
      <w:spacing w:after="120" w:afterLines="0" w:afterAutospacing="0"/>
      <w:ind w:left="420" w:leftChars="200"/>
    </w:pPr>
  </w:style>
  <w:style w:type="paragraph" w:styleId="4">
    <w:name w:val="toc 1"/>
    <w:basedOn w:val="1"/>
    <w:next w:val="1"/>
    <w:qFormat/>
    <w:uiPriority w:val="99"/>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paragraph" w:styleId="6">
    <w:name w:val="Body Text First Indent 2"/>
    <w:basedOn w:val="3"/>
    <w:next w:val="1"/>
    <w:qFormat/>
    <w:uiPriority w:val="0"/>
    <w:pPr>
      <w:widowControl w:val="0"/>
      <w:spacing w:after="120" w:afterAutospacing="0"/>
      <w:ind w:left="200" w:leftChars="200" w:firstLine="200" w:firstLineChars="200"/>
      <w:jc w:val="both"/>
    </w:pPr>
    <w:rPr>
      <w:rFonts w:ascii="Times New Roman" w:hAnsi="Times New Roman" w:eastAsia="宋体" w:cs="Times New Roman"/>
      <w:kern w:val="2"/>
      <w:sz w:val="21"/>
      <w:szCs w:val="24"/>
      <w:lang w:val="en-US" w:eastAsia="zh-CN" w:bidi="ar-SA"/>
    </w:rPr>
  </w:style>
  <w:style w:type="character" w:styleId="9">
    <w:name w:val="Strong"/>
    <w:basedOn w:val="8"/>
    <w:qFormat/>
    <w:uiPriority w:val="0"/>
    <w:rPr>
      <w:b/>
    </w:rPr>
  </w:style>
  <w:style w:type="table" w:customStyle="1" w:styleId="10">
    <w:name w:val="Table Normal"/>
    <w:unhideWhenUsed/>
    <w:qFormat/>
    <w:uiPriority w:val="0"/>
    <w:tblPr>
      <w:tblCellMar>
        <w:top w:w="0" w:type="dxa"/>
        <w:left w:w="0" w:type="dxa"/>
        <w:bottom w:w="0" w:type="dxa"/>
        <w:right w:w="0" w:type="dxa"/>
      </w:tblCellMar>
    </w:tblPr>
  </w:style>
  <w:style w:type="paragraph" w:customStyle="1" w:styleId="11">
    <w:name w:val="fulltext_text"/>
    <w:basedOn w:val="1"/>
    <w:qFormat/>
    <w:uiPriority w:val="0"/>
    <w:pPr>
      <w:spacing w:line="525" w:lineRule="atLeast"/>
    </w:pPr>
    <w:rPr>
      <w:rFonts w:ascii="宋体" w:hAnsi="宋体" w:eastAsia="宋体" w:cs="宋体"/>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18</Pages>
  <Words>8324</Words>
  <Characters>8773</Characters>
  <Lines>0</Lines>
  <Paragraphs>0</Paragraphs>
  <TotalTime>14</TotalTime>
  <ScaleCrop>false</ScaleCrop>
  <LinksUpToDate>false</LinksUpToDate>
  <CharactersWithSpaces>8876</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2024-02-26T01:28:00Z</dcterms:created>
  <dc:creator>Administrator</dc:creator>
  <cp:lastModifiedBy>。。。</cp:lastModifiedBy>
  <cp:lastPrinted>2025-04-01T08:19:00Z</cp:lastPrinted>
  <dcterms:modified xsi:type="dcterms:W3CDTF">2025-09-28T03:59:18Z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FBD237D859B34EA4A3F344CA60109393_13</vt:lpwstr>
  </property>
  <property fmtid="{D5CDD505-2E9C-101B-9397-08002B2CF9AE}" pid="4" name="KSOTemplateDocerSaveRecord">
    <vt:lpwstr>eyJoZGlkIjoiNjJlMTZmMzZhZjVkMTZhZmE3OTJkMjY5OWZlNjk0YmQiLCJ1c2VySWQiOiI1ODg3Nzc3NjUifQ==</vt:lpwstr>
  </property>
</Properties>
</file>