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2024年衔接资金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项目绩效自评报告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</w:rPr>
        <w:t>一、绩效目标分解下达情况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1．资金下达预算及项目情况。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default" w:ascii="仿宋" w:hAnsi="仿宋" w:eastAsia="仿宋" w:cs="仿宋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2024年麻塘乡财政衔接推进乡村振兴补助资金共下达881.69万元，其中楠竹产业配套建设项目455.8万元，产业直接帮扶和主体带动项目50万元，小农水基础设施建设项目42万元，监测户提质改造项目8.8万元，发展新型农村集体经济100万元，光伏发电及易地搬迁集中安置点管理员公益性岗位项目7.32万元，洪涝灾害救灾和恢复农业生产项目34.97万元，农村保洁员公益性岗位项目43.2万元，农村道路建设项目82万元，农村改厕项目3.6万元，农村饮水安全维修养护项目10万元，少数民族发展基础设施项目44万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资金项目绩效目标设定情况。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" w:leftChars="0" w:firstLine="680" w:firstLineChars="0"/>
        <w:jc w:val="both"/>
        <w:textAlignment w:val="auto"/>
        <w:rPr>
          <w:rFonts w:hint="default" w:ascii="仿宋" w:hAnsi="仿宋" w:eastAsia="仿宋" w:cs="仿宋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楠竹产业配套建设项目，在麻塘乡12个村完成楠竹低产林改造，改善竹林生态环境，提升竹林质量，增加竹林产出，增加林农收入。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" w:leftChars="0" w:firstLine="680" w:firstLineChars="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产业直接帮扶和主体带动项目，支持2-4家企业、合作社巩固拓展脱贫攻坚成果，健全防止返贫动态监测和帮扶机制，发展特色庭院经济对脱贫户、监测户种养业等进行奖补，帮扶产业项目“五个一批"提质；发展产业带动就业，增加脱贫人口创收。全乡镇监测人口产业帮扶全覆盖，有产业发展能力和意愿的脱贫人口产业帮扶全覆；12%以上脱贫群众参与发展庭院经济；帮扶产业项目升级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" w:leftChars="0" w:firstLine="680" w:firstLineChars="0"/>
        <w:jc w:val="both"/>
        <w:textAlignment w:val="auto"/>
        <w:rPr>
          <w:rFonts w:hint="default" w:ascii="仿宋" w:hAnsi="仿宋" w:eastAsia="仿宋" w:cs="仿宋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小农水基础设施建设项目，在麻塘乡2个村共计修建防洪堤430米长，旨在于组织当地群众参与务工，方便村民生产生活。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" w:leftChars="0" w:firstLine="680" w:firstLineChars="0"/>
        <w:jc w:val="both"/>
        <w:textAlignment w:val="auto"/>
        <w:rPr>
          <w:rFonts w:hint="default" w:ascii="仿宋" w:hAnsi="仿宋" w:eastAsia="仿宋" w:cs="仿宋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监测户提质改造项目，改善监测户人居环境，保障监测对象基本生产生活。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" w:leftChars="0" w:firstLine="680" w:firstLineChars="0"/>
        <w:jc w:val="both"/>
        <w:textAlignment w:val="auto"/>
        <w:rPr>
          <w:rFonts w:hint="default" w:ascii="仿宋" w:hAnsi="仿宋" w:eastAsia="仿宋" w:cs="仿宋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发展新型农村集体经济项目，一是新建楠竹加工车间；二是入股绥宁县麻塘兴隆竹制品厂，购置设备以“资产入股”的方式合作发展竹产业。力争两个项目合计每年实现村集体经济增收14万元。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" w:leftChars="0" w:firstLine="680" w:firstLineChars="0"/>
        <w:jc w:val="both"/>
        <w:textAlignment w:val="auto"/>
        <w:rPr>
          <w:rFonts w:hint="default" w:ascii="仿宋" w:hAnsi="仿宋" w:eastAsia="仿宋" w:cs="仿宋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光伏发电及易地搬迁集中安置点管理员公益性岗位项目，开发光伏发电公益性岗位和易地扶贫搬迁集中安置点公益性岗位98人，解决脱贫户、监测户98人稳岗就业。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" w:leftChars="0" w:firstLine="680" w:firstLineChars="0"/>
        <w:jc w:val="both"/>
        <w:textAlignment w:val="auto"/>
        <w:rPr>
          <w:rFonts w:hint="default" w:ascii="仿宋" w:hAnsi="仿宋" w:eastAsia="仿宋" w:cs="仿宋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洪涝灾害救灾和恢复农业生产项目34.97万元，用于购买农用物资及相关村维修、恢复农田水利设施建设，恢复洪涝受灾损坏的农田水利基础设施建设。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" w:leftChars="0" w:firstLine="680" w:firstLineChars="0"/>
        <w:jc w:val="both"/>
        <w:textAlignment w:val="auto"/>
        <w:rPr>
          <w:rFonts w:hint="default" w:ascii="仿宋" w:hAnsi="仿宋" w:eastAsia="仿宋" w:cs="仿宋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农村保洁员公益性岗位项目43.2万元，清扫农村环境卫生，打造宜居的人居环境，建设美丽乡村。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" w:leftChars="0" w:firstLine="680" w:firstLineChars="0"/>
        <w:jc w:val="both"/>
        <w:textAlignment w:val="auto"/>
        <w:rPr>
          <w:rFonts w:hint="default" w:ascii="仿宋" w:hAnsi="仿宋" w:eastAsia="仿宋" w:cs="仿宋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农村道路建设项目，对高梅村组道路面硬化2535米；洪溪村组道路面硬化1150米。改善了全村基础设施落后现状，保障桥梁安全畅通，转变农村生产生活环境，为老百姓出行提供方便，组织当地群众参与务工，方便村民生产生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" w:leftChars="0" w:firstLine="680" w:firstLineChars="0"/>
        <w:jc w:val="both"/>
        <w:textAlignment w:val="auto"/>
        <w:rPr>
          <w:rFonts w:hint="default" w:ascii="仿宋" w:hAnsi="仿宋" w:eastAsia="仿宋" w:cs="仿宋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农村改厕项目，完成问题厕所建设任务，提高村民生活居住条件，优化农村生态环境。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" w:leftChars="0" w:firstLine="680" w:firstLineChars="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农村饮水安全维修养护项目，新建引水坝1处，清水池2处，输水管2800米等。共有46户206人受益，其中脱贫户和监测户16户66人。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50" w:leftChars="0" w:firstLine="680" w:firstLineChars="0"/>
        <w:jc w:val="both"/>
        <w:textAlignment w:val="auto"/>
        <w:rPr>
          <w:rFonts w:hint="default" w:ascii="仿宋" w:hAnsi="仿宋" w:eastAsia="仿宋" w:cs="仿宋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少数民族发展基础设施项目，高梅村新修竹林道8公里；洪溪村维修村组道路砌挡墙11处700立方米。解决了楠竹运输难问题，195户810人包括脱贫（监测）为村民带来运输便利增加收入，改善村民生产生活条件。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</w:rPr>
        <w:t>二、绩效自评工作开展情况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麻塘乡政府</w:t>
      </w:r>
      <w:r>
        <w:rPr>
          <w:rFonts w:hint="eastAsia" w:ascii="仿宋" w:hAnsi="仿宋" w:eastAsia="仿宋" w:cs="仿宋"/>
          <w:sz w:val="32"/>
          <w:szCs w:val="32"/>
        </w:rPr>
        <w:t>根据相关政策对照年初该项目设定的绩效目标于202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年12月开展了项目绩效自评工作，工作方式包括民主自评、查阅资料及对项目抽查走访。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</w:rPr>
        <w:t>三、绩效目标完成情况分析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2" w:firstLineChars="200"/>
        <w:jc w:val="both"/>
        <w:textAlignment w:val="auto"/>
        <w:rPr>
          <w:rFonts w:hint="eastAsia" w:ascii="楷体" w:hAnsi="楷体" w:eastAsia="楷体" w:cs="楷体"/>
          <w:b/>
          <w:bCs/>
          <w:spacing w:val="1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pacing w:val="10"/>
          <w:sz w:val="32"/>
          <w:szCs w:val="32"/>
        </w:rPr>
        <w:t>(一)项目资金情况分析。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1.项目资金到位情况分析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</w:pP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val="none"/>
          <w:shd w:val="solid" w:color="FFFFFF" w:fill="auto"/>
          <w:lang w:val="en-US" w:eastAsia="zh-CN" w:bidi="ar"/>
        </w:rPr>
        <w:t>2024年财政衔接推进乡村振兴补助资金</w:t>
      </w:r>
      <w:r>
        <w:rPr>
          <w:rFonts w:hint="eastAsia" w:ascii="仿宋" w:hAnsi="仿宋" w:eastAsia="仿宋" w:cs="仿宋"/>
          <w:sz w:val="32"/>
          <w:szCs w:val="32"/>
        </w:rPr>
        <w:t>实际下达到位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881.69</w:t>
      </w:r>
      <w:r>
        <w:rPr>
          <w:rFonts w:hint="eastAsia" w:ascii="仿宋" w:hAnsi="仿宋" w:eastAsia="仿宋" w:cs="仿宋"/>
          <w:sz w:val="32"/>
          <w:szCs w:val="32"/>
        </w:rPr>
        <w:t>万元，已支付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854.106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农村饮水安全维修养护项目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10万元在年底关账前仅做支付申请，尚未支付到位；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楠竹产业配套建设项目455.8万元，已支付455.576万元，指标余0.224万元，现已将剩余指标退回国库。</w:t>
      </w:r>
      <w:r>
        <w:rPr>
          <w:rFonts w:hint="eastAsia" w:ascii="仿宋" w:hAnsi="仿宋" w:eastAsia="仿宋" w:cs="仿宋"/>
          <w:sz w:val="32"/>
          <w:szCs w:val="32"/>
        </w:rPr>
        <w:t>实际支出率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97</w:t>
      </w:r>
      <w:r>
        <w:rPr>
          <w:rFonts w:hint="eastAsia" w:ascii="仿宋" w:hAnsi="仿宋" w:eastAsia="仿宋" w:cs="仿宋"/>
          <w:sz w:val="32"/>
          <w:szCs w:val="32"/>
        </w:rPr>
        <w:t>%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预算支出无调整资金支出内容；无超范围、标准支出；核算凭证规范有效。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项目资金执行情况分析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</w:pP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val="none"/>
          <w:shd w:val="solid" w:color="FFFFFF" w:fill="auto"/>
          <w:lang w:val="en-US" w:eastAsia="zh-CN" w:bidi="ar"/>
        </w:rPr>
        <w:t>截止2024年12月31日2024年财政衔接推进乡村振兴补助资金支付进度达97%。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项目资金管理情况分析</w:t>
      </w:r>
    </w:p>
    <w:p>
      <w:pPr>
        <w:ind w:firstLine="640" w:firstLineChars="200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相关文件规定，广泛征求了实施乡镇、村组、实施主体意见，对资金和项目均按照资金的规模、来源、用途、受益对象、实施单位、审批程序、实施期限及项目完成情况在实施乡村组进行了公告公示，接受监督，确保资金在阳光下运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2" w:firstLineChars="200"/>
        <w:jc w:val="both"/>
        <w:textAlignment w:val="auto"/>
        <w:rPr>
          <w:rFonts w:hint="eastAsia" w:ascii="楷体" w:hAnsi="楷体" w:eastAsia="楷体" w:cs="楷体"/>
          <w:b/>
          <w:bCs/>
          <w:spacing w:val="10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pacing w:val="10"/>
          <w:sz w:val="32"/>
          <w:szCs w:val="32"/>
        </w:rPr>
        <w:t>(二)项目绩效指标完成情况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1.产出指标完成情况分析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(1)项目完成数量</w:t>
      </w:r>
    </w:p>
    <w:p>
      <w:pPr>
        <w:keepNext w:val="0"/>
        <w:keepLines w:val="0"/>
        <w:pageBreakBefore w:val="0"/>
        <w:widowControl w:val="0"/>
        <w:suppressLineNumbers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before="0" w:beforeAutospacing="0" w:after="0" w:afterAutospacing="0" w:line="560" w:lineRule="exact"/>
        <w:ind w:left="0" w:right="0" w:firstLine="680" w:firstLineChars="200"/>
        <w:jc w:val="both"/>
        <w:textAlignment w:val="auto"/>
        <w:rPr>
          <w:rFonts w:hint="default" w:ascii="仿宋" w:hAnsi="仿宋" w:eastAsia="仿宋" w:cs="仿宋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截止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2024年12月31日，</w:t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val="none"/>
          <w:shd w:val="solid" w:color="FFFFFF" w:fill="auto"/>
          <w:lang w:val="en-US" w:eastAsia="zh-CN" w:bidi="ar"/>
        </w:rPr>
        <w:t>全乡本年度财政衔接推进乡村振兴补助资金项目均已完成。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项目完成质量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仿宋" w:hAnsi="仿宋" w:eastAsia="仿宋" w:cs="仿宋"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 xml:space="preserve">   </w:t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val="none"/>
          <w:shd w:val="solid" w:color="FFFFFF" w:fill="auto"/>
          <w:lang w:val="en-US" w:eastAsia="zh-CN" w:bidi="ar"/>
        </w:rPr>
        <w:t>截止2024年12月31日，全乡本年度财政衔接推进乡村振兴补助资金项目</w:t>
      </w:r>
      <w:r>
        <w:rPr>
          <w:rStyle w:val="5"/>
          <w:rFonts w:hint="eastAsia" w:ascii="仿宋" w:hAnsi="仿宋" w:eastAsia="仿宋" w:cstheme="minorBidi"/>
          <w:color w:val="auto"/>
          <w:sz w:val="32"/>
          <w:szCs w:val="32"/>
          <w:u w:val="none"/>
        </w:rPr>
        <w:t>验收合格率</w:t>
      </w:r>
      <w:r>
        <w:rPr>
          <w:rStyle w:val="5"/>
          <w:rFonts w:hint="eastAsia" w:ascii="仿宋" w:hAnsi="仿宋" w:eastAsia="仿宋" w:cstheme="minorBidi"/>
          <w:color w:val="auto"/>
          <w:sz w:val="32"/>
          <w:szCs w:val="32"/>
          <w:u w:val="none"/>
          <w:lang w:val="en-US" w:eastAsia="zh-CN"/>
        </w:rPr>
        <w:t>100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</w:rPr>
        <w:t>%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2.效益指标完成情况分析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2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0"/>
          <w:sz w:val="32"/>
          <w:szCs w:val="32"/>
        </w:rPr>
        <w:t>(1)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项目实施的经济效益分析</w:t>
      </w:r>
    </w:p>
    <w:p>
      <w:pPr>
        <w:keepNext w:val="0"/>
        <w:keepLines w:val="0"/>
        <w:pageBreakBefore w:val="0"/>
        <w:widowControl w:val="0"/>
        <w:suppressLineNumbers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带动周边村居改善生产生活条件，建设后形成固定资产投资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</w:rPr>
        <w:t>项目带动贫困人口全年总收入</w:t>
      </w:r>
      <w:r>
        <w:rPr>
          <w:rStyle w:val="5"/>
          <w:rFonts w:hint="eastAsia" w:ascii="仿宋" w:hAnsi="仿宋" w:eastAsia="仿宋"/>
          <w:color w:val="auto"/>
          <w:sz w:val="32"/>
          <w:szCs w:val="32"/>
          <w:u w:val="none"/>
          <w:lang w:eastAsia="zh-CN"/>
        </w:rPr>
        <w:t>增加。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项目实施的社会效益分析</w:t>
      </w:r>
    </w:p>
    <w:p>
      <w:pPr>
        <w:keepNext w:val="0"/>
        <w:keepLines w:val="0"/>
        <w:pageBreakBefore w:val="0"/>
        <w:widowControl w:val="0"/>
        <w:suppressLineNumbers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Style w:val="5"/>
          <w:rFonts w:hint="eastAsia" w:ascii="仿宋" w:hAnsi="仿宋" w:eastAsia="仿宋" w:cs="仿宋"/>
          <w:color w:val="auto"/>
          <w:sz w:val="32"/>
          <w:szCs w:val="32"/>
          <w:u w:val="none"/>
          <w:shd w:val="solid" w:color="FFFFFF" w:fill="auto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组道硬化、</w:t>
      </w:r>
      <w:r>
        <w:rPr>
          <w:rFonts w:hint="eastAsia" w:ascii="仿宋" w:hAnsi="仿宋" w:eastAsia="仿宋" w:cs="仿宋"/>
          <w:sz w:val="32"/>
          <w:szCs w:val="32"/>
        </w:rPr>
        <w:t>完善配套设施，为群众提供更良好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的出行条件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楠竹产业配套建设，增强竹产业一二三产融合发展，提高竹产业综合效益，带动竹产业发展，增加务工收入，解决就业问题。</w:t>
      </w:r>
      <w:r>
        <w:rPr>
          <w:rFonts w:hint="eastAsia" w:ascii="仿宋" w:hAnsi="仿宋" w:eastAsia="仿宋" w:cs="仿宋"/>
          <w:sz w:val="32"/>
          <w:szCs w:val="32"/>
          <w:lang w:val="en-US" w:eastAsia="zh-TW"/>
        </w:rPr>
        <w:t>农村生活卫生整治，清运农村生活垃圾，打造宜居的人居环境，建设美丽乡村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Style w:val="5"/>
          <w:rFonts w:hint="eastAsia" w:ascii="仿宋" w:hAnsi="仿宋" w:eastAsia="仿宋" w:cs="仿宋"/>
          <w:color w:val="auto"/>
          <w:sz w:val="32"/>
          <w:szCs w:val="32"/>
          <w:u w:val="none"/>
          <w:shd w:val="solid" w:color="FFFFFF" w:fill="auto"/>
          <w:lang w:val="en-US" w:eastAsia="zh-CN" w:bidi="ar"/>
        </w:rPr>
        <w:t>方便了居民群众生产生活，社会反响良好，得到广大群众支持。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项目实施的生态效益分析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val="en-US" w:eastAsia="zh-CN"/>
        </w:rPr>
        <w:t>楠竹产业配套建设，增强竹产业一二三产融合发展，提高竹产业综合效益，带动竹产业发展，增加务工收入，解决就业问题。</w:t>
      </w:r>
      <w:r>
        <w:rPr>
          <w:rFonts w:hint="eastAsia" w:ascii="仿宋" w:hAnsi="仿宋" w:eastAsia="仿宋" w:cs="仿宋"/>
          <w:sz w:val="32"/>
          <w:szCs w:val="32"/>
          <w:lang w:val="en-US" w:eastAsia="zh-TW"/>
        </w:rPr>
        <w:t>农村生活卫生整治，清运农村生活垃圾，打造宜居的人居环境，建设美丽乡村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项目实施的可持续影响分析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项目在存续期内可持续带来经济、社会、生态效益，惠及乡村民众。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满意度指标完成情况分析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通过该项目的实施对促进乡村振兴、巩固脱贫攻坚成果与全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经济可持续、健康、快速高质量发展具有十分重要的意义，受到全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实施乡村组的群众的好评和支持，满意度达到了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98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</w:rPr>
        <w:t>四、存在的主要问题及产生的原因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2" w:firstLineChars="200"/>
        <w:jc w:val="both"/>
        <w:textAlignment w:val="auto"/>
        <w:rPr>
          <w:rFonts w:hint="eastAsia" w:ascii="楷体" w:hAnsi="楷体" w:eastAsia="楷体" w:cs="楷体"/>
          <w:b/>
          <w:bCs/>
          <w:spacing w:val="1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0"/>
          <w:sz w:val="32"/>
          <w:szCs w:val="32"/>
        </w:rPr>
        <w:t>(一)项目申报及实施管理方面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pacing w:val="10"/>
          <w:sz w:val="32"/>
          <w:szCs w:val="32"/>
          <w:lang w:eastAsia="zh-CN"/>
        </w:rPr>
        <w:t>项目经济效益发挥的充分性仍需提升。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2" w:firstLineChars="200"/>
        <w:jc w:val="both"/>
        <w:textAlignment w:val="auto"/>
        <w:rPr>
          <w:rFonts w:hint="eastAsia" w:ascii="楷体" w:hAnsi="楷体" w:eastAsia="楷体" w:cs="楷体"/>
          <w:b/>
          <w:bCs/>
          <w:spacing w:val="1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0"/>
          <w:sz w:val="32"/>
          <w:szCs w:val="32"/>
        </w:rPr>
        <w:t>(二)资金管理方面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hd w:val="solid" w:color="FFFFFF" w:fill="auto"/>
        <w:autoSpaceDE/>
        <w:autoSpaceDN w:val="0"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rPr>
          <w:rFonts w:hint="eastAsia" w:ascii="仿宋" w:hAnsi="仿宋" w:eastAsia="仿宋" w:cs="仿宋"/>
          <w:spacing w:val="1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资金投入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"/>
          <w:sz w:val="32"/>
          <w:szCs w:val="32"/>
        </w:rPr>
        <w:t>实际需求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存在差距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2" w:firstLineChars="200"/>
        <w:jc w:val="both"/>
        <w:textAlignment w:val="auto"/>
        <w:rPr>
          <w:rFonts w:hint="eastAsia" w:ascii="楷体" w:hAnsi="楷体" w:eastAsia="楷体" w:cs="楷体"/>
          <w:b/>
          <w:bCs/>
          <w:spacing w:val="10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10"/>
          <w:sz w:val="32"/>
          <w:szCs w:val="32"/>
          <w:lang w:val="en-US" w:eastAsia="zh-CN"/>
        </w:rPr>
        <w:t>(三)</w:t>
      </w:r>
      <w:r>
        <w:rPr>
          <w:rFonts w:hint="eastAsia" w:ascii="楷体" w:hAnsi="楷体" w:eastAsia="楷体" w:cs="楷体"/>
          <w:b/>
          <w:bCs/>
          <w:spacing w:val="10"/>
          <w:sz w:val="32"/>
          <w:szCs w:val="32"/>
        </w:rPr>
        <w:t>产生的原因</w:t>
      </w:r>
    </w:p>
    <w:p>
      <w:pPr>
        <w:pStyle w:val="2"/>
        <w:widowControl/>
        <w:numPr>
          <w:ilvl w:val="0"/>
          <w:numId w:val="0"/>
        </w:numPr>
        <w:spacing w:before="0" w:beforeAutospacing="0" w:after="0" w:afterAutospacing="0" w:line="560" w:lineRule="exact"/>
        <w:ind w:right="0" w:rightChars="0"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1.相关</w:t>
      </w:r>
      <w:r>
        <w:rPr>
          <w:rFonts w:hint="eastAsia" w:ascii="仿宋" w:hAnsi="仿宋" w:eastAsia="仿宋" w:cs="仿宋"/>
          <w:sz w:val="32"/>
          <w:szCs w:val="32"/>
        </w:rPr>
        <w:t>产业还处在起步阶段，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经济效益较</w:t>
      </w:r>
      <w:r>
        <w:rPr>
          <w:rFonts w:hint="eastAsia" w:ascii="仿宋" w:hAnsi="仿宋" w:eastAsia="仿宋" w:cs="仿宋"/>
          <w:sz w:val="32"/>
          <w:szCs w:val="32"/>
        </w:rPr>
        <w:t>不明显。产业基地种植管理水平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有待于</w:t>
      </w:r>
      <w:r>
        <w:rPr>
          <w:rFonts w:hint="eastAsia" w:ascii="仿宋" w:hAnsi="仿宋" w:eastAsia="仿宋" w:cs="仿宋"/>
          <w:sz w:val="32"/>
          <w:szCs w:val="32"/>
        </w:rPr>
        <w:t>进一步提高，产业经济效益没有充分体现。</w:t>
      </w:r>
    </w:p>
    <w:p>
      <w:pPr>
        <w:keepNext w:val="0"/>
        <w:keepLines w:val="0"/>
        <w:widowControl w:val="0"/>
        <w:numPr>
          <w:ilvl w:val="0"/>
          <w:numId w:val="0"/>
        </w:numPr>
        <w:suppressLineNumbers w:val="0"/>
        <w:shd w:val="solid" w:color="FFFFFF" w:fill="auto"/>
        <w:autoSpaceDE/>
        <w:autoSpaceDN w:val="0"/>
        <w:spacing w:before="0" w:beforeAutospacing="0" w:after="0" w:afterAutospacing="0" w:line="240" w:lineRule="auto"/>
        <w:ind w:left="0" w:leftChars="0" w:right="0" w:rightChars="0" w:firstLine="640" w:firstLineChars="200"/>
        <w:jc w:val="left"/>
        <w:rPr>
          <w:rFonts w:hint="default" w:ascii="楷体" w:hAnsi="楷体" w:eastAsia="楷体" w:cs="楷体"/>
          <w:b/>
          <w:bCs/>
          <w:spacing w:val="1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部分乡村</w:t>
      </w:r>
      <w:r>
        <w:rPr>
          <w:rFonts w:hint="eastAsia" w:ascii="仿宋" w:hAnsi="仿宋" w:eastAsia="仿宋" w:cs="仿宋"/>
          <w:sz w:val="32"/>
          <w:szCs w:val="32"/>
        </w:rPr>
        <w:t>现有的基础条件和资源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条件</w:t>
      </w:r>
      <w:r>
        <w:rPr>
          <w:rFonts w:hint="eastAsia" w:ascii="仿宋" w:hAnsi="仿宋" w:eastAsia="仿宋" w:cs="仿宋"/>
          <w:sz w:val="32"/>
          <w:szCs w:val="32"/>
        </w:rPr>
        <w:t>较差，建设成本高，资金投入远不能满足实际需求，缺口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较</w:t>
      </w:r>
      <w:r>
        <w:rPr>
          <w:rFonts w:hint="eastAsia" w:ascii="仿宋" w:hAnsi="仿宋" w:eastAsia="仿宋" w:cs="仿宋"/>
          <w:sz w:val="32"/>
          <w:szCs w:val="32"/>
        </w:rPr>
        <w:t>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</w:rPr>
        <w:t>下一步改进措施及建议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" w:leftChars="0" w:firstLine="640" w:firstLineChars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加大财政扶持力度，积极拓展资金来源。一是建立财政专项资金逐年增长机制，合理分析难度。二是政府协助村级搭建社会资助桥梁，鼓励引导社会各界人士以捐款捐物、捐资助学等多种形式参与工作，缓解政府资金压力。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10" w:leftChars="0" w:firstLine="640" w:firstLineChars="0"/>
        <w:jc w:val="both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优化资金分配，提高使用效益。一是以乡村振兴工作为基础，优化资金分配，保证每个村年度工作稳步有序推进。二是统筹管理资金，提高资金使用效率。整合各种资金，依照规划，有步骤、分阶段、保重点，确定项目推进实施的优先顺序，资金投放时间安排与横向调配，以足项、足额地保障项目推进所需资金，全力提升资金使用效率。</w:t>
      </w:r>
    </w:p>
    <w:p>
      <w:pPr>
        <w:pStyle w:val="2"/>
        <w:widowControl/>
        <w:numPr>
          <w:ilvl w:val="0"/>
          <w:numId w:val="7"/>
        </w:numPr>
        <w:spacing w:before="0" w:beforeAutospacing="0" w:after="0" w:afterAutospacing="0" w:line="560" w:lineRule="exact"/>
        <w:ind w:left="-10" w:leftChars="0" w:firstLine="64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利用资源优势，提升经济效益。一是要充分利用我乡优势特色资源、产业基础，因村因户、分类指导实施产业，避免所有村全部统一盲目发展。二是鼓励脱贫对象与企业、专业合作社建立紧密的利益连接机制，形成利益共同体，确保脱贫户稳步增收。三是积极扶持发展特色农业产业的龙头企业、专业合作组织，鼓励其带领脱贫户共同发展特色产业，给予资金扶持力度。</w:t>
      </w:r>
    </w:p>
    <w:p>
      <w:pPr>
        <w:pStyle w:val="2"/>
        <w:widowControl/>
        <w:numPr>
          <w:ilvl w:val="0"/>
          <w:numId w:val="7"/>
        </w:numPr>
        <w:spacing w:before="0" w:beforeAutospacing="0" w:after="0" w:afterAutospacing="0" w:line="560" w:lineRule="exact"/>
        <w:ind w:left="-10" w:leftChars="0" w:firstLine="64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加强项目管理，推进项目建设。</w:t>
      </w:r>
      <w:r>
        <w:rPr>
          <w:rFonts w:hint="eastAsia" w:ascii="仿宋" w:hAnsi="仿宋" w:eastAsia="仿宋" w:cs="仿宋"/>
          <w:sz w:val="32"/>
          <w:szCs w:val="32"/>
        </w:rPr>
        <w:t>加强项目前期工作，强化项目合同管理、工期控制、变更控制、投资控制，资料归集归档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推进项目建设及结算工作，着力提高涉农资金支出率。</w:t>
      </w:r>
      <w:bookmarkStart w:id="0" w:name="_GoBack"/>
      <w:bookmarkEnd w:id="0"/>
    </w:p>
    <w:p>
      <w:pPr>
        <w:pStyle w:val="2"/>
        <w:widowControl/>
        <w:numPr>
          <w:ilvl w:val="0"/>
          <w:numId w:val="7"/>
        </w:numPr>
        <w:spacing w:before="0" w:beforeAutospacing="0" w:after="0" w:afterAutospacing="0" w:line="560" w:lineRule="exact"/>
        <w:ind w:left="-10" w:leftChars="0" w:firstLine="640" w:firstLineChars="0"/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健全资金管理，规范使用支出。一是根据项目实际情况，合理制定资金拨付制度。二是健全专账管理，明确资金来源和用途。按资金用途在专账科目下设明细科目，并注明资金来源，真正做到专款专用。三是建立资金台账，明晰资金支出。一方面财务人员对资金流向更加清晰，查找更加方便，另一方面也便于对资金的监管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80" w:firstLineChars="200"/>
        <w:jc w:val="both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0"/>
          <w:sz w:val="32"/>
          <w:szCs w:val="32"/>
        </w:rPr>
        <w:t>六、绩效自评结果拟应用和公开情况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充分利用绩效自评结果加强我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乡财政衔接推进乡村振兴补助资金</w:t>
      </w:r>
      <w:r>
        <w:rPr>
          <w:rFonts w:hint="eastAsia" w:ascii="仿宋" w:hAnsi="仿宋" w:eastAsia="仿宋" w:cs="仿宋"/>
          <w:sz w:val="32"/>
          <w:szCs w:val="32"/>
        </w:rPr>
        <w:t>管理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有效巩固脱贫攻坚成果、促进乡村振兴并依法对自评结果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进行</w:t>
      </w:r>
      <w:r>
        <w:rPr>
          <w:rFonts w:hint="eastAsia" w:ascii="仿宋" w:hAnsi="仿宋" w:eastAsia="仿宋" w:cs="仿宋"/>
          <w:sz w:val="32"/>
          <w:szCs w:val="32"/>
        </w:rPr>
        <w:t>公示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以便全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乡</w:t>
      </w:r>
      <w:r>
        <w:rPr>
          <w:rFonts w:hint="eastAsia" w:ascii="仿宋" w:hAnsi="仿宋" w:eastAsia="仿宋" w:cs="仿宋"/>
          <w:sz w:val="32"/>
          <w:szCs w:val="32"/>
        </w:rPr>
        <w:t>人民监督。</w:t>
      </w:r>
    </w:p>
    <w:p>
      <w:pPr>
        <w:shd w:val="solid" w:color="FFFFFF" w:fill="auto"/>
        <w:autoSpaceDN w:val="0"/>
        <w:spacing w:line="560" w:lineRule="atLeast"/>
        <w:ind w:firstLine="640" w:firstLineChars="200"/>
        <w:jc w:val="right"/>
        <w:rPr>
          <w:rStyle w:val="5"/>
          <w:rFonts w:hint="eastAsia" w:ascii="仿宋" w:hAnsi="仿宋" w:eastAsia="仿宋" w:cs="Times New Roman"/>
          <w:color w:val="auto"/>
          <w:kern w:val="2"/>
          <w:sz w:val="32"/>
          <w:szCs w:val="32"/>
          <w:u w:val="none"/>
          <w:lang w:val="en-US" w:eastAsia="zh-CN"/>
        </w:rPr>
      </w:pPr>
    </w:p>
    <w:p>
      <w:pPr>
        <w:shd w:val="solid" w:color="FFFFFF" w:fill="auto"/>
        <w:autoSpaceDN w:val="0"/>
        <w:spacing w:line="560" w:lineRule="atLeast"/>
        <w:ind w:firstLine="640" w:firstLineChars="200"/>
        <w:jc w:val="right"/>
        <w:rPr>
          <w:rStyle w:val="5"/>
          <w:rFonts w:hint="eastAsia" w:ascii="仿宋" w:hAnsi="仿宋" w:eastAsia="仿宋" w:cs="Times New Roman"/>
          <w:color w:val="auto"/>
          <w:kern w:val="2"/>
          <w:sz w:val="32"/>
          <w:szCs w:val="32"/>
          <w:u w:val="none"/>
        </w:rPr>
      </w:pPr>
      <w:r>
        <w:rPr>
          <w:rStyle w:val="5"/>
          <w:rFonts w:hint="eastAsia" w:ascii="仿宋" w:hAnsi="仿宋" w:eastAsia="仿宋" w:cs="Times New Roman"/>
          <w:color w:val="auto"/>
          <w:kern w:val="2"/>
          <w:sz w:val="32"/>
          <w:szCs w:val="32"/>
          <w:u w:val="none"/>
          <w:lang w:val="en-US" w:eastAsia="zh-CN"/>
        </w:rPr>
        <w:t>麻塘苗族瑶族</w:t>
      </w:r>
      <w:r>
        <w:rPr>
          <w:rStyle w:val="5"/>
          <w:rFonts w:hint="eastAsia" w:ascii="仿宋" w:hAnsi="仿宋" w:eastAsia="仿宋" w:cs="Times New Roman"/>
          <w:color w:val="auto"/>
          <w:kern w:val="2"/>
          <w:sz w:val="32"/>
          <w:szCs w:val="32"/>
          <w:u w:val="none"/>
        </w:rPr>
        <w:t>乡人民政府</w:t>
      </w:r>
    </w:p>
    <w:p>
      <w:pPr>
        <w:shd w:val="solid" w:color="FFFFFF" w:fill="auto"/>
        <w:autoSpaceDN w:val="0"/>
        <w:spacing w:line="560" w:lineRule="atLeas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Style w:val="5"/>
          <w:rFonts w:hint="eastAsia" w:ascii="仿宋" w:hAnsi="仿宋" w:eastAsia="仿宋" w:cs="Times New Roman"/>
          <w:color w:val="auto"/>
          <w:kern w:val="2"/>
          <w:sz w:val="32"/>
          <w:szCs w:val="32"/>
          <w:u w:val="none"/>
        </w:rPr>
        <w:t>202</w:t>
      </w:r>
      <w:r>
        <w:rPr>
          <w:rStyle w:val="5"/>
          <w:rFonts w:hint="eastAsia" w:ascii="仿宋" w:hAnsi="仿宋" w:eastAsia="仿宋" w:cs="Times New Roman"/>
          <w:color w:val="auto"/>
          <w:kern w:val="2"/>
          <w:sz w:val="32"/>
          <w:szCs w:val="32"/>
          <w:u w:val="none"/>
          <w:lang w:val="en-US" w:eastAsia="zh-CN"/>
        </w:rPr>
        <w:t>5</w:t>
      </w:r>
      <w:r>
        <w:rPr>
          <w:rStyle w:val="5"/>
          <w:rFonts w:hint="eastAsia" w:ascii="仿宋" w:hAnsi="仿宋" w:eastAsia="仿宋" w:cs="Times New Roman"/>
          <w:color w:val="auto"/>
          <w:kern w:val="2"/>
          <w:sz w:val="32"/>
          <w:szCs w:val="32"/>
          <w:u w:val="none"/>
        </w:rPr>
        <w:t>年</w:t>
      </w:r>
      <w:r>
        <w:rPr>
          <w:rStyle w:val="5"/>
          <w:rFonts w:hint="eastAsia" w:ascii="仿宋" w:hAnsi="仿宋" w:eastAsia="仿宋" w:cs="Times New Roman"/>
          <w:color w:val="auto"/>
          <w:kern w:val="2"/>
          <w:sz w:val="32"/>
          <w:szCs w:val="32"/>
          <w:u w:val="none"/>
          <w:lang w:val="en-US" w:eastAsia="zh-CN"/>
        </w:rPr>
        <w:t>3</w:t>
      </w:r>
      <w:r>
        <w:rPr>
          <w:rStyle w:val="5"/>
          <w:rFonts w:hint="eastAsia" w:ascii="仿宋" w:hAnsi="仿宋" w:eastAsia="仿宋" w:cs="Times New Roman"/>
          <w:color w:val="auto"/>
          <w:kern w:val="2"/>
          <w:sz w:val="32"/>
          <w:szCs w:val="32"/>
          <w:u w:val="none"/>
        </w:rPr>
        <w:t>月</w:t>
      </w:r>
      <w:r>
        <w:rPr>
          <w:rStyle w:val="5"/>
          <w:rFonts w:hint="eastAsia" w:ascii="仿宋" w:hAnsi="仿宋" w:eastAsia="仿宋" w:cs="Times New Roman"/>
          <w:color w:val="auto"/>
          <w:kern w:val="2"/>
          <w:sz w:val="32"/>
          <w:szCs w:val="32"/>
          <w:u w:val="none"/>
          <w:lang w:val="en-US" w:eastAsia="zh-CN"/>
        </w:rPr>
        <w:t>25</w:t>
      </w:r>
      <w:r>
        <w:rPr>
          <w:rStyle w:val="5"/>
          <w:rFonts w:hint="eastAsia" w:ascii="仿宋" w:hAnsi="仿宋" w:eastAsia="仿宋" w:cs="Times New Roman"/>
          <w:color w:val="auto"/>
          <w:kern w:val="2"/>
          <w:sz w:val="32"/>
          <w:szCs w:val="32"/>
          <w:u w:val="none"/>
        </w:rPr>
        <w:t>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right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DC1FCF"/>
    <w:multiLevelType w:val="singleLevel"/>
    <w:tmpl w:val="B0DC1FCF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  <w:b w:val="0"/>
        <w:bCs w:val="0"/>
      </w:rPr>
    </w:lvl>
  </w:abstractNum>
  <w:abstractNum w:abstractNumId="1">
    <w:nsid w:val="F9205CAC"/>
    <w:multiLevelType w:val="singleLevel"/>
    <w:tmpl w:val="F9205CA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13187797"/>
    <w:multiLevelType w:val="singleLevel"/>
    <w:tmpl w:val="13187797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3">
    <w:nsid w:val="15D65A0E"/>
    <w:multiLevelType w:val="singleLevel"/>
    <w:tmpl w:val="15D65A0E"/>
    <w:lvl w:ilvl="0" w:tentative="0">
      <w:start w:val="2"/>
      <w:numFmt w:val="decimal"/>
      <w:lvlText w:val="(%1)"/>
      <w:lvlJc w:val="left"/>
      <w:pPr>
        <w:tabs>
          <w:tab w:val="left" w:pos="312"/>
        </w:tabs>
      </w:pPr>
    </w:lvl>
  </w:abstractNum>
  <w:abstractNum w:abstractNumId="4">
    <w:nsid w:val="3F8BE313"/>
    <w:multiLevelType w:val="singleLevel"/>
    <w:tmpl w:val="3F8BE313"/>
    <w:lvl w:ilvl="0" w:tentative="0">
      <w:start w:val="3"/>
      <w:numFmt w:val="decimal"/>
      <w:suff w:val="nothing"/>
      <w:lvlText w:val="%1、"/>
      <w:lvlJc w:val="left"/>
    </w:lvl>
  </w:abstractNum>
  <w:abstractNum w:abstractNumId="5">
    <w:nsid w:val="6921CF3C"/>
    <w:multiLevelType w:val="singleLevel"/>
    <w:tmpl w:val="6921CF3C"/>
    <w:lvl w:ilvl="0" w:tentative="0">
      <w:start w:val="2"/>
      <w:numFmt w:val="decimal"/>
      <w:suff w:val="nothing"/>
      <w:lvlText w:val="%1．"/>
      <w:lvlJc w:val="left"/>
    </w:lvl>
  </w:abstractNum>
  <w:abstractNum w:abstractNumId="6">
    <w:nsid w:val="6CD1A718"/>
    <w:multiLevelType w:val="singleLevel"/>
    <w:tmpl w:val="6CD1A718"/>
    <w:lvl w:ilvl="0" w:tentative="0">
      <w:start w:val="1"/>
      <w:numFmt w:val="decimal"/>
      <w:suff w:val="nothing"/>
      <w:lvlText w:val="（%1）"/>
      <w:lvlJc w:val="left"/>
      <w:pPr>
        <w:ind w:left="-5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zMjNmNzczNGZiMGYxNjg0OTczNjFkY2U1NzBiN2MifQ=="/>
  </w:docVars>
  <w:rsids>
    <w:rsidRoot w:val="00000000"/>
    <w:rsid w:val="00BF1F7E"/>
    <w:rsid w:val="04B54A0D"/>
    <w:rsid w:val="07740BAF"/>
    <w:rsid w:val="08CE1392"/>
    <w:rsid w:val="0A30013D"/>
    <w:rsid w:val="0B0577DC"/>
    <w:rsid w:val="0B6B4077"/>
    <w:rsid w:val="0BEB340A"/>
    <w:rsid w:val="0E544E57"/>
    <w:rsid w:val="105F0026"/>
    <w:rsid w:val="10EF574B"/>
    <w:rsid w:val="10F54327"/>
    <w:rsid w:val="12AA1814"/>
    <w:rsid w:val="15836462"/>
    <w:rsid w:val="16C8035E"/>
    <w:rsid w:val="16DC3E4F"/>
    <w:rsid w:val="16EE1BB5"/>
    <w:rsid w:val="171A4BA4"/>
    <w:rsid w:val="17B80644"/>
    <w:rsid w:val="17EB6307"/>
    <w:rsid w:val="1B7725C5"/>
    <w:rsid w:val="1D3F35B6"/>
    <w:rsid w:val="1FB4127D"/>
    <w:rsid w:val="20922013"/>
    <w:rsid w:val="23B02B18"/>
    <w:rsid w:val="23C969CE"/>
    <w:rsid w:val="25F82554"/>
    <w:rsid w:val="268070C2"/>
    <w:rsid w:val="281025A5"/>
    <w:rsid w:val="285E30F8"/>
    <w:rsid w:val="2A6F4508"/>
    <w:rsid w:val="2DD445FD"/>
    <w:rsid w:val="2EDD3879"/>
    <w:rsid w:val="2F350375"/>
    <w:rsid w:val="3041038A"/>
    <w:rsid w:val="374D6389"/>
    <w:rsid w:val="38926838"/>
    <w:rsid w:val="39B0341A"/>
    <w:rsid w:val="3CE27966"/>
    <w:rsid w:val="3E5C593D"/>
    <w:rsid w:val="41A03D74"/>
    <w:rsid w:val="423D5A66"/>
    <w:rsid w:val="47564A3F"/>
    <w:rsid w:val="48410841"/>
    <w:rsid w:val="4AEC7B3E"/>
    <w:rsid w:val="50E13F2A"/>
    <w:rsid w:val="518912A0"/>
    <w:rsid w:val="51EA20C4"/>
    <w:rsid w:val="53C2277C"/>
    <w:rsid w:val="53D55AFF"/>
    <w:rsid w:val="571E76EE"/>
    <w:rsid w:val="58CE0D6F"/>
    <w:rsid w:val="5A2A7623"/>
    <w:rsid w:val="5C5D384D"/>
    <w:rsid w:val="5CE56B8B"/>
    <w:rsid w:val="5CF74D74"/>
    <w:rsid w:val="5DB4040F"/>
    <w:rsid w:val="608B60E3"/>
    <w:rsid w:val="62332162"/>
    <w:rsid w:val="62BD432E"/>
    <w:rsid w:val="62BD7466"/>
    <w:rsid w:val="632A3916"/>
    <w:rsid w:val="63473BF7"/>
    <w:rsid w:val="635655AC"/>
    <w:rsid w:val="66833198"/>
    <w:rsid w:val="6ABB2000"/>
    <w:rsid w:val="6BFD579B"/>
    <w:rsid w:val="6D62736B"/>
    <w:rsid w:val="6D9565B3"/>
    <w:rsid w:val="6DA560EA"/>
    <w:rsid w:val="7204025E"/>
    <w:rsid w:val="721042A2"/>
    <w:rsid w:val="725400DF"/>
    <w:rsid w:val="76203748"/>
    <w:rsid w:val="77C704C0"/>
    <w:rsid w:val="78850FF2"/>
    <w:rsid w:val="7A087409"/>
    <w:rsid w:val="7A2125C0"/>
    <w:rsid w:val="7C80044E"/>
    <w:rsid w:val="7E7933A7"/>
    <w:rsid w:val="7F141322"/>
    <w:rsid w:val="DFEB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  <w:style w:type="table" w:customStyle="1" w:styleId="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2882</Words>
  <Characters>3024</Characters>
  <Lines>0</Lines>
  <Paragraphs>0</Paragraphs>
  <TotalTime>184</TotalTime>
  <ScaleCrop>false</ScaleCrop>
  <LinksUpToDate>false</LinksUpToDate>
  <CharactersWithSpaces>3028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qwe123</cp:lastModifiedBy>
  <cp:lastPrinted>2024-03-19T10:16:00Z</cp:lastPrinted>
  <dcterms:modified xsi:type="dcterms:W3CDTF">2025-09-24T16:40:41Z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7DE30DF729DC44E5AD1F474FB1A88333</vt:lpwstr>
  </property>
  <property fmtid="{D5CDD505-2E9C-101B-9397-08002B2CF9AE}" pid="4" name="KSOTemplateDocerSaveRecord">
    <vt:lpwstr>eyJoZGlkIjoiNmRmY2RhNjI0OWU3Nzg0ZWFlODQ5MDk1YzI3ZDRmNzkiLCJ1c2VySWQiOiIyNDIzNTY0MzEifQ==</vt:lpwstr>
  </property>
</Properties>
</file>