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2024年度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部门整体支出绩效自评报告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绥宁县水口乡</w:t>
      </w: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2025年3</w:t>
      </w: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月24日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44"/>
          <w:szCs w:val="44"/>
        </w:rPr>
      </w:pPr>
    </w:p>
    <w:p>
      <w:pPr>
        <w:keepNext w:val="0"/>
        <w:keepLines w:val="0"/>
        <w:widowControl/>
        <w:suppressLineNumbers w:val="0"/>
        <w:ind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为进一步规范和加强预算资金管理，提高财政资金使用绩效，根据县财政局《关于开展2024年度财政支出绩效自评工作的通知》（绥财绩〔2025〕1号）相关要求，我部门对部门整体支出情况实施了绩效自评，现将自评情况报告如下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一、部门基本情况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部门职能职责</w:t>
      </w:r>
    </w:p>
    <w:p>
      <w:pPr>
        <w:ind w:firstLine="480" w:firstLineChars="15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我单位是领导本地区经济、政治、文化、社会、生态文明建设等各项工作和基层社会治理的主体。</w:t>
      </w:r>
    </w:p>
    <w:p>
      <w:pPr>
        <w:ind w:firstLine="480" w:firstLineChars="15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行的职责有：1、宣传和贯彻执行党的路线方针政策和法律法规。2、落实基层管党治党工作责任制。3、规范经济管理。4、加强社会管理和基础设施建设。5、发展公益事业，强化公共服务。6、加强综合治理，维护社会稳定。7、按照管理权限，负责机关和事业单位工作人员的教育、培养、选拔和监督工作。8、依法依规承担下放的经济社会管理权限和行政执法事项。9、行使《中华人名共和国地方各级人民代表大会和地方各级人民政府组织法》等法律法规赋予的职权。10、完成县委、县政府交办的其他事项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机构设置情况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 w:firstLine="640" w:firstLineChars="200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2024年末，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我单位设置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个党政机构，1个综合行政执法大队，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3个直属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事业单位。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内设股室分别是：党政办公室、党建办公室、经济发展办公室、平安法治和应急管理办公室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执法机构为：综合行政执法大队。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rPr>
          <w:rFonts w:hint="default" w:ascii="Arial" w:hAnsi="Arial" w:eastAsia="楷体" w:cs="Arial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所属事业单位分别是：农业综合服务中心、生态事务中心、退役军人服务站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left="641" w:right="0" w:firstLine="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人员编制情况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tLeast"/>
        <w:ind w:right="0"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2024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年末，我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部门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共有编制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人，其中行政编制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18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人，事业编制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人。年末实有在职人员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42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退休人员7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离休人员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二、一般公共预算支出情况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（一）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基本支出情况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年基本支出共计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982.58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万元</w:t>
      </w:r>
      <w:r>
        <w:rPr>
          <w:rFonts w:hint="eastAsia" w:eastAsia="仿宋_GB2312" w:cs="Times New Roman"/>
          <w:color w:val="0C0C0C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人员经费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597.97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公用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经费</w:t>
      </w:r>
      <w:r>
        <w:rPr>
          <w:rFonts w:hint="eastAsia" w:eastAsia="仿宋_GB2312" w:cs="Times New Roman"/>
          <w:color w:val="0C0C0C"/>
          <w:sz w:val="32"/>
          <w:szCs w:val="32"/>
          <w:lang w:val="en-US" w:eastAsia="zh-CN"/>
        </w:rPr>
        <w:t>384.61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Times New Roman" w:hAnsi="Times New Roman" w:eastAsia="仿宋_GB2312" w:cs="Times New Roman"/>
          <w:color w:val="0C0C0C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1.人员经费597.97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主要用于在职人员工资津补贴、奖金、离休费、社保缴费、住房公积金缴费、老干医疗费、抚恤金等。人员经费支出严格按照相关政策和标准列支。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C0C0C"/>
          <w:sz w:val="32"/>
          <w:szCs w:val="32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公用经费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384.61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万元。</w:t>
      </w:r>
      <w:r>
        <w:rPr>
          <w:rFonts w:hint="default" w:ascii="Times New Roman" w:hAnsi="Times New Roman" w:eastAsia="仿宋_GB2312" w:cs="Times New Roman"/>
          <w:color w:val="0C0C0C"/>
          <w:sz w:val="32"/>
          <w:szCs w:val="32"/>
        </w:rPr>
        <w:t>主要用于为保障基本运行而发生的办公费、印刷费、邮电费、水费、电费、物业管理费、取暖费、维修费、差旅费等。公用经费支出严格执行部门预算，厉行节约，控制运行成本。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both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（二）</w:t>
      </w: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项目支出情况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eastAsia="zh-CN"/>
        </w:rPr>
        <w:t>2024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年项目支出共计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857.6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万元，其中业务工作经费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365.9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运行维护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经费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87.9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万元，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专项资金403.8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业务工作经费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365.9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行政运行、文化、就业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，农林水专项资金289.7万元，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农业、林业、水利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；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.运行维护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经费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87.9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村集体经济组织和基础设施维护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等方面。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3.上级专项资金403.8</w:t>
      </w:r>
      <w:r>
        <w:rPr>
          <w:rFonts w:hint="default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万元</w:t>
      </w:r>
      <w:r>
        <w:rPr>
          <w:rFonts w:hint="eastAsia" w:ascii="仿宋" w:hAnsi="仿宋" w:eastAsia="仿宋" w:cs="仿宋"/>
          <w:b/>
          <w:bCs/>
          <w:color w:val="0C0C0C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其中乡村振兴专项资金335.4万元，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主要用于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乡村振兴建设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等方面</w:t>
      </w: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；自然灾害救灾资金68.4万元，主要用于灾后恢复和重建等方面。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三、政府性基金预算支出情况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2024年度政府性基金预算支出12.97万元。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国有资本经营预算支出情况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line="586" w:lineRule="exact"/>
        <w:ind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年度无国有资本经营预算支出。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leftChars="0" w:right="0" w:firstLine="0" w:firstLineChars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社会保险基金预算支出情况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color w:val="0C0C0C"/>
          <w:sz w:val="32"/>
          <w:szCs w:val="32"/>
          <w:lang w:val="en-US" w:eastAsia="zh-CN"/>
        </w:rPr>
        <w:t>2024</w:t>
      </w:r>
      <w:r>
        <w:rPr>
          <w:rFonts w:hint="default" w:ascii="仿宋" w:hAnsi="仿宋" w:eastAsia="仿宋" w:cs="仿宋"/>
          <w:color w:val="0C0C0C"/>
          <w:sz w:val="32"/>
          <w:szCs w:val="32"/>
          <w:lang w:val="en-US" w:eastAsia="zh-CN"/>
        </w:rPr>
        <w:t>年度无社会保险基金预算支出。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六、部门整体支出绩效情况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jc w:val="both"/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C0C0C"/>
          <w:kern w:val="2"/>
          <w:sz w:val="32"/>
          <w:szCs w:val="32"/>
          <w:lang w:val="en-US" w:eastAsia="zh-CN" w:bidi="ar-SA"/>
        </w:rPr>
        <w:t>2024年，在县委、县政府的领导下，坚持依法行政、执法为民，稳中求进，改革创新，积极作为，突出抓改革强监管促发展，各方面工作稳步推进。根据部门整体支出绩效自评评分（详见附件2），得分95分，部门整体支出绩效为“优”。主要绩效如下：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</w:rPr>
        <w:t>有健全的管理制度，制定了镇财务管理制度和会计核算管理制度。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成绩二。</w:t>
      </w:r>
      <w:r>
        <w:rPr>
          <w:rFonts w:hint="eastAsia" w:ascii="仿宋" w:hAnsi="仿宋" w:eastAsia="仿宋" w:cs="仿宋"/>
          <w:color w:val="0C0C0C"/>
          <w:kern w:val="2"/>
          <w:sz w:val="32"/>
          <w:szCs w:val="32"/>
        </w:rPr>
        <w:t>资金使用合法合规，拨付手续完整，无截留、挪用、虚列等情况。</w:t>
      </w:r>
    </w:p>
    <w:p>
      <w:pPr>
        <w:pStyle w:val="4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64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成绩三。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厉行节约，不超越算支出，减少三公经费的开支。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七、存在的问题及原因分析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5" w:leftChars="0" w:right="0" w:rightChars="0"/>
        <w:rPr>
          <w:rFonts w:hint="eastAsia" w:ascii="仿宋" w:hAnsi="仿宋" w:eastAsia="仿宋" w:cs="仿宋"/>
          <w:color w:val="0C0C0C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（一）问题一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预算控制率有待进一步缩小。</w:t>
      </w:r>
    </w:p>
    <w:p>
      <w:pPr>
        <w:autoSpaceDN w:val="0"/>
        <w:ind w:firstLine="643" w:firstLineChars="200"/>
        <w:outlineLvl w:val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（二）问题二。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公用经费管理不够严谨，缺乏专门的乡绩效考核制度。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5" w:leftChars="0" w:right="0" w:rightChars="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（三）问题三。</w:t>
      </w:r>
      <w:r>
        <w:rPr>
          <w:rFonts w:hint="eastAsia" w:ascii="仿宋" w:hAnsi="仿宋" w:eastAsia="仿宋" w:cs="仿宋"/>
          <w:color w:val="0C0C0C"/>
          <w:sz w:val="32"/>
          <w:szCs w:val="32"/>
        </w:rPr>
        <w:t>乡财政经费困难，得不到有利保障。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640" w:right="0" w:firstLine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八、下一步改进措施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color w:val="0C0C0C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（一）安排专项工作经费，加大经济投入力度及考核力度。解决各项目实施过程中所遇到的困难，确保此项工作的顺利开展。</w:t>
      </w:r>
    </w:p>
    <w:p>
      <w:pPr>
        <w:autoSpaceDN w:val="0"/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（二）加强预算管理，根据实际情况制定预算。控制三公经费的支出，避免出现超预算支出的情况。</w:t>
      </w:r>
    </w:p>
    <w:p>
      <w:pPr>
        <w:autoSpaceDN w:val="0"/>
        <w:ind w:firstLine="640" w:firstLineChars="200"/>
        <w:jc w:val="right"/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</w:pPr>
    </w:p>
    <w:p>
      <w:pPr>
        <w:autoSpaceDN w:val="0"/>
        <w:ind w:firstLine="640" w:firstLineChars="200"/>
        <w:jc w:val="right"/>
        <w:rPr>
          <w:rFonts w:hint="eastAsia" w:ascii="仿宋" w:hAnsi="仿宋" w:eastAsia="仿宋" w:cs="仿宋"/>
          <w:color w:val="0C0C0C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水口乡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人民政府</w:t>
      </w:r>
    </w:p>
    <w:p>
      <w:pPr>
        <w:spacing w:line="60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月2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C0C0C"/>
          <w:kern w:val="0"/>
          <w:sz w:val="32"/>
          <w:szCs w:val="32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9D4A05"/>
    <w:multiLevelType w:val="singleLevel"/>
    <w:tmpl w:val="D99D4A05"/>
    <w:lvl w:ilvl="0" w:tentative="0">
      <w:start w:val="1"/>
      <w:numFmt w:val="chineseCounting"/>
      <w:suff w:val="nothing"/>
      <w:lvlText w:val="（%1）"/>
      <w:lvlJc w:val="left"/>
      <w:rPr>
        <w:rFonts w:hint="eastAsia" w:ascii="楷体" w:hAnsi="楷体" w:eastAsia="楷体" w:cs="楷体"/>
        <w:b/>
        <w:bCs/>
        <w:sz w:val="32"/>
        <w:szCs w:val="32"/>
      </w:rPr>
    </w:lvl>
  </w:abstractNum>
  <w:abstractNum w:abstractNumId="1">
    <w:nsid w:val="6DD6DCE7"/>
    <w:multiLevelType w:val="singleLevel"/>
    <w:tmpl w:val="6DD6DCE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NzIzYWZhMjZjZDJkMmExNWQ2YjIzZjg4YWY0N2QifQ=="/>
  </w:docVars>
  <w:rsids>
    <w:rsidRoot w:val="00000000"/>
    <w:rsid w:val="00BF1F7E"/>
    <w:rsid w:val="00CA443A"/>
    <w:rsid w:val="07740BAF"/>
    <w:rsid w:val="07FE3A27"/>
    <w:rsid w:val="08CE1392"/>
    <w:rsid w:val="0A30013D"/>
    <w:rsid w:val="0B0577DC"/>
    <w:rsid w:val="0BEB340A"/>
    <w:rsid w:val="0E544E57"/>
    <w:rsid w:val="10EF574B"/>
    <w:rsid w:val="12AA1814"/>
    <w:rsid w:val="16C8035E"/>
    <w:rsid w:val="16DC3E4F"/>
    <w:rsid w:val="16EE1BB5"/>
    <w:rsid w:val="17EB6307"/>
    <w:rsid w:val="1CC1389F"/>
    <w:rsid w:val="1D3F35B6"/>
    <w:rsid w:val="23B02B18"/>
    <w:rsid w:val="23C969CE"/>
    <w:rsid w:val="25F82554"/>
    <w:rsid w:val="26432881"/>
    <w:rsid w:val="268070C2"/>
    <w:rsid w:val="281025A5"/>
    <w:rsid w:val="285E30F8"/>
    <w:rsid w:val="2A6F4508"/>
    <w:rsid w:val="2DD445FD"/>
    <w:rsid w:val="2EDD3879"/>
    <w:rsid w:val="3041038A"/>
    <w:rsid w:val="39B0341A"/>
    <w:rsid w:val="3CE27966"/>
    <w:rsid w:val="3E5C593D"/>
    <w:rsid w:val="40BB7ACD"/>
    <w:rsid w:val="41A03D74"/>
    <w:rsid w:val="423D5A66"/>
    <w:rsid w:val="47564A3F"/>
    <w:rsid w:val="48410841"/>
    <w:rsid w:val="4AEC7B3E"/>
    <w:rsid w:val="4D600066"/>
    <w:rsid w:val="50E13F2A"/>
    <w:rsid w:val="518912A0"/>
    <w:rsid w:val="51EA20C4"/>
    <w:rsid w:val="53C2277C"/>
    <w:rsid w:val="53D55AFF"/>
    <w:rsid w:val="56EC4DD7"/>
    <w:rsid w:val="571E76EE"/>
    <w:rsid w:val="587F41BA"/>
    <w:rsid w:val="5A2A7623"/>
    <w:rsid w:val="5CF74D74"/>
    <w:rsid w:val="5DB4040F"/>
    <w:rsid w:val="608B60E3"/>
    <w:rsid w:val="62332162"/>
    <w:rsid w:val="62BD432E"/>
    <w:rsid w:val="62BD7466"/>
    <w:rsid w:val="632A3916"/>
    <w:rsid w:val="63473BF7"/>
    <w:rsid w:val="635655AC"/>
    <w:rsid w:val="66833198"/>
    <w:rsid w:val="6ABB2000"/>
    <w:rsid w:val="6D62736B"/>
    <w:rsid w:val="6D9565B3"/>
    <w:rsid w:val="6DA560EA"/>
    <w:rsid w:val="721042A2"/>
    <w:rsid w:val="725400DF"/>
    <w:rsid w:val="73E746C1"/>
    <w:rsid w:val="76203748"/>
    <w:rsid w:val="77C704C0"/>
    <w:rsid w:val="78850FF2"/>
    <w:rsid w:val="7A2125C0"/>
    <w:rsid w:val="7C80044E"/>
    <w:rsid w:val="7E7933A7"/>
    <w:rsid w:val="7F14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9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1547</Words>
  <Characters>1658</Characters>
  <Lines>0</Lines>
  <Paragraphs>0</Paragraphs>
  <TotalTime>3</TotalTime>
  <ScaleCrop>false</ScaleCrop>
  <LinksUpToDate>false</LinksUpToDate>
  <CharactersWithSpaces>1658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2025-02-17T07:08:00Z</cp:lastPrinted>
  <dcterms:modified xsi:type="dcterms:W3CDTF">2025-09-26T02:49:45Z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7DE30DF729DC44E5AD1F474FB1A88333</vt:lpwstr>
  </property>
  <property fmtid="{D5CDD505-2E9C-101B-9397-08002B2CF9AE}" pid="4" name="KSOTemplateDocerSaveRecord">
    <vt:lpwstr>eyJoZGlkIjoiYTMxMjhhMGY0ZTJlODMyNzFmYTBlMzVlOTdmYmJmMWQiLCJ1c2VySWQiOiIzMTIxNTE1NjYifQ==</vt:lpwstr>
  </property>
</Properties>
</file>