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F660F">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FF0000"/>
          <w:w w:val="66"/>
          <w:sz w:val="106"/>
          <w:szCs w:val="106"/>
          <w:lang w:eastAsia="zh-CN"/>
        </w:rPr>
      </w:pPr>
    </w:p>
    <w:p w14:paraId="0F856DCE">
      <w:pPr>
        <w:widowControl w:val="0"/>
        <w:wordWrap/>
        <w:adjustRightInd/>
        <w:snapToGrid/>
        <w:spacing w:before="0" w:after="0" w:line="6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FF0000"/>
          <w:w w:val="66"/>
          <w:sz w:val="106"/>
          <w:szCs w:val="106"/>
          <w:lang w:eastAsia="zh-CN"/>
        </w:rPr>
      </w:pPr>
    </w:p>
    <w:p w14:paraId="4F49A276">
      <w:pPr>
        <w:ind w:right="-313" w:rightChars="-149"/>
        <w:jc w:val="center"/>
        <w:rPr>
          <w:rFonts w:hint="eastAsia" w:ascii="方正小标宋简体" w:hAnsi="方正小标宋简体" w:eastAsia="方正小标宋简体" w:cs="方正小标宋简体"/>
          <w:color w:val="FF0000"/>
          <w:w w:val="56"/>
          <w:sz w:val="110"/>
          <w:szCs w:val="110"/>
          <w:lang w:eastAsia="zh-CN"/>
        </w:rPr>
      </w:pPr>
      <w:r>
        <w:rPr>
          <w:rFonts w:ascii="Calibri" w:hAnsi="Calibri" w:eastAsia="宋体" w:cs="黑体"/>
          <w:kern w:val="2"/>
          <w:sz w:val="110"/>
          <w:szCs w:val="110"/>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944245</wp:posOffset>
                </wp:positionV>
                <wp:extent cx="5571490" cy="43180"/>
                <wp:effectExtent l="0" t="9525" r="10160" b="23495"/>
                <wp:wrapNone/>
                <wp:docPr id="1" name="直线 1025"/>
                <wp:cNvGraphicFramePr/>
                <a:graphic xmlns:a="http://schemas.openxmlformats.org/drawingml/2006/main">
                  <a:graphicData uri="http://schemas.microsoft.com/office/word/2010/wordprocessingShape">
                    <wps:wsp>
                      <wps:cNvCnPr/>
                      <wps:spPr>
                        <a:xfrm flipV="1">
                          <a:off x="0" y="0"/>
                          <a:ext cx="5571490" cy="4318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1025" o:spid="_x0000_s1026" o:spt="20" style="position:absolute;left:0pt;flip:y;margin-left:-3.8pt;margin-top:74.35pt;height:3.4pt;width:438.7pt;z-index:251659264;mso-width-relative:page;mso-height-relative:page;" filled="f" stroked="t" coordsize="21600,21600" o:gfxdata="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hjVvzZAAAACgEAAA8AAAAAAAAAAQAgAAAAIgAAAGRycy9kb3ducmV2Lnht&#10;bFBLAQIUABQAAAAIAIdO4kBddsad+AEAAO0DAAAOAAAAAAAAAAEAIAAAACgBAABkcnMvZTJvRG9j&#10;LnhtbFBLBQYAAAAABgAGAFkBAACSBQAAAAA=&#10;">
                <v:fill on="f" focussize="0,0"/>
                <v:stroke weight="1.5pt" color="#FF0000" joinstyle="round"/>
                <v:imagedata o:title=""/>
                <o:lock v:ext="edit" aspectratio="f"/>
              </v:line>
            </w:pict>
          </mc:Fallback>
        </mc:AlternateContent>
      </w:r>
      <w:r>
        <w:rPr>
          <w:rFonts w:hint="eastAsia" w:ascii="方正小标宋简体" w:hAnsi="方正小标宋简体" w:eastAsia="方正小标宋简体" w:cs="方正小标宋简体"/>
          <w:color w:val="FF0000"/>
          <w:w w:val="66"/>
          <w:sz w:val="110"/>
          <w:szCs w:val="110"/>
          <w:lang w:eastAsia="zh-CN"/>
        </w:rPr>
        <w:t>绥</w:t>
      </w:r>
      <w:r>
        <w:rPr>
          <w:rFonts w:hint="eastAsia" w:ascii="方正小标宋简体" w:hAnsi="方正小标宋简体" w:eastAsia="方正小标宋简体" w:cs="方正小标宋简体"/>
          <w:color w:val="FF0000"/>
          <w:w w:val="66"/>
          <w:sz w:val="110"/>
          <w:szCs w:val="110"/>
          <w:lang w:val="en-US" w:eastAsia="zh-CN"/>
        </w:rPr>
        <w:t xml:space="preserve"> </w:t>
      </w:r>
      <w:r>
        <w:rPr>
          <w:rFonts w:hint="eastAsia" w:ascii="方正小标宋简体" w:hAnsi="方正小标宋简体" w:eastAsia="方正小标宋简体" w:cs="方正小标宋简体"/>
          <w:color w:val="FF0000"/>
          <w:w w:val="66"/>
          <w:sz w:val="110"/>
          <w:szCs w:val="110"/>
          <w:lang w:eastAsia="zh-CN"/>
        </w:rPr>
        <w:t>宁</w:t>
      </w:r>
      <w:r>
        <w:rPr>
          <w:rFonts w:hint="eastAsia" w:ascii="方正小标宋简体" w:hAnsi="方正小标宋简体" w:eastAsia="方正小标宋简体" w:cs="方正小标宋简体"/>
          <w:color w:val="FF0000"/>
          <w:w w:val="66"/>
          <w:sz w:val="110"/>
          <w:szCs w:val="110"/>
          <w:lang w:val="en-US" w:eastAsia="zh-CN"/>
        </w:rPr>
        <w:t xml:space="preserve"> </w:t>
      </w:r>
      <w:r>
        <w:rPr>
          <w:rFonts w:hint="eastAsia" w:ascii="方正小标宋简体" w:hAnsi="方正小标宋简体" w:eastAsia="方正小标宋简体" w:cs="方正小标宋简体"/>
          <w:color w:val="FF0000"/>
          <w:w w:val="66"/>
          <w:sz w:val="110"/>
          <w:szCs w:val="110"/>
          <w:lang w:eastAsia="zh-CN"/>
        </w:rPr>
        <w:t>县</w:t>
      </w:r>
      <w:r>
        <w:rPr>
          <w:rFonts w:hint="eastAsia" w:ascii="方正小标宋简体" w:hAnsi="方正小标宋简体" w:eastAsia="方正小标宋简体" w:cs="方正小标宋简体"/>
          <w:color w:val="FF0000"/>
          <w:w w:val="66"/>
          <w:sz w:val="110"/>
          <w:szCs w:val="110"/>
          <w:lang w:val="en-US" w:eastAsia="zh-CN"/>
        </w:rPr>
        <w:t xml:space="preserve"> </w:t>
      </w:r>
      <w:r>
        <w:rPr>
          <w:rFonts w:hint="eastAsia" w:ascii="方正小标宋简体" w:hAnsi="方正小标宋简体" w:eastAsia="方正小标宋简体" w:cs="方正小标宋简体"/>
          <w:color w:val="FF0000"/>
          <w:w w:val="66"/>
          <w:sz w:val="110"/>
          <w:szCs w:val="110"/>
          <w:lang w:eastAsia="zh-CN"/>
        </w:rPr>
        <w:t>卫</w:t>
      </w:r>
      <w:r>
        <w:rPr>
          <w:rFonts w:hint="eastAsia" w:ascii="方正小标宋简体" w:hAnsi="方正小标宋简体" w:eastAsia="方正小标宋简体" w:cs="方正小标宋简体"/>
          <w:color w:val="FF0000"/>
          <w:w w:val="66"/>
          <w:sz w:val="110"/>
          <w:szCs w:val="110"/>
          <w:lang w:val="en-US" w:eastAsia="zh-CN"/>
        </w:rPr>
        <w:t xml:space="preserve"> </w:t>
      </w:r>
      <w:r>
        <w:rPr>
          <w:rFonts w:hint="eastAsia" w:ascii="方正小标宋简体" w:hAnsi="方正小标宋简体" w:eastAsia="方正小标宋简体" w:cs="方正小标宋简体"/>
          <w:color w:val="FF0000"/>
          <w:w w:val="66"/>
          <w:sz w:val="110"/>
          <w:szCs w:val="110"/>
          <w:lang w:eastAsia="zh-CN"/>
        </w:rPr>
        <w:t>生</w:t>
      </w:r>
      <w:r>
        <w:rPr>
          <w:rFonts w:hint="eastAsia" w:ascii="方正小标宋简体" w:hAnsi="方正小标宋简体" w:eastAsia="方正小标宋简体" w:cs="方正小标宋简体"/>
          <w:color w:val="FF0000"/>
          <w:w w:val="66"/>
          <w:sz w:val="110"/>
          <w:szCs w:val="110"/>
          <w:lang w:val="en-US" w:eastAsia="zh-CN"/>
        </w:rPr>
        <w:t xml:space="preserve"> </w:t>
      </w:r>
      <w:r>
        <w:rPr>
          <w:rFonts w:hint="eastAsia" w:ascii="方正小标宋简体" w:hAnsi="方正小标宋简体" w:eastAsia="方正小标宋简体" w:cs="方正小标宋简体"/>
          <w:color w:val="FF0000"/>
          <w:w w:val="66"/>
          <w:sz w:val="110"/>
          <w:szCs w:val="110"/>
          <w:lang w:eastAsia="zh-CN"/>
        </w:rPr>
        <w:t>健</w:t>
      </w:r>
      <w:r>
        <w:rPr>
          <w:rFonts w:hint="eastAsia" w:ascii="方正小标宋简体" w:hAnsi="方正小标宋简体" w:eastAsia="方正小标宋简体" w:cs="方正小标宋简体"/>
          <w:color w:val="FF0000"/>
          <w:w w:val="66"/>
          <w:sz w:val="110"/>
          <w:szCs w:val="110"/>
          <w:lang w:val="en-US" w:eastAsia="zh-CN"/>
        </w:rPr>
        <w:t xml:space="preserve"> </w:t>
      </w:r>
      <w:r>
        <w:rPr>
          <w:rFonts w:hint="eastAsia" w:ascii="方正小标宋简体" w:hAnsi="方正小标宋简体" w:eastAsia="方正小标宋简体" w:cs="方正小标宋简体"/>
          <w:color w:val="FF0000"/>
          <w:w w:val="66"/>
          <w:sz w:val="110"/>
          <w:szCs w:val="110"/>
          <w:lang w:eastAsia="zh-CN"/>
        </w:rPr>
        <w:t>康</w:t>
      </w:r>
      <w:r>
        <w:rPr>
          <w:rFonts w:hint="eastAsia" w:ascii="方正小标宋简体" w:hAnsi="方正小标宋简体" w:eastAsia="方正小标宋简体" w:cs="方正小标宋简体"/>
          <w:color w:val="FF0000"/>
          <w:w w:val="66"/>
          <w:sz w:val="110"/>
          <w:szCs w:val="110"/>
          <w:lang w:val="en-US" w:eastAsia="zh-CN"/>
        </w:rPr>
        <w:t xml:space="preserve"> </w:t>
      </w:r>
      <w:r>
        <w:rPr>
          <w:rFonts w:hint="eastAsia" w:ascii="方正小标宋简体" w:hAnsi="方正小标宋简体" w:eastAsia="方正小标宋简体" w:cs="方正小标宋简体"/>
          <w:color w:val="FF0000"/>
          <w:w w:val="66"/>
          <w:sz w:val="110"/>
          <w:szCs w:val="110"/>
          <w:lang w:eastAsia="zh-CN"/>
        </w:rPr>
        <w:t>局</w:t>
      </w:r>
    </w:p>
    <w:p w14:paraId="23E4CB5E">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color="080000" w:fill="FFFFFF"/>
        </w:rPr>
      </w:pPr>
      <w:r>
        <w:rPr>
          <w:rFonts w:hint="eastAsia" w:ascii="黑体" w:hAnsi="黑体" w:eastAsia="黑体" w:cs="黑体"/>
          <w:i w:val="0"/>
          <w:iCs w:val="0"/>
          <w:caps w:val="0"/>
          <w:color w:val="000000"/>
          <w:spacing w:val="0"/>
          <w:sz w:val="44"/>
          <w:szCs w:val="44"/>
          <w:shd w:val="clear" w:color="080000" w:fill="FFFFFF"/>
          <w:lang w:val="en-US" w:eastAsia="zh-CN"/>
        </w:rPr>
        <w:t>2024年度</w:t>
      </w:r>
      <w:r>
        <w:rPr>
          <w:rFonts w:hint="eastAsia" w:ascii="黑体" w:hAnsi="黑体" w:eastAsia="黑体" w:cs="黑体"/>
          <w:i w:val="0"/>
          <w:iCs w:val="0"/>
          <w:caps w:val="0"/>
          <w:color w:val="000000"/>
          <w:spacing w:val="0"/>
          <w:sz w:val="44"/>
          <w:szCs w:val="44"/>
          <w:shd w:val="clear" w:color="080000" w:fill="FFFFFF"/>
        </w:rPr>
        <w:t>部门整体支出绩效自评报告</w:t>
      </w:r>
    </w:p>
    <w:p w14:paraId="237AB10D">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color="080000" w:fill="FFFFFF"/>
          <w:lang w:eastAsia="zh-CN"/>
        </w:rPr>
      </w:pPr>
      <w:r>
        <w:rPr>
          <w:rFonts w:hint="eastAsia" w:ascii="楷体" w:hAnsi="楷体" w:eastAsia="楷体" w:cs="楷体"/>
          <w:i w:val="0"/>
          <w:iCs w:val="0"/>
          <w:caps w:val="0"/>
          <w:color w:val="000000"/>
          <w:spacing w:val="0"/>
          <w:sz w:val="32"/>
          <w:szCs w:val="32"/>
          <w:shd w:val="clear" w:color="080000" w:fill="FFFFFF"/>
          <w:lang w:eastAsia="zh-CN"/>
        </w:rPr>
        <w:t>（</w:t>
      </w:r>
      <w:r>
        <w:rPr>
          <w:rFonts w:hint="eastAsia" w:ascii="楷体" w:hAnsi="楷体" w:eastAsia="楷体" w:cs="楷体"/>
          <w:i w:val="0"/>
          <w:iCs w:val="0"/>
          <w:caps w:val="0"/>
          <w:color w:val="000000"/>
          <w:spacing w:val="0"/>
          <w:sz w:val="32"/>
          <w:szCs w:val="32"/>
          <w:shd w:val="clear" w:color="080000" w:fill="FFFFFF"/>
          <w:lang w:val="en-US" w:eastAsia="zh-CN"/>
        </w:rPr>
        <w:t>绥宁县</w:t>
      </w:r>
      <w:r>
        <w:rPr>
          <w:rFonts w:hint="eastAsia" w:ascii="楷体" w:hAnsi="楷体" w:eastAsia="楷体" w:cs="楷体"/>
          <w:color w:val="000000"/>
          <w:kern w:val="0"/>
          <w:sz w:val="32"/>
          <w:szCs w:val="32"/>
          <w:lang w:val="en-US" w:eastAsia="zh-CN"/>
        </w:rPr>
        <w:t>卫生健康局</w:t>
      </w:r>
      <w:r>
        <w:rPr>
          <w:rFonts w:hint="eastAsia" w:ascii="楷体" w:hAnsi="楷体" w:eastAsia="楷体" w:cs="楷体"/>
          <w:i w:val="0"/>
          <w:iCs w:val="0"/>
          <w:caps w:val="0"/>
          <w:color w:val="000000"/>
          <w:spacing w:val="0"/>
          <w:sz w:val="32"/>
          <w:szCs w:val="32"/>
          <w:shd w:val="clear" w:color="080000" w:fill="FFFFFF"/>
          <w:lang w:eastAsia="zh-CN"/>
        </w:rPr>
        <w:t>）</w:t>
      </w:r>
    </w:p>
    <w:p w14:paraId="3296E690">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color="080000" w:fill="FFFFFF"/>
          <w:lang w:val="en-US" w:eastAsia="zh-CN"/>
        </w:rPr>
      </w:pPr>
      <w:r>
        <w:rPr>
          <w:rFonts w:hint="eastAsia" w:ascii="楷体" w:hAnsi="楷体" w:eastAsia="楷体" w:cs="楷体"/>
          <w:i w:val="0"/>
          <w:iCs w:val="0"/>
          <w:caps w:val="0"/>
          <w:color w:val="000000"/>
          <w:spacing w:val="0"/>
          <w:sz w:val="32"/>
          <w:szCs w:val="32"/>
          <w:shd w:val="clear" w:color="080000" w:fill="FFFFFF"/>
          <w:lang w:val="en-US" w:eastAsia="zh-CN"/>
        </w:rPr>
        <w:t>2025年9</w:t>
      </w:r>
      <w:r>
        <w:rPr>
          <w:rFonts w:hint="eastAsia" w:ascii="楷体" w:hAnsi="楷体" w:eastAsia="楷体" w:cs="楷体"/>
          <w:color w:val="000000"/>
          <w:kern w:val="0"/>
          <w:sz w:val="32"/>
          <w:szCs w:val="32"/>
          <w:lang w:val="en-US" w:eastAsia="zh-CN"/>
        </w:rPr>
        <w:t>月21日</w:t>
      </w:r>
    </w:p>
    <w:p w14:paraId="51BD4F97">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14:paraId="2AE8684F">
      <w:pPr>
        <w:widowControl/>
        <w:ind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36725C64">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080000" w:fill="FFFFFF"/>
        </w:rPr>
        <w:t>一、部门基本情况</w:t>
      </w:r>
    </w:p>
    <w:p w14:paraId="42D7148F">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color="0A0000" w:fill="FFFFFF"/>
          <w:lang w:val="en-US" w:eastAsia="zh-CN"/>
        </w:rPr>
      </w:pPr>
      <w:r>
        <w:rPr>
          <w:rFonts w:hint="eastAsia" w:ascii="楷体" w:hAnsi="楷体" w:eastAsia="楷体" w:cs="楷体"/>
          <w:b/>
          <w:bCs/>
          <w:i w:val="0"/>
          <w:iCs w:val="0"/>
          <w:caps w:val="0"/>
          <w:color w:val="000000"/>
          <w:spacing w:val="0"/>
          <w:sz w:val="32"/>
          <w:szCs w:val="32"/>
          <w:shd w:val="clear" w:color="0A0000" w:fill="FFFFFF"/>
        </w:rPr>
        <w:t>（一）</w:t>
      </w:r>
      <w:r>
        <w:rPr>
          <w:rFonts w:hint="eastAsia" w:ascii="楷体" w:hAnsi="楷体" w:eastAsia="楷体" w:cs="楷体"/>
          <w:b/>
          <w:bCs/>
          <w:i w:val="0"/>
          <w:iCs w:val="0"/>
          <w:caps w:val="0"/>
          <w:color w:val="000000"/>
          <w:spacing w:val="0"/>
          <w:sz w:val="32"/>
          <w:szCs w:val="32"/>
          <w:shd w:val="clear" w:color="0A0000" w:fill="FFFFFF"/>
          <w:lang w:val="en-US" w:eastAsia="zh-CN"/>
        </w:rPr>
        <w:t>部门职能职责</w:t>
      </w:r>
    </w:p>
    <w:p w14:paraId="261A89FE">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default" w:ascii="Times New Roman" w:hAnsi="Times New Roman" w:eastAsia="仿宋" w:cs="Times New Roman"/>
          <w:color w:val="010101"/>
          <w:sz w:val="32"/>
          <w:szCs w:val="32"/>
        </w:rPr>
        <w:t>1</w:t>
      </w:r>
      <w:r>
        <w:rPr>
          <w:rFonts w:hint="eastAsia" w:eastAsia="仿宋" w:cs="Times New Roman"/>
          <w:color w:val="010101"/>
          <w:sz w:val="32"/>
          <w:szCs w:val="32"/>
          <w:lang w:eastAsia="zh-CN"/>
        </w:rPr>
        <w:t>、</w:t>
      </w:r>
      <w:r>
        <w:rPr>
          <w:rFonts w:hint="default" w:ascii="Times New Roman" w:hAnsi="Times New Roman" w:eastAsia="仿宋" w:cs="Times New Roman"/>
          <w:sz w:val="32"/>
          <w:szCs w:val="32"/>
        </w:rPr>
        <w:t>贯彻执行国民健康政策及国家卫生健康法律法规，拟订全县卫生健康政策、规划并组织实施。</w:t>
      </w:r>
    </w:p>
    <w:p w14:paraId="399FC303">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2、</w:t>
      </w:r>
      <w:r>
        <w:rPr>
          <w:rFonts w:hint="default" w:ascii="Times New Roman" w:hAnsi="Times New Roman" w:eastAsia="仿宋" w:cs="Times New Roman"/>
          <w:sz w:val="32"/>
          <w:szCs w:val="32"/>
        </w:rPr>
        <w:t>统筹规划全县卫生健康服务资源配置，指导区域卫生健康规划的编制和实施。</w:t>
      </w:r>
    </w:p>
    <w:p w14:paraId="3BA02E8A">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3、</w:t>
      </w:r>
      <w:r>
        <w:rPr>
          <w:rFonts w:hint="default" w:ascii="Times New Roman" w:hAnsi="Times New Roman" w:eastAsia="仿宋" w:cs="Times New Roman"/>
          <w:sz w:val="32"/>
          <w:szCs w:val="32"/>
        </w:rPr>
        <w:t>协调推进全县深化医药卫生体制改革。</w:t>
      </w:r>
    </w:p>
    <w:p w14:paraId="1B3F566D">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4、</w:t>
      </w:r>
      <w:r>
        <w:rPr>
          <w:rFonts w:hint="default" w:ascii="Times New Roman" w:hAnsi="Times New Roman" w:eastAsia="仿宋" w:cs="Times New Roman"/>
          <w:sz w:val="32"/>
          <w:szCs w:val="32"/>
        </w:rPr>
        <w:t>制定并组织落实全县疾病预防控制规划、免疫规划以及严重危害人民健康公共卫生问题的干预措施。</w:t>
      </w:r>
    </w:p>
    <w:p w14:paraId="1C94F183">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5、</w:t>
      </w:r>
      <w:r>
        <w:rPr>
          <w:rFonts w:hint="default" w:ascii="Times New Roman" w:hAnsi="Times New Roman" w:eastAsia="仿宋" w:cs="Times New Roman"/>
          <w:sz w:val="32"/>
          <w:szCs w:val="32"/>
        </w:rPr>
        <w:t>负责卫生应急工作，组织和指导全县突发公共卫生事件的预防控制。</w:t>
      </w:r>
    </w:p>
    <w:p w14:paraId="7DF9E08E">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6、</w:t>
      </w:r>
      <w:r>
        <w:rPr>
          <w:rFonts w:hint="default" w:ascii="Times New Roman" w:hAnsi="Times New Roman" w:eastAsia="仿宋" w:cs="Times New Roman"/>
          <w:sz w:val="32"/>
          <w:szCs w:val="32"/>
        </w:rPr>
        <w:t>协调落实应对人口老龄化政策措施，负责推进老年健康服务体系建设和医养结合工作。</w:t>
      </w:r>
    </w:p>
    <w:p w14:paraId="773EDD47">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7、</w:t>
      </w:r>
      <w:r>
        <w:rPr>
          <w:rFonts w:hint="default" w:ascii="Times New Roman" w:hAnsi="Times New Roman" w:eastAsia="仿宋" w:cs="Times New Roman"/>
          <w:sz w:val="32"/>
          <w:szCs w:val="32"/>
        </w:rPr>
        <w:t>贯彻执行国家药物政策和国家基本药物制度。</w:t>
      </w:r>
    </w:p>
    <w:p w14:paraId="0396896E">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8、</w:t>
      </w:r>
      <w:r>
        <w:rPr>
          <w:rFonts w:hint="default" w:ascii="Times New Roman" w:hAnsi="Times New Roman" w:eastAsia="仿宋" w:cs="Times New Roman"/>
          <w:sz w:val="32"/>
          <w:szCs w:val="32"/>
        </w:rPr>
        <w:t>负责职责范围内公共卫生的监督管理。</w:t>
      </w:r>
    </w:p>
    <w:p w14:paraId="06D311F8">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9、</w:t>
      </w:r>
      <w:r>
        <w:rPr>
          <w:rFonts w:hint="default" w:ascii="Times New Roman" w:hAnsi="Times New Roman" w:eastAsia="仿宋" w:cs="Times New Roman"/>
          <w:sz w:val="32"/>
          <w:szCs w:val="32"/>
        </w:rPr>
        <w:t>制定医疗机构、医疗服务行业管理办法并监督实施，建立医疗服务评价和监督管理体系。</w:t>
      </w:r>
    </w:p>
    <w:p w14:paraId="1BAAC0AE">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10、</w:t>
      </w:r>
      <w:r>
        <w:rPr>
          <w:rFonts w:hint="default" w:ascii="Times New Roman" w:hAnsi="Times New Roman" w:eastAsia="仿宋" w:cs="Times New Roman"/>
          <w:sz w:val="32"/>
          <w:szCs w:val="32"/>
        </w:rPr>
        <w:t>负责计划生育管理和服务工作。指导全县卫生健康工作，指导基层医疗卫生、妇幼健康服务体系和全科医生队伍建设。</w:t>
      </w:r>
    </w:p>
    <w:p w14:paraId="5DD11B35">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11、</w:t>
      </w:r>
      <w:r>
        <w:rPr>
          <w:rFonts w:hint="default" w:ascii="Times New Roman" w:hAnsi="Times New Roman" w:eastAsia="仿宋" w:cs="Times New Roman"/>
          <w:sz w:val="32"/>
          <w:szCs w:val="32"/>
        </w:rPr>
        <w:t>负责全县健康教育、健康促进和卫生健康信息化建设等工作。负责重要来宾、重要会议与重大活动的医疗卫生保健工作，指导全县保健工作。</w:t>
      </w:r>
    </w:p>
    <w:p w14:paraId="77053F67">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12、</w:t>
      </w:r>
      <w:r>
        <w:rPr>
          <w:rFonts w:hint="default" w:ascii="Times New Roman" w:hAnsi="Times New Roman" w:eastAsia="仿宋" w:cs="Times New Roman"/>
          <w:sz w:val="32"/>
          <w:szCs w:val="32"/>
        </w:rPr>
        <w:t>指导县计划生育协会的业务工作。完成县委、县政府交办的其他任务。</w:t>
      </w:r>
    </w:p>
    <w:p w14:paraId="2E4ABB27">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sz w:val="32"/>
          <w:szCs w:val="32"/>
        </w:rPr>
      </w:pPr>
      <w:r>
        <w:rPr>
          <w:rFonts w:hint="eastAsia" w:eastAsia="仿宋" w:cs="Times New Roman"/>
          <w:sz w:val="32"/>
          <w:szCs w:val="32"/>
          <w:lang w:val="en-US" w:eastAsia="zh-CN"/>
        </w:rPr>
        <w:t>13、</w:t>
      </w:r>
      <w:r>
        <w:rPr>
          <w:rFonts w:hint="default" w:ascii="Times New Roman" w:hAnsi="Times New Roman" w:eastAsia="仿宋" w:cs="Times New Roman"/>
          <w:sz w:val="32"/>
          <w:szCs w:val="32"/>
        </w:rPr>
        <w:t>牢固树立大卫生、大健康理念，推动实施健康绥宁战略，把以治病为中心转变到以人民健康为中心，为人民群众提供全方位全周期健康服务。</w:t>
      </w:r>
    </w:p>
    <w:p w14:paraId="2BA13297">
      <w:pPr>
        <w:pStyle w:val="5"/>
        <w:widowControl/>
        <w:shd w:val="clear" w:color="auto" w:fill="FFFFFF"/>
        <w:spacing w:beforeAutospacing="0" w:afterAutospacing="0" w:line="480" w:lineRule="atLeast"/>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（二）机构设置情况</w:t>
      </w:r>
    </w:p>
    <w:p w14:paraId="005DEBB1">
      <w:pPr>
        <w:pStyle w:val="5"/>
        <w:widowControl/>
        <w:shd w:val="clear" w:color="auto" w:fill="FFFFFF"/>
        <w:spacing w:beforeAutospacing="0" w:afterAutospacing="0" w:line="480" w:lineRule="atLeast"/>
        <w:ind w:firstLine="960" w:firstLineChars="3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年末，我部门内设股室</w:t>
      </w:r>
      <w:r>
        <w:rPr>
          <w:rFonts w:hint="eastAsia" w:ascii="仿宋" w:hAnsi="仿宋" w:eastAsia="仿宋" w:cs="仿宋"/>
          <w:color w:val="000000"/>
          <w:sz w:val="32"/>
          <w:szCs w:val="32"/>
          <w:shd w:val="clear" w:color="auto" w:fill="FFFFFF"/>
          <w:lang w:val="en-US" w:eastAsia="zh-CN"/>
        </w:rPr>
        <w:t>9</w:t>
      </w:r>
      <w:r>
        <w:rPr>
          <w:rFonts w:hint="eastAsia" w:ascii="仿宋" w:hAnsi="仿宋" w:eastAsia="仿宋" w:cs="仿宋"/>
          <w:color w:val="000000"/>
          <w:sz w:val="32"/>
          <w:szCs w:val="32"/>
          <w:shd w:val="clear" w:color="auto" w:fill="FFFFFF"/>
        </w:rPr>
        <w:t>个，所属事业单位</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个。</w:t>
      </w:r>
    </w:p>
    <w:p w14:paraId="356E42DB">
      <w:pPr>
        <w:widowControl w:val="0"/>
        <w:wordWrap/>
        <w:adjustRightInd/>
        <w:snapToGrid w:val="0"/>
        <w:spacing w:before="0" w:after="0" w:line="600" w:lineRule="exact"/>
        <w:ind w:right="0" w:firstLine="960" w:firstLineChars="3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内设股室分别是：</w:t>
      </w:r>
      <w:r>
        <w:rPr>
          <w:rFonts w:hint="default" w:ascii="Times New Roman" w:hAnsi="Times New Roman" w:eastAsia="仿宋" w:cs="Times New Roman"/>
          <w:b w:val="0"/>
          <w:bCs/>
          <w:sz w:val="32"/>
          <w:szCs w:val="32"/>
        </w:rPr>
        <w:t>办公室、医政医管股（加挂基药股牌子）、基层卫生健康股、人口监测与家庭发展股、规划信息与财务股、政工股（加挂党建办牌子）和县红十字会、县计划生育协会、县基层医疗</w:t>
      </w:r>
      <w:r>
        <w:rPr>
          <w:rFonts w:hint="eastAsia" w:eastAsia="仿宋" w:cs="Times New Roman"/>
          <w:b w:val="0"/>
          <w:bCs/>
          <w:sz w:val="32"/>
          <w:szCs w:val="32"/>
          <w:lang w:eastAsia="zh-CN"/>
        </w:rPr>
        <w:t>卫生单位</w:t>
      </w:r>
      <w:r>
        <w:rPr>
          <w:rFonts w:hint="default" w:ascii="Times New Roman" w:hAnsi="Times New Roman" w:eastAsia="仿宋" w:cs="Times New Roman"/>
          <w:b w:val="0"/>
          <w:bCs/>
          <w:sz w:val="32"/>
          <w:szCs w:val="32"/>
        </w:rPr>
        <w:t>财务集中核算中心。</w:t>
      </w:r>
    </w:p>
    <w:p w14:paraId="0B59DF43">
      <w:pPr>
        <w:pStyle w:val="5"/>
        <w:widowControl/>
        <w:shd w:val="clear" w:color="auto" w:fill="FFFFFF"/>
        <w:spacing w:beforeAutospacing="0" w:afterAutospacing="0" w:line="480" w:lineRule="atLeast"/>
        <w:ind w:firstLine="640" w:firstLineChars="200"/>
        <w:rPr>
          <w:rFonts w:hint="eastAsia" w:ascii="Arial" w:hAnsi="Arial" w:eastAsia="仿宋" w:cs="Arial"/>
          <w:b w:val="0"/>
          <w:bCs/>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所属事业单位分别是：</w:t>
      </w:r>
      <w:r>
        <w:rPr>
          <w:rFonts w:hint="default" w:ascii="Times New Roman" w:hAnsi="Times New Roman" w:eastAsia="仿宋" w:cs="Times New Roman"/>
          <w:b w:val="0"/>
          <w:bCs/>
          <w:sz w:val="32"/>
          <w:szCs w:val="32"/>
        </w:rPr>
        <w:t>县基层医疗</w:t>
      </w:r>
      <w:r>
        <w:rPr>
          <w:rFonts w:hint="eastAsia" w:eastAsia="仿宋" w:cs="Times New Roman"/>
          <w:b w:val="0"/>
          <w:bCs/>
          <w:sz w:val="32"/>
          <w:szCs w:val="32"/>
          <w:lang w:eastAsia="zh-CN"/>
        </w:rPr>
        <w:t>卫生单位</w:t>
      </w:r>
      <w:r>
        <w:rPr>
          <w:rFonts w:hint="default" w:ascii="Times New Roman" w:hAnsi="Times New Roman" w:eastAsia="仿宋" w:cs="Times New Roman"/>
          <w:b w:val="0"/>
          <w:bCs/>
          <w:sz w:val="32"/>
          <w:szCs w:val="32"/>
        </w:rPr>
        <w:t>财务集中</w:t>
      </w:r>
      <w:r>
        <w:rPr>
          <w:rFonts w:hint="eastAsia" w:eastAsia="仿宋" w:cs="Times New Roman"/>
          <w:b w:val="0"/>
          <w:bCs/>
          <w:sz w:val="32"/>
          <w:szCs w:val="32"/>
          <w:lang w:eastAsia="zh-CN"/>
        </w:rPr>
        <w:t>核</w:t>
      </w:r>
      <w:r>
        <w:rPr>
          <w:rFonts w:hint="default" w:ascii="Times New Roman" w:hAnsi="Times New Roman" w:eastAsia="仿宋" w:cs="Times New Roman"/>
          <w:b w:val="0"/>
          <w:bCs/>
          <w:sz w:val="32"/>
          <w:szCs w:val="32"/>
        </w:rPr>
        <w:t>算中心</w:t>
      </w:r>
      <w:r>
        <w:rPr>
          <w:rFonts w:hint="eastAsia" w:eastAsia="仿宋" w:cs="Times New Roman"/>
          <w:b w:val="0"/>
          <w:bCs/>
          <w:sz w:val="32"/>
          <w:szCs w:val="32"/>
          <w:lang w:eastAsia="zh-CN"/>
        </w:rPr>
        <w:t>、绥宁县卫生健康综合服务中心、绥宁县突发公共卫生事件指挥中心。</w:t>
      </w:r>
    </w:p>
    <w:p w14:paraId="286FA820">
      <w:pPr>
        <w:pStyle w:val="5"/>
        <w:shd w:val="clear" w:color="auto" w:fill="FFFFFF"/>
        <w:spacing w:beforeAutospacing="0" w:afterAutospacing="0" w:line="480" w:lineRule="atLeast"/>
        <w:ind w:left="641"/>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（三）人员编制情况</w:t>
      </w:r>
    </w:p>
    <w:p w14:paraId="4BA3922B">
      <w:pPr>
        <w:widowControl w:val="0"/>
        <w:wordWrap/>
        <w:adjustRightInd/>
        <w:snapToGrid w:val="0"/>
        <w:spacing w:before="0" w:after="0" w:line="600" w:lineRule="exact"/>
        <w:ind w:left="0" w:leftChars="0" w:right="0" w:firstLine="640" w:firstLineChars="200"/>
        <w:textAlignment w:val="auto"/>
        <w:rPr>
          <w:rFonts w:hint="default" w:ascii="Times New Roman" w:hAnsi="Times New Roman" w:eastAsia="仿宋" w:cs="Times New Roman"/>
          <w:sz w:val="32"/>
          <w:szCs w:val="32"/>
        </w:rPr>
      </w:pPr>
      <w:r>
        <w:rPr>
          <w:rFonts w:hint="eastAsia" w:eastAsia="仿宋" w:cs="Times New Roman"/>
          <w:color w:val="000000"/>
          <w:sz w:val="32"/>
          <w:szCs w:val="32"/>
          <w:lang w:val="en-US" w:eastAsia="zh-CN"/>
        </w:rPr>
        <w:t>2024年末，我部门共有编制44人，其中行政</w:t>
      </w:r>
      <w:r>
        <w:rPr>
          <w:rFonts w:hint="default" w:ascii="Times New Roman" w:hAnsi="Times New Roman" w:eastAsia="仿宋" w:cs="Times New Roman"/>
          <w:color w:val="000000"/>
          <w:sz w:val="32"/>
          <w:szCs w:val="32"/>
        </w:rPr>
        <w:t>编制2</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人，事业编制21人（基层医疗卫生财务集中核算中心9人</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突发办7人、</w:t>
      </w:r>
      <w:r>
        <w:rPr>
          <w:rFonts w:hint="default" w:ascii="Times New Roman" w:hAnsi="Times New Roman" w:eastAsia="仿宋" w:cs="Times New Roman"/>
          <w:color w:val="000000"/>
          <w:sz w:val="32"/>
          <w:szCs w:val="32"/>
          <w:lang w:eastAsia="zh-CN"/>
        </w:rPr>
        <w:t>卫生健康综合</w:t>
      </w:r>
      <w:r>
        <w:rPr>
          <w:rFonts w:hint="default" w:ascii="Times New Roman" w:hAnsi="Times New Roman" w:eastAsia="仿宋" w:cs="Times New Roman"/>
          <w:color w:val="000000"/>
          <w:sz w:val="32"/>
          <w:szCs w:val="32"/>
        </w:rPr>
        <w:t>服务中心5人）</w:t>
      </w:r>
      <w:r>
        <w:rPr>
          <w:rFonts w:hint="eastAsia" w:eastAsia="仿宋" w:cs="Times New Roman"/>
          <w:color w:val="000000"/>
          <w:sz w:val="32"/>
          <w:szCs w:val="32"/>
          <w:lang w:eastAsia="zh-CN"/>
        </w:rPr>
        <w:t>。年末实有</w:t>
      </w:r>
      <w:r>
        <w:rPr>
          <w:rFonts w:hint="default" w:ascii="Times New Roman" w:hAnsi="Times New Roman" w:eastAsia="仿宋" w:cs="Times New Roman"/>
          <w:color w:val="000000"/>
          <w:sz w:val="32"/>
          <w:szCs w:val="32"/>
        </w:rPr>
        <w:t>在职</w:t>
      </w:r>
      <w:r>
        <w:rPr>
          <w:rFonts w:hint="eastAsia" w:eastAsia="仿宋" w:cs="Times New Roman"/>
          <w:color w:val="000000"/>
          <w:sz w:val="32"/>
          <w:szCs w:val="32"/>
          <w:lang w:eastAsia="zh-CN"/>
        </w:rPr>
        <w:t>人员</w:t>
      </w:r>
      <w:r>
        <w:rPr>
          <w:rFonts w:hint="eastAsia" w:eastAsia="仿宋" w:cs="Times New Roman"/>
          <w:color w:val="000000"/>
          <w:sz w:val="32"/>
          <w:szCs w:val="32"/>
          <w:lang w:val="en-US" w:eastAsia="zh-CN"/>
        </w:rPr>
        <w:t>42</w:t>
      </w:r>
      <w:r>
        <w:rPr>
          <w:rFonts w:hint="default" w:ascii="Times New Roman" w:hAnsi="Times New Roman" w:eastAsia="仿宋" w:cs="Times New Roman"/>
          <w:color w:val="000000"/>
          <w:sz w:val="32"/>
          <w:szCs w:val="32"/>
        </w:rPr>
        <w:t>人，退休人员</w:t>
      </w:r>
      <w:r>
        <w:rPr>
          <w:rFonts w:hint="eastAsia" w:eastAsia="仿宋" w:cs="Times New Roman"/>
          <w:color w:val="000000"/>
          <w:sz w:val="32"/>
          <w:szCs w:val="32"/>
          <w:lang w:val="en-US" w:eastAsia="zh-CN"/>
        </w:rPr>
        <w:t>44</w:t>
      </w:r>
      <w:r>
        <w:rPr>
          <w:rFonts w:hint="default" w:ascii="Times New Roman" w:hAnsi="Times New Roman" w:eastAsia="仿宋" w:cs="Times New Roman"/>
          <w:color w:val="000000"/>
          <w:sz w:val="32"/>
          <w:szCs w:val="32"/>
        </w:rPr>
        <w:t>人</w:t>
      </w:r>
      <w:r>
        <w:rPr>
          <w:rFonts w:hint="eastAsia" w:eastAsia="仿宋" w:cs="Times New Roman"/>
          <w:color w:val="000000"/>
          <w:sz w:val="32"/>
          <w:szCs w:val="32"/>
          <w:lang w:eastAsia="zh-CN"/>
        </w:rPr>
        <w:t>，离休人员</w:t>
      </w:r>
      <w:r>
        <w:rPr>
          <w:rFonts w:hint="eastAsia" w:eastAsia="仿宋" w:cs="Times New Roman"/>
          <w:color w:val="000000"/>
          <w:sz w:val="32"/>
          <w:szCs w:val="32"/>
          <w:lang w:val="en-US" w:eastAsia="zh-CN"/>
        </w:rPr>
        <w:t>0人</w:t>
      </w:r>
      <w:r>
        <w:rPr>
          <w:rFonts w:hint="default" w:ascii="Times New Roman" w:hAnsi="Times New Roman" w:eastAsia="仿宋" w:cs="Times New Roman"/>
          <w:color w:val="000000"/>
          <w:sz w:val="32"/>
          <w:szCs w:val="32"/>
        </w:rPr>
        <w:t>。</w:t>
      </w:r>
    </w:p>
    <w:p w14:paraId="37111587">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color="0A0000" w:fill="FFFFFF"/>
          <w:lang w:val="en-US" w:eastAsia="zh-CN"/>
        </w:rPr>
      </w:pPr>
    </w:p>
    <w:p w14:paraId="2E2EDD90">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二、一般公共预算支出情况</w:t>
      </w:r>
    </w:p>
    <w:p w14:paraId="5201B039">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楷体" w:hAnsi="楷体" w:eastAsia="楷体" w:cs="楷体"/>
          <w:b/>
          <w:bCs/>
          <w:i w:val="0"/>
          <w:iCs w:val="0"/>
          <w:caps w:val="0"/>
          <w:color w:val="000000"/>
          <w:spacing w:val="0"/>
          <w:sz w:val="32"/>
          <w:szCs w:val="32"/>
          <w:shd w:val="clear" w:color="0A0000" w:fill="FFFFFF"/>
          <w:lang w:val="en-US" w:eastAsia="zh-CN"/>
        </w:rPr>
      </w:pPr>
      <w:r>
        <w:rPr>
          <w:rFonts w:hint="eastAsia" w:ascii="楷体" w:hAnsi="楷体" w:eastAsia="楷体" w:cs="楷体"/>
          <w:b/>
          <w:bCs/>
          <w:i w:val="0"/>
          <w:iCs w:val="0"/>
          <w:caps w:val="0"/>
          <w:color w:val="000000"/>
          <w:spacing w:val="0"/>
          <w:sz w:val="32"/>
          <w:szCs w:val="32"/>
          <w:shd w:val="clear" w:color="0A0000" w:fill="FFFFFF"/>
        </w:rPr>
        <w:t>（一）</w:t>
      </w:r>
      <w:r>
        <w:rPr>
          <w:rFonts w:hint="eastAsia" w:ascii="楷体" w:hAnsi="楷体" w:eastAsia="楷体" w:cs="楷体"/>
          <w:b/>
          <w:bCs/>
          <w:i w:val="0"/>
          <w:iCs w:val="0"/>
          <w:caps w:val="0"/>
          <w:color w:val="000000"/>
          <w:spacing w:val="0"/>
          <w:sz w:val="32"/>
          <w:szCs w:val="32"/>
          <w:shd w:val="clear" w:color="0A0000" w:fill="FFFFFF"/>
          <w:lang w:val="en-US" w:eastAsia="zh-CN"/>
        </w:rPr>
        <w:t>基本支出情况</w:t>
      </w:r>
    </w:p>
    <w:p w14:paraId="73AD754C">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w:t>
      </w:r>
      <w:r>
        <w:rPr>
          <w:rFonts w:hint="eastAsia" w:eastAsia="仿宋_GB2312" w:cs="Times New Roman"/>
          <w:color w:val="0C0C0C"/>
          <w:sz w:val="32"/>
          <w:szCs w:val="32"/>
          <w:lang w:val="en-US" w:eastAsia="zh-CN"/>
        </w:rPr>
        <w:t>4</w:t>
      </w:r>
      <w:r>
        <w:rPr>
          <w:rFonts w:hint="default" w:ascii="Times New Roman" w:hAnsi="Times New Roman" w:eastAsia="仿宋_GB2312" w:cs="Times New Roman"/>
          <w:color w:val="0C0C0C"/>
          <w:sz w:val="32"/>
          <w:szCs w:val="32"/>
        </w:rPr>
        <w:t>年基本支出共计</w:t>
      </w:r>
      <w:r>
        <w:rPr>
          <w:rFonts w:hint="eastAsia" w:eastAsia="仿宋_GB2312" w:cs="Times New Roman"/>
          <w:color w:val="0C0C0C"/>
          <w:sz w:val="32"/>
          <w:szCs w:val="32"/>
          <w:lang w:val="en-US" w:eastAsia="zh-CN"/>
        </w:rPr>
        <w:t>965.29</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_GB2312" w:cs="Times New Roman"/>
          <w:color w:val="0C0C0C"/>
          <w:sz w:val="32"/>
          <w:szCs w:val="32"/>
          <w:lang w:val="en-US" w:eastAsia="zh-CN"/>
        </w:rPr>
        <w:t>644.87</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hint="eastAsia" w:eastAsia="仿宋_GB2312" w:cs="Times New Roman"/>
          <w:color w:val="0C0C0C"/>
          <w:sz w:val="32"/>
          <w:szCs w:val="32"/>
          <w:lang w:val="en-US" w:eastAsia="zh-CN"/>
        </w:rPr>
        <w:t>公用</w:t>
      </w:r>
      <w:r>
        <w:rPr>
          <w:rFonts w:hint="default" w:ascii="Times New Roman" w:hAnsi="Times New Roman" w:eastAsia="仿宋_GB2312" w:cs="Times New Roman"/>
          <w:color w:val="0C0C0C"/>
          <w:sz w:val="32"/>
          <w:szCs w:val="32"/>
          <w:lang w:val="en-US" w:eastAsia="zh-CN"/>
        </w:rPr>
        <w:t>经费</w:t>
      </w:r>
      <w:r>
        <w:rPr>
          <w:rFonts w:hint="eastAsia" w:eastAsia="仿宋_GB2312" w:cs="Times New Roman"/>
          <w:color w:val="0C0C0C"/>
          <w:sz w:val="32"/>
          <w:szCs w:val="32"/>
          <w:lang w:val="en-US" w:eastAsia="zh-CN"/>
        </w:rPr>
        <w:t>320.42</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14:paraId="7B708684">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1.人员经费644.87万元。</w:t>
      </w:r>
      <w:r>
        <w:rPr>
          <w:rFonts w:hint="default"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14:paraId="279A9C4F">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ascii="仿宋" w:hAnsi="仿宋" w:eastAsia="仿宋" w:cs="仿宋"/>
          <w:b/>
          <w:bCs/>
          <w:color w:val="0C0C0C"/>
          <w:sz w:val="32"/>
          <w:szCs w:val="32"/>
          <w:lang w:val="en-US" w:eastAsia="zh-CN"/>
        </w:rPr>
        <w:t>320.42</w:t>
      </w:r>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14:paraId="02146F43">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both"/>
        <w:rPr>
          <w:rFonts w:hint="eastAsia" w:ascii="楷体" w:hAnsi="楷体" w:eastAsia="楷体" w:cs="楷体"/>
          <w:b/>
          <w:bCs/>
          <w:i w:val="0"/>
          <w:iCs w:val="0"/>
          <w:caps w:val="0"/>
          <w:color w:val="000000"/>
          <w:spacing w:val="0"/>
          <w:sz w:val="32"/>
          <w:szCs w:val="32"/>
          <w:shd w:val="clear" w:color="0A0000" w:fill="FFFFFF"/>
          <w:lang w:val="en-US" w:eastAsia="zh-CN"/>
        </w:rPr>
      </w:pPr>
      <w:r>
        <w:rPr>
          <w:rFonts w:hint="eastAsia" w:ascii="楷体" w:hAnsi="楷体" w:eastAsia="楷体" w:cs="楷体"/>
          <w:b/>
          <w:bCs/>
          <w:i w:val="0"/>
          <w:iCs w:val="0"/>
          <w:caps w:val="0"/>
          <w:color w:val="000000"/>
          <w:spacing w:val="0"/>
          <w:sz w:val="32"/>
          <w:szCs w:val="32"/>
          <w:shd w:val="clear" w:color="0A0000" w:fill="FFFFFF"/>
        </w:rPr>
        <w:t>（二）</w:t>
      </w:r>
      <w:r>
        <w:rPr>
          <w:rFonts w:hint="eastAsia" w:ascii="楷体" w:hAnsi="楷体" w:eastAsia="楷体" w:cs="楷体"/>
          <w:b/>
          <w:bCs/>
          <w:i w:val="0"/>
          <w:iCs w:val="0"/>
          <w:caps w:val="0"/>
          <w:color w:val="000000"/>
          <w:spacing w:val="0"/>
          <w:sz w:val="32"/>
          <w:szCs w:val="32"/>
          <w:shd w:val="clear" w:color="0A0000" w:fill="FFFFFF"/>
          <w:lang w:val="en-US" w:eastAsia="zh-CN"/>
        </w:rPr>
        <w:t>项目支出情况</w:t>
      </w:r>
    </w:p>
    <w:p w14:paraId="7B69403E">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w:t>
      </w:r>
      <w:r>
        <w:rPr>
          <w:rFonts w:hint="eastAsia" w:ascii="仿宋" w:hAnsi="仿宋" w:eastAsia="仿宋" w:cs="仿宋"/>
          <w:color w:val="0C0C0C"/>
          <w:sz w:val="32"/>
          <w:szCs w:val="32"/>
          <w:lang w:val="en-US" w:eastAsia="zh-CN"/>
        </w:rPr>
        <w:t>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rPr>
        <w:t>904.12</w:t>
      </w:r>
      <w:r>
        <w:rPr>
          <w:rFonts w:hint="eastAsia" w:ascii="仿宋" w:hAnsi="仿宋" w:eastAsia="仿宋" w:cs="仿宋"/>
          <w:color w:val="0C0C0C"/>
          <w:sz w:val="32"/>
          <w:szCs w:val="32"/>
        </w:rPr>
        <w:t>万元，其中业务工作经</w:t>
      </w:r>
      <w:r>
        <w:rPr>
          <w:rFonts w:hint="eastAsia" w:ascii="仿宋" w:hAnsi="仿宋" w:eastAsia="仿宋" w:cs="仿宋"/>
          <w:color w:val="0C0C0C"/>
          <w:sz w:val="32"/>
          <w:szCs w:val="32"/>
          <w:lang w:val="en-US" w:eastAsia="zh-CN"/>
        </w:rPr>
        <w:t>:73.87</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rPr>
        <w:t>830.25</w:t>
      </w:r>
      <w:r>
        <w:rPr>
          <w:rFonts w:hint="eastAsia" w:ascii="仿宋" w:hAnsi="仿宋" w:eastAsia="仿宋" w:cs="仿宋"/>
          <w:color w:val="0C0C0C"/>
          <w:sz w:val="32"/>
          <w:szCs w:val="32"/>
        </w:rPr>
        <w:t>万元。</w:t>
      </w:r>
    </w:p>
    <w:p w14:paraId="18540AD0">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w:t>
      </w:r>
      <w:r>
        <w:rPr>
          <w:rFonts w:hint="eastAsia" w:ascii="仿宋" w:hAnsi="仿宋" w:eastAsia="仿宋" w:cs="仿宋"/>
          <w:b/>
          <w:bCs/>
          <w:color w:val="0C0C0C"/>
          <w:sz w:val="32"/>
          <w:szCs w:val="32"/>
          <w:lang w:val="en-US" w:eastAsia="zh-CN"/>
        </w:rPr>
        <w:t>73.87</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创国家卫生城市宣传费及跟班学习费；2024年卫健系统公开招聘卫生专业技术人才开支；巩固脱贫攻坚成果乡振兴后盾村帮扶资金及驻村队员驻村补助</w:t>
      </w:r>
      <w:r>
        <w:rPr>
          <w:rFonts w:hint="default" w:ascii="仿宋" w:hAnsi="仿宋" w:eastAsia="仿宋" w:cs="仿宋"/>
          <w:color w:val="0C0C0C"/>
          <w:sz w:val="32"/>
          <w:szCs w:val="32"/>
          <w:lang w:val="en-US" w:eastAsia="zh-CN"/>
        </w:rPr>
        <w:t>等方面。</w:t>
      </w:r>
    </w:p>
    <w:p w14:paraId="053425E0">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hint="default" w:ascii="仿宋" w:hAnsi="仿宋" w:eastAsia="仿宋" w:cs="仿宋"/>
          <w:b/>
          <w:bCs/>
          <w:color w:val="0C0C0C"/>
          <w:sz w:val="32"/>
          <w:szCs w:val="32"/>
          <w:lang w:val="en-US" w:eastAsia="zh-CN"/>
        </w:rPr>
        <w:t>经费</w:t>
      </w:r>
      <w:r>
        <w:rPr>
          <w:rFonts w:hint="eastAsia" w:ascii="仿宋" w:hAnsi="仿宋" w:eastAsia="仿宋" w:cs="仿宋"/>
          <w:b/>
          <w:bCs/>
          <w:color w:val="0C0C0C"/>
          <w:sz w:val="32"/>
          <w:szCs w:val="32"/>
          <w:lang w:val="en-US" w:eastAsia="zh-CN"/>
        </w:rPr>
        <w:t>0</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w:t>
      </w:r>
      <w:r>
        <w:rPr>
          <w:rFonts w:hint="default" w:ascii="仿宋" w:hAnsi="仿宋" w:eastAsia="仿宋" w:cs="仿宋"/>
          <w:color w:val="0C0C0C"/>
          <w:sz w:val="32"/>
          <w:szCs w:val="32"/>
          <w:lang w:val="en-US" w:eastAsia="zh-CN"/>
        </w:rPr>
        <w:t>等方面。</w:t>
      </w:r>
    </w:p>
    <w:p w14:paraId="4B162076">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3" w:firstLineChars="200"/>
        <w:jc w:val="both"/>
        <w:textAlignment w:val="auto"/>
        <w:outlineLvl w:val="9"/>
        <w:rPr>
          <w:rFonts w:hint="default"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3.上级专项资金830.25</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eastAsia" w:ascii="仿宋" w:hAnsi="仿宋" w:eastAsia="仿宋" w:cs="仿宋"/>
          <w:color w:val="0C0C0C"/>
          <w:sz w:val="32"/>
          <w:szCs w:val="32"/>
          <w:lang w:val="en-US" w:eastAsia="zh-CN"/>
        </w:rPr>
        <w:t>其中卫生和计划生育服务专项资金733.54万元，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0"/>
          <w:szCs w:val="30"/>
          <w:lang w:eastAsia="zh-CN"/>
        </w:rPr>
        <w:t>计划生育特殊家庭特别扶助、奖励扶助、手术并发症补助、住院护理补贴、体检费、春节端午节中秋节慰问费、缴纳医疗健康保险意外害险等</w:t>
      </w:r>
      <w:r>
        <w:rPr>
          <w:rFonts w:hint="default" w:ascii="仿宋" w:hAnsi="仿宋" w:eastAsia="仿宋" w:cs="仿宋"/>
          <w:color w:val="0C0C0C"/>
          <w:sz w:val="32"/>
          <w:szCs w:val="32"/>
          <w:lang w:val="en-US" w:eastAsia="zh-CN"/>
        </w:rPr>
        <w:t>方面</w:t>
      </w:r>
      <w:r>
        <w:rPr>
          <w:rFonts w:hint="eastAsia" w:ascii="仿宋" w:hAnsi="仿宋" w:eastAsia="仿宋" w:cs="仿宋"/>
          <w:color w:val="0C0C0C"/>
          <w:sz w:val="32"/>
          <w:szCs w:val="32"/>
          <w:lang w:val="en-US" w:eastAsia="zh-CN"/>
        </w:rPr>
        <w:t>536.64万元；公立医院支出111.45万元，主要用于人民医院中医医院医疗服务能力提升；突发公共卫生事件应急处理专项资金80.43万元，城乡社区公共设施支出5.02万元。</w:t>
      </w:r>
    </w:p>
    <w:p w14:paraId="69AA147C">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三、政府性基金预算支出情况</w:t>
      </w:r>
    </w:p>
    <w:p w14:paraId="504FBACB">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color="080000" w:fill="FFFFFF"/>
        </w:rPr>
      </w:pPr>
      <w:r>
        <w:rPr>
          <w:rFonts w:hint="eastAsia" w:ascii="仿宋" w:hAnsi="仿宋" w:eastAsia="仿宋" w:cs="仿宋"/>
          <w:color w:val="0C0C0C"/>
          <w:sz w:val="32"/>
          <w:szCs w:val="32"/>
          <w:lang w:val="en-US" w:eastAsia="zh-CN"/>
        </w:rPr>
        <w:t>2024年度政府性基金预算支出26万元，用于支付妇幼保健院附属工程土地出让金支出。</w:t>
      </w:r>
    </w:p>
    <w:p w14:paraId="65FB4444">
      <w:pPr>
        <w:pStyle w:val="5"/>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国有资本经营预算支出情况</w:t>
      </w:r>
    </w:p>
    <w:p w14:paraId="3194646A">
      <w:pPr>
        <w:widowControl w:val="0"/>
        <w:pBdr>
          <w:top w:val="none" w:color="auto" w:sz="0" w:space="1"/>
          <w:left w:val="none" w:color="auto" w:sz="0" w:space="4"/>
          <w:bottom w:val="none" w:color="auto" w:sz="0" w:space="1"/>
          <w:right w:val="none" w:color="auto" w:sz="0" w:space="4"/>
          <w:between w:val="none" w:color="auto" w:sz="0" w:space="0"/>
        </w:pBdr>
        <w:wordWrap/>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年度无国有资本经营预算支出。</w:t>
      </w:r>
    </w:p>
    <w:p w14:paraId="03B13DB7">
      <w:pPr>
        <w:pStyle w:val="5"/>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480" w:lineRule="atLeast"/>
        <w:ind w:left="640" w:leftChars="0" w:right="0" w:firstLine="0" w:firstLineChars="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社会保险基金预算支出情况</w:t>
      </w:r>
    </w:p>
    <w:p w14:paraId="0C925CE2">
      <w:pPr>
        <w:widowControl/>
        <w:ind w:firstLine="640" w:firstLineChars="200"/>
        <w:jc w:val="left"/>
        <w:rPr>
          <w:rFonts w:hint="eastAsia" w:ascii="黑体" w:hAnsi="黑体" w:eastAsia="黑体" w:cs="黑体"/>
          <w:i w:val="0"/>
          <w:iCs w:val="0"/>
          <w:caps w:val="0"/>
          <w:color w:val="000000"/>
          <w:spacing w:val="0"/>
          <w:sz w:val="32"/>
          <w:szCs w:val="32"/>
          <w:shd w:val="clear" w:color="080000"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14:paraId="12704A51">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六、部门整体支出绩效情况</w:t>
      </w:r>
    </w:p>
    <w:p w14:paraId="1F1C7D7B">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89</w:t>
      </w:r>
      <w:r>
        <w:rPr>
          <w:rFonts w:hint="eastAsia" w:ascii="仿宋" w:hAnsi="仿宋" w:eastAsia="仿宋" w:cs="仿宋"/>
          <w:color w:val="0C0C0C"/>
          <w:kern w:val="2"/>
          <w:sz w:val="32"/>
          <w:szCs w:val="32"/>
          <w:lang w:val="en-US" w:eastAsia="zh-CN" w:bidi="ar-SA"/>
        </w:rPr>
        <w:t>分，部门整体支出绩效为“良”。主要绩效如下：</w:t>
      </w:r>
    </w:p>
    <w:p w14:paraId="2BB6761B">
      <w:pPr>
        <w:wordWrap/>
        <w:spacing w:line="560" w:lineRule="exact"/>
        <w:ind w:firstLine="630" w:firstLineChars="196"/>
        <w:textAlignment w:val="auto"/>
        <w:rPr>
          <w:rFonts w:ascii="黑体" w:hAnsi="黑体" w:eastAsia="黑体"/>
          <w:b/>
          <w:color w:val="auto"/>
          <w:sz w:val="32"/>
          <w:szCs w:val="32"/>
        </w:rPr>
      </w:pPr>
      <w:r>
        <w:rPr>
          <w:rFonts w:hint="eastAsia" w:ascii="楷体" w:hAnsi="楷体" w:eastAsia="楷体" w:cs="楷体"/>
          <w:b/>
          <w:bCs/>
          <w:i w:val="0"/>
          <w:iCs w:val="0"/>
          <w:caps w:val="0"/>
          <w:color w:val="000000"/>
          <w:spacing w:val="0"/>
          <w:sz w:val="32"/>
          <w:szCs w:val="32"/>
          <w:shd w:val="clear" w:color="0A0000" w:fill="FFFFFF"/>
          <w:lang w:val="en-US" w:eastAsia="zh-CN"/>
        </w:rPr>
        <w:t>成绩一</w:t>
      </w:r>
      <w:r>
        <w:rPr>
          <w:rFonts w:hint="eastAsia" w:ascii="仿宋" w:hAnsi="仿宋" w:eastAsia="仿宋" w:cs="仿宋"/>
          <w:i w:val="0"/>
          <w:iCs w:val="0"/>
          <w:caps w:val="0"/>
          <w:color w:val="000000"/>
          <w:spacing w:val="0"/>
          <w:sz w:val="32"/>
          <w:szCs w:val="32"/>
          <w:shd w:val="clear" w:color="080000" w:fill="FFFFFF"/>
        </w:rPr>
        <w:t>。</w:t>
      </w:r>
      <w:r>
        <w:rPr>
          <w:rFonts w:hint="eastAsia" w:ascii="黑体" w:hAnsi="黑体" w:eastAsia="黑体"/>
          <w:b/>
          <w:color w:val="auto"/>
          <w:sz w:val="32"/>
          <w:szCs w:val="32"/>
        </w:rPr>
        <w:t>医疗服务能力水平持续提升</w:t>
      </w:r>
    </w:p>
    <w:p w14:paraId="787504B8">
      <w:pPr>
        <w:widowControl w:val="0"/>
        <w:wordWrap/>
        <w:spacing w:before="0" w:beforeAutospacing="0" w:after="0" w:afterAutospacing="0" w:line="560" w:lineRule="exact"/>
        <w:ind w:left="0" w:leftChars="0" w:right="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rPr>
        <w:t>一是学科建设不断加强。</w:t>
      </w:r>
      <w:r>
        <w:rPr>
          <w:rFonts w:hint="default" w:ascii="Times New Roman" w:hAnsi="Times New Roman" w:eastAsia="仿宋" w:cs="Times New Roman"/>
          <w:b w:val="0"/>
          <w:bCs w:val="0"/>
          <w:color w:val="auto"/>
          <w:sz w:val="32"/>
          <w:szCs w:val="32"/>
          <w:lang w:eastAsia="zh-CN"/>
        </w:rPr>
        <w:t>县人民医院</w:t>
      </w:r>
      <w:r>
        <w:rPr>
          <w:rFonts w:hint="default" w:ascii="Times New Roman" w:hAnsi="Times New Roman" w:eastAsia="仿宋" w:cs="Times New Roman"/>
          <w:b w:val="0"/>
          <w:bCs w:val="0"/>
          <w:color w:val="auto"/>
          <w:sz w:val="32"/>
          <w:szCs w:val="32"/>
          <w:lang w:val="en-US" w:eastAsia="zh-CN"/>
        </w:rPr>
        <w:t>依托邵阳市中心医院、邵阳学院附属第二医院的优势学科，全力搭建消化内科专科联盟、甲状腺专科联盟</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与湖南省肿瘤医院、邵阳学院附属第一医院签订紧</w:t>
      </w:r>
      <w:r>
        <w:rPr>
          <w:rFonts w:hint="default" w:ascii="Times New Roman" w:hAnsi="Times New Roman" w:eastAsia="仿宋_GB2312" w:cs="Times New Roman"/>
          <w:color w:val="auto"/>
          <w:sz w:val="32"/>
          <w:szCs w:val="32"/>
          <w:lang w:val="en-US" w:eastAsia="zh-CN"/>
        </w:rPr>
        <w:t>密型医联体协议。</w:t>
      </w:r>
      <w:r>
        <w:rPr>
          <w:rFonts w:hint="default" w:ascii="Times New Roman" w:hAnsi="Times New Roman" w:eastAsia="仿宋_GB2312" w:cs="Times New Roman"/>
          <w:color w:val="auto"/>
          <w:sz w:val="32"/>
          <w:szCs w:val="32"/>
          <w:lang w:eastAsia="zh-CN"/>
        </w:rPr>
        <w:t>县中医医院</w:t>
      </w:r>
      <w:r>
        <w:rPr>
          <w:rFonts w:hint="default" w:ascii="Times New Roman" w:hAnsi="Times New Roman" w:eastAsia="仿宋" w:cs="Times New Roman"/>
          <w:color w:val="auto"/>
          <w:sz w:val="32"/>
          <w:szCs w:val="32"/>
        </w:rPr>
        <w:t>与湖南中医药高等专科学校附属第一医院肥胖与代谢减重外科签订专科联盟合作协议，成立了肥胖与代谢减</w:t>
      </w:r>
      <w:r>
        <w:rPr>
          <w:rFonts w:hint="eastAsia" w:ascii="Times New Roman" w:hAnsi="Times New Roman" w:eastAsia="仿宋" w:cs="Times New Roman"/>
          <w:color w:val="auto"/>
          <w:sz w:val="32"/>
          <w:szCs w:val="32"/>
          <w:lang w:eastAsia="zh-CN"/>
        </w:rPr>
        <w:t>重</w:t>
      </w:r>
      <w:r>
        <w:rPr>
          <w:rFonts w:hint="default" w:ascii="Times New Roman" w:hAnsi="Times New Roman" w:eastAsia="仿宋" w:cs="Times New Roman"/>
          <w:color w:val="auto"/>
          <w:sz w:val="32"/>
          <w:szCs w:val="32"/>
        </w:rPr>
        <w:t>外科</w:t>
      </w:r>
      <w:r>
        <w:rPr>
          <w:rFonts w:hint="eastAsia" w:ascii="Times New Roman" w:hAnsi="Times New Roman" w:eastAsia="仿宋" w:cs="Times New Roman"/>
          <w:color w:val="auto"/>
          <w:sz w:val="32"/>
          <w:szCs w:val="32"/>
          <w:lang w:eastAsia="zh-CN"/>
        </w:rPr>
        <w:t>；</w:t>
      </w:r>
      <w:r>
        <w:rPr>
          <w:rFonts w:hint="eastAsia" w:ascii="仿宋" w:hAnsi="仿宋" w:eastAsia="仿宋" w:cs="仿宋"/>
          <w:b w:val="0"/>
          <w:bCs w:val="0"/>
          <w:color w:val="auto"/>
          <w:sz w:val="32"/>
          <w:szCs w:val="32"/>
          <w:lang w:val="en-US" w:eastAsia="zh-CN"/>
        </w:rPr>
        <w:t>与怀化市第二人民医院靖州院区建立医联体专科联盟。</w:t>
      </w:r>
    </w:p>
    <w:p w14:paraId="50B4F093">
      <w:pPr>
        <w:widowControl w:val="0"/>
        <w:shd w:val="clear" w:color="auto" w:fill="FFFFFF"/>
        <w:wordWrap/>
        <w:adjustRightInd/>
        <w:snapToGrid/>
        <w:spacing w:before="0" w:after="0" w:line="579" w:lineRule="exact"/>
        <w:ind w:left="0" w:leftChars="0" w:right="0"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楷体" w:cs="Times New Roman"/>
          <w:b/>
          <w:bCs/>
          <w:color w:val="auto"/>
          <w:sz w:val="32"/>
          <w:szCs w:val="32"/>
          <w:lang w:eastAsia="zh-CN"/>
        </w:rPr>
        <w:t>二是</w:t>
      </w:r>
      <w:r>
        <w:rPr>
          <w:rFonts w:hint="default" w:ascii="Times New Roman" w:hAnsi="Times New Roman" w:eastAsia="楷体" w:cs="Times New Roman"/>
          <w:b/>
          <w:bCs/>
          <w:color w:val="auto"/>
          <w:sz w:val="32"/>
          <w:szCs w:val="32"/>
        </w:rPr>
        <w:t>医疗</w:t>
      </w:r>
      <w:r>
        <w:rPr>
          <w:rFonts w:hint="default" w:ascii="Times New Roman" w:hAnsi="Times New Roman" w:eastAsia="楷体" w:cs="Times New Roman"/>
          <w:b/>
          <w:bCs/>
          <w:color w:val="auto"/>
          <w:sz w:val="32"/>
          <w:szCs w:val="32"/>
          <w:lang w:eastAsia="zh-CN"/>
        </w:rPr>
        <w:t>服务能力</w:t>
      </w:r>
      <w:r>
        <w:rPr>
          <w:rFonts w:hint="default" w:ascii="Times New Roman" w:hAnsi="Times New Roman" w:eastAsia="楷体" w:cs="Times New Roman"/>
          <w:b/>
          <w:bCs/>
          <w:color w:val="auto"/>
          <w:sz w:val="32"/>
          <w:szCs w:val="32"/>
        </w:rPr>
        <w:t>持续</w:t>
      </w:r>
      <w:r>
        <w:rPr>
          <w:rFonts w:hint="default" w:ascii="Times New Roman" w:hAnsi="Times New Roman" w:eastAsia="楷体" w:cs="Times New Roman"/>
          <w:b/>
          <w:bCs/>
          <w:color w:val="auto"/>
          <w:sz w:val="32"/>
          <w:szCs w:val="32"/>
          <w:lang w:eastAsia="zh-CN"/>
        </w:rPr>
        <w:t>提升</w:t>
      </w:r>
      <w:r>
        <w:rPr>
          <w:rFonts w:hint="default" w:ascii="Times New Roman" w:hAnsi="Times New Roman" w:eastAsia="楷体" w:cs="Times New Roman"/>
          <w:b/>
          <w:bCs/>
          <w:color w:val="auto"/>
          <w:sz w:val="32"/>
          <w:szCs w:val="32"/>
        </w:rPr>
        <w:t>。</w:t>
      </w:r>
      <w:r>
        <w:rPr>
          <w:rFonts w:hint="default" w:ascii="Times New Roman" w:hAnsi="Times New Roman" w:eastAsia="仿宋_GB2312" w:cs="Times New Roman"/>
          <w:color w:val="auto"/>
          <w:sz w:val="32"/>
          <w:szCs w:val="32"/>
          <w:lang w:val="en-US" w:eastAsia="zh-CN"/>
        </w:rPr>
        <w:t>10月，县人民医院顺利通过市卫健委二级甲等综合医院等级复审验收。建立了</w:t>
      </w:r>
      <w:r>
        <w:rPr>
          <w:rFonts w:hint="eastAsia" w:ascii="Times New Roman" w:hAnsi="Times New Roman" w:eastAsia="仿宋_GB2312" w:cs="Times New Roman"/>
          <w:color w:val="auto"/>
          <w:sz w:val="32"/>
          <w:szCs w:val="32"/>
          <w:lang w:val="en-US" w:eastAsia="zh-CN"/>
        </w:rPr>
        <w:t>全县</w:t>
      </w:r>
      <w:r>
        <w:rPr>
          <w:rFonts w:hint="default" w:ascii="Times New Roman" w:hAnsi="Times New Roman" w:eastAsia="仿宋_GB2312" w:cs="Times New Roman"/>
          <w:color w:val="auto"/>
          <w:sz w:val="32"/>
          <w:szCs w:val="32"/>
          <w:lang w:val="en-US" w:eastAsia="zh-CN"/>
        </w:rPr>
        <w:t>一体化综合急救体系</w:t>
      </w:r>
      <w:r>
        <w:rPr>
          <w:rFonts w:hint="eastAsia" w:ascii="Times New Roman" w:hAnsi="Times New Roman" w:eastAsia="仿宋_GB2312" w:cs="Times New Roman"/>
          <w:color w:val="auto"/>
          <w:sz w:val="32"/>
          <w:szCs w:val="32"/>
          <w:lang w:val="en-US" w:eastAsia="zh-CN"/>
        </w:rPr>
        <w:t>，6月正式</w:t>
      </w:r>
      <w:r>
        <w:rPr>
          <w:rFonts w:hint="default" w:ascii="Times New Roman" w:hAnsi="Times New Roman" w:eastAsia="仿宋_GB2312" w:cs="Times New Roman"/>
          <w:b w:val="0"/>
          <w:bCs w:val="0"/>
          <w:color w:val="auto"/>
          <w:sz w:val="32"/>
          <w:szCs w:val="32"/>
          <w:lang w:val="en-US" w:eastAsia="zh-CN"/>
        </w:rPr>
        <w:t>启动</w:t>
      </w:r>
      <w:r>
        <w:rPr>
          <w:rFonts w:hint="eastAsia" w:ascii="Times New Roman" w:hAnsi="Times New Roman" w:eastAsia="仿宋_GB2312" w:cs="Times New Roman"/>
          <w:b w:val="0"/>
          <w:bCs w:val="0"/>
          <w:color w:val="auto"/>
          <w:sz w:val="32"/>
          <w:szCs w:val="32"/>
          <w:lang w:val="en-US" w:eastAsia="zh-CN"/>
        </w:rPr>
        <w:t>运行</w:t>
      </w:r>
      <w:r>
        <w:rPr>
          <w:rFonts w:hint="default" w:ascii="Times New Roman" w:hAnsi="Times New Roman" w:eastAsia="仿宋_GB2312" w:cs="Times New Roman"/>
          <w:color w:val="auto"/>
          <w:sz w:val="32"/>
          <w:szCs w:val="32"/>
          <w:lang w:val="en-US" w:eastAsia="zh-CN"/>
        </w:rPr>
        <w:t>；</w:t>
      </w:r>
      <w:r>
        <w:rPr>
          <w:rFonts w:hint="eastAsia" w:ascii="仿宋_GB2312" w:hAnsi="仿宋_GB2312" w:eastAsia="仿宋_GB2312" w:cs="仿宋_GB2312"/>
          <w:sz w:val="32"/>
          <w:szCs w:val="32"/>
          <w:lang w:val="en-US" w:eastAsia="zh-CN"/>
        </w:rPr>
        <w:t>共开展各类介入手术789台次，同比增长率67.8%</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县人民医院、县中医医院</w:t>
      </w:r>
      <w:r>
        <w:rPr>
          <w:rFonts w:hint="eastAsia" w:ascii="Times New Roman" w:hAnsi="Times New Roman" w:eastAsia="仿宋" w:cs="Times New Roman"/>
          <w:b w:val="0"/>
          <w:bCs w:val="0"/>
          <w:color w:val="auto"/>
          <w:sz w:val="32"/>
          <w:szCs w:val="32"/>
          <w:lang w:val="en-US" w:eastAsia="zh-CN"/>
        </w:rPr>
        <w:t>已</w:t>
      </w:r>
      <w:r>
        <w:rPr>
          <w:rFonts w:hint="default" w:ascii="Times New Roman" w:hAnsi="Times New Roman" w:eastAsia="仿宋" w:cs="Times New Roman"/>
          <w:b w:val="0"/>
          <w:bCs w:val="0"/>
          <w:color w:val="auto"/>
          <w:sz w:val="32"/>
          <w:szCs w:val="32"/>
          <w:lang w:val="en-US" w:eastAsia="zh-CN"/>
        </w:rPr>
        <w:t>开展检查检验结</w:t>
      </w:r>
      <w:r>
        <w:rPr>
          <w:rFonts w:hint="eastAsia" w:ascii="仿宋" w:hAnsi="仿宋" w:eastAsia="仿宋" w:cs="仿宋"/>
          <w:b w:val="0"/>
          <w:bCs w:val="0"/>
          <w:color w:val="auto"/>
          <w:sz w:val="32"/>
          <w:szCs w:val="32"/>
          <w:lang w:val="en-US" w:eastAsia="zh-CN"/>
        </w:rPr>
        <w:t>果互认工作。</w:t>
      </w:r>
      <w:r>
        <w:rPr>
          <w:rFonts w:hint="eastAsia" w:ascii="仿宋" w:hAnsi="仿宋" w:eastAsia="仿宋" w:cs="仿宋"/>
          <w:spacing w:val="0"/>
          <w:sz w:val="32"/>
          <w:szCs w:val="32"/>
          <w:lang w:eastAsia="zh-CN"/>
        </w:rPr>
        <w:t>投入</w:t>
      </w:r>
      <w:r>
        <w:rPr>
          <w:rFonts w:hint="eastAsia" w:ascii="仿宋" w:hAnsi="仿宋" w:eastAsia="仿宋" w:cs="仿宋"/>
          <w:spacing w:val="0"/>
          <w:sz w:val="32"/>
          <w:szCs w:val="32"/>
          <w:lang w:val="en-US" w:eastAsia="zh-CN"/>
        </w:rPr>
        <w:t>120万元建设了全县心电一张网，</w:t>
      </w:r>
      <w:r>
        <w:rPr>
          <w:rFonts w:hint="eastAsia" w:ascii="仿宋_GB2312" w:hAnsi="仿宋_GB2312" w:eastAsia="仿宋_GB2312" w:cs="仿宋_GB2312"/>
          <w:color w:val="auto"/>
          <w:spacing w:val="0"/>
          <w:sz w:val="32"/>
          <w:szCs w:val="32"/>
          <w:lang w:val="en-US" w:eastAsia="zh-CN"/>
        </w:rPr>
        <w:t>11月份电诊断中心已进入运行阶段</w:t>
      </w:r>
      <w:r>
        <w:rPr>
          <w:rFonts w:hint="eastAsia" w:ascii="仿宋_GB2312" w:hAnsi="仿宋_GB2312" w:eastAsia="仿宋_GB2312" w:cs="仿宋_GB2312"/>
          <w:color w:val="auto"/>
          <w:spacing w:val="0"/>
          <w:sz w:val="32"/>
          <w:szCs w:val="32"/>
          <w:lang w:eastAsia="zh-CN"/>
        </w:rPr>
        <w:t>。</w:t>
      </w:r>
    </w:p>
    <w:p w14:paraId="48E7FE46">
      <w:pPr>
        <w:widowControl w:val="0"/>
        <w:numPr>
          <w:ilvl w:val="0"/>
          <w:numId w:val="0"/>
        </w:numPr>
        <w:wordWrap/>
        <w:spacing w:before="0" w:beforeAutospacing="0" w:after="0" w:afterAutospacing="0" w:line="560" w:lineRule="exact"/>
        <w:ind w:left="0" w:leftChars="0" w:right="0" w:firstLine="640" w:firstLineChars="200"/>
        <w:textAlignment w:val="auto"/>
        <w:outlineLvl w:val="9"/>
        <w:rPr>
          <w:rFonts w:hint="default" w:ascii="Times New Roman" w:hAnsi="Times New Roman" w:eastAsia="黑体" w:cs="Times New Roman"/>
          <w:b w:val="0"/>
          <w:bCs/>
          <w:color w:val="auto"/>
          <w:sz w:val="32"/>
          <w:szCs w:val="32"/>
        </w:rPr>
      </w:pPr>
      <w:r>
        <w:rPr>
          <w:rFonts w:hint="eastAsia" w:ascii="Times New Roman" w:hAnsi="Times New Roman" w:eastAsia="黑体" w:cs="Times New Roman"/>
          <w:b w:val="0"/>
          <w:bCs/>
          <w:color w:val="auto"/>
          <w:sz w:val="32"/>
          <w:szCs w:val="32"/>
          <w:lang w:eastAsia="zh-CN"/>
        </w:rPr>
        <w:t>二、</w:t>
      </w:r>
      <w:r>
        <w:rPr>
          <w:rFonts w:hint="default" w:ascii="Times New Roman" w:hAnsi="Times New Roman" w:eastAsia="黑体" w:cs="Times New Roman"/>
          <w:b w:val="0"/>
          <w:bCs/>
          <w:color w:val="auto"/>
          <w:sz w:val="32"/>
          <w:szCs w:val="32"/>
        </w:rPr>
        <w:t>卫生健康重点工作全面完成</w:t>
      </w:r>
    </w:p>
    <w:p w14:paraId="0166D2EA">
      <w:pPr>
        <w:widowControl w:val="0"/>
        <w:numPr>
          <w:ilvl w:val="0"/>
          <w:numId w:val="0"/>
        </w:numPr>
        <w:wordWrap/>
        <w:adjustRightInd/>
        <w:snapToGrid/>
        <w:spacing w:before="0" w:beforeAutospacing="0" w:after="0" w:afterAutospacing="0" w:line="560" w:lineRule="exact"/>
        <w:ind w:left="0" w:leftChars="0" w:right="0" w:firstLine="643" w:firstLineChars="20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color w:val="auto"/>
          <w:sz w:val="32"/>
          <w:szCs w:val="32"/>
        </w:rPr>
        <w:t>1．基层卫生健康服务。</w:t>
      </w:r>
      <w:r>
        <w:rPr>
          <w:rFonts w:hint="eastAsia" w:ascii="仿宋" w:hAnsi="仿宋" w:eastAsia="仿宋" w:cs="仿宋"/>
          <w:b w:val="0"/>
          <w:bCs w:val="0"/>
          <w:color w:val="000000"/>
          <w:sz w:val="32"/>
          <w:szCs w:val="32"/>
          <w:lang w:val="en-US" w:eastAsia="zh-CN"/>
        </w:rPr>
        <w:t>持续开展优质服务基层行活动，通过基本标准15家、推荐标准1家，瓦屋塘镇中心卫生院已通过市级复核。</w:t>
      </w:r>
      <w:r>
        <w:rPr>
          <w:rFonts w:hint="eastAsia" w:ascii="仿宋" w:hAnsi="仿宋" w:eastAsia="仿宋" w:cs="仿宋"/>
          <w:b w:val="0"/>
          <w:bCs w:val="0"/>
          <w:color w:val="auto"/>
          <w:sz w:val="32"/>
          <w:szCs w:val="32"/>
          <w:lang w:val="en-US" w:eastAsia="zh-CN"/>
        </w:rPr>
        <w:t>全县常住人口285906人，建档270575人，建档率94.63%；65岁及以上常住老年人建档率15.67%；老年人健康体体检率73%，中医药健康管理率95.22%。高血压、Ⅱ型糖尿病、严重精神障碍患者、肺结核的规范管理率分别为：88.1%、88.02%、100%、100%</w:t>
      </w:r>
      <w:r>
        <w:rPr>
          <w:rFonts w:hint="default" w:ascii="Times New Roman" w:hAnsi="Times New Roman" w:eastAsia="仿宋" w:cs="Times New Roman"/>
          <w:b w:val="0"/>
          <w:bCs w:val="0"/>
          <w:color w:val="auto"/>
          <w:sz w:val="32"/>
          <w:szCs w:val="32"/>
          <w:lang w:val="en-US" w:eastAsia="zh-CN"/>
        </w:rPr>
        <w:t>。1</w:t>
      </w:r>
      <w:r>
        <w:rPr>
          <w:rFonts w:hint="eastAsia" w:ascii="Times New Roman" w:hAnsi="Times New Roman" w:eastAsia="仿宋" w:cs="Times New Roman"/>
          <w:b w:val="0"/>
          <w:bCs w:val="0"/>
          <w:color w:val="auto"/>
          <w:sz w:val="32"/>
          <w:szCs w:val="32"/>
          <w:lang w:val="en-US" w:eastAsia="zh-CN"/>
        </w:rPr>
        <w:t>2</w:t>
      </w:r>
      <w:r>
        <w:rPr>
          <w:rFonts w:hint="default" w:ascii="Times New Roman" w:hAnsi="Times New Roman" w:eastAsia="仿宋" w:cs="Times New Roman"/>
          <w:b w:val="0"/>
          <w:bCs w:val="0"/>
          <w:color w:val="auto"/>
          <w:sz w:val="32"/>
          <w:szCs w:val="32"/>
          <w:lang w:val="en-US" w:eastAsia="zh-CN"/>
        </w:rPr>
        <w:t>月中旬家庭医生签约</w:t>
      </w:r>
      <w:r>
        <w:rPr>
          <w:rFonts w:hint="eastAsia" w:ascii="仿宋" w:hAnsi="仿宋" w:eastAsia="仿宋" w:cs="仿宋"/>
          <w:b w:val="0"/>
          <w:bCs w:val="0"/>
          <w:color w:val="auto"/>
          <w:sz w:val="32"/>
          <w:szCs w:val="32"/>
          <w:highlight w:val="none"/>
          <w:lang w:val="en-US" w:eastAsia="zh-CN"/>
        </w:rPr>
        <w:t>151038</w:t>
      </w:r>
      <w:r>
        <w:rPr>
          <w:rFonts w:hint="default" w:ascii="Times New Roman" w:hAnsi="Times New Roman" w:eastAsia="仿宋" w:cs="Times New Roman"/>
          <w:b w:val="0"/>
          <w:bCs w:val="0"/>
          <w:color w:val="auto"/>
          <w:sz w:val="32"/>
          <w:szCs w:val="32"/>
          <w:lang w:val="en-US" w:eastAsia="zh-CN"/>
        </w:rPr>
        <w:t>人</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color w:val="auto"/>
          <w:spacing w:val="0"/>
          <w:sz w:val="32"/>
          <w:szCs w:val="32"/>
          <w:lang w:val="en-US" w:eastAsia="zh-CN"/>
        </w:rPr>
        <w:t>投入200万元，将</w:t>
      </w:r>
      <w:r>
        <w:rPr>
          <w:rFonts w:hint="eastAsia" w:ascii="Times New Roman" w:hAnsi="Times New Roman" w:eastAsia="仿宋" w:cs="Times New Roman"/>
          <w:color w:val="auto"/>
          <w:spacing w:val="0"/>
          <w:sz w:val="32"/>
          <w:szCs w:val="32"/>
          <w:lang w:val="en-US" w:eastAsia="zh-CN"/>
        </w:rPr>
        <w:t>武</w:t>
      </w:r>
      <w:r>
        <w:rPr>
          <w:rFonts w:hint="default" w:ascii="Times New Roman" w:hAnsi="Times New Roman" w:eastAsia="仿宋" w:cs="Times New Roman"/>
          <w:color w:val="auto"/>
          <w:spacing w:val="0"/>
          <w:sz w:val="32"/>
          <w:szCs w:val="32"/>
          <w:lang w:val="en-US" w:eastAsia="zh-CN"/>
        </w:rPr>
        <w:t>阳镇中心卫生院打造成一家仅次于县级医院的区域</w:t>
      </w:r>
      <w:r>
        <w:rPr>
          <w:rFonts w:hint="eastAsia" w:ascii="Times New Roman" w:hAnsi="Times New Roman" w:eastAsia="仿宋" w:cs="Times New Roman"/>
          <w:color w:val="auto"/>
          <w:spacing w:val="0"/>
          <w:sz w:val="32"/>
          <w:szCs w:val="32"/>
          <w:lang w:val="en-US" w:eastAsia="zh-CN"/>
        </w:rPr>
        <w:t>医疗</w:t>
      </w:r>
      <w:r>
        <w:rPr>
          <w:rFonts w:hint="default" w:ascii="Times New Roman" w:hAnsi="Times New Roman" w:eastAsia="仿宋" w:cs="Times New Roman"/>
          <w:color w:val="auto"/>
          <w:spacing w:val="0"/>
          <w:sz w:val="32"/>
          <w:szCs w:val="32"/>
          <w:lang w:val="en-US" w:eastAsia="zh-CN"/>
        </w:rPr>
        <w:t>次中心</w:t>
      </w:r>
      <w:r>
        <w:rPr>
          <w:rFonts w:hint="eastAsia" w:ascii="Times New Roman" w:hAnsi="Times New Roman" w:eastAsia="仿宋" w:cs="Times New Roman"/>
          <w:color w:val="auto"/>
          <w:spacing w:val="0"/>
          <w:sz w:val="32"/>
          <w:szCs w:val="32"/>
          <w:lang w:val="en-US" w:eastAsia="zh-CN"/>
        </w:rPr>
        <w:t>；</w:t>
      </w:r>
      <w:r>
        <w:rPr>
          <w:rFonts w:hint="eastAsia" w:ascii="仿宋" w:hAnsi="仿宋" w:eastAsia="仿宋" w:cs="仿宋"/>
          <w:b w:val="0"/>
          <w:bCs w:val="0"/>
          <w:color w:val="auto"/>
          <w:sz w:val="32"/>
          <w:szCs w:val="32"/>
          <w:lang w:val="en-US" w:eastAsia="zh-CN"/>
        </w:rPr>
        <w:t>投入127.2万元为</w:t>
      </w:r>
      <w:r>
        <w:rPr>
          <w:rFonts w:hint="eastAsia" w:ascii="仿宋" w:hAnsi="仿宋" w:eastAsia="仿宋" w:cs="仿宋"/>
          <w:b w:val="0"/>
          <w:bCs w:val="0"/>
          <w:color w:val="000000"/>
          <w:sz w:val="32"/>
          <w:szCs w:val="32"/>
          <w:lang w:val="en-US" w:eastAsia="zh-CN"/>
        </w:rPr>
        <w:t>全县160个行政村配备健康一体机160台；投入116万元对全县25个乡镇</w:t>
      </w:r>
      <w:r>
        <w:rPr>
          <w:rFonts w:hint="eastAsia" w:ascii="仿宋" w:hAnsi="仿宋" w:eastAsia="仿宋" w:cs="仿宋"/>
          <w:spacing w:val="0"/>
          <w:sz w:val="32"/>
          <w:szCs w:val="32"/>
        </w:rPr>
        <w:t>卫生院、</w:t>
      </w:r>
      <w:r>
        <w:rPr>
          <w:rFonts w:hint="eastAsia" w:ascii="仿宋" w:hAnsi="仿宋" w:eastAsia="仿宋" w:cs="仿宋"/>
          <w:spacing w:val="0"/>
          <w:sz w:val="32"/>
          <w:szCs w:val="32"/>
          <w:lang w:val="en-US" w:eastAsia="zh-CN"/>
        </w:rPr>
        <w:t>215所</w:t>
      </w:r>
      <w:r>
        <w:rPr>
          <w:rFonts w:hint="eastAsia" w:ascii="仿宋" w:hAnsi="仿宋" w:eastAsia="仿宋" w:cs="仿宋"/>
          <w:spacing w:val="0"/>
          <w:sz w:val="32"/>
          <w:szCs w:val="32"/>
        </w:rPr>
        <w:t>行政村卫生室</w:t>
      </w:r>
      <w:r>
        <w:rPr>
          <w:rFonts w:hint="eastAsia" w:ascii="仿宋" w:hAnsi="仿宋" w:eastAsia="仿宋" w:cs="仿宋"/>
          <w:spacing w:val="0"/>
          <w:sz w:val="32"/>
          <w:szCs w:val="32"/>
          <w:lang w:val="en-US" w:eastAsia="zh-CN"/>
        </w:rPr>
        <w:t>实施</w:t>
      </w:r>
      <w:r>
        <w:rPr>
          <w:rFonts w:hint="eastAsia" w:ascii="仿宋" w:hAnsi="仿宋" w:eastAsia="仿宋" w:cs="仿宋"/>
          <w:spacing w:val="0"/>
          <w:sz w:val="32"/>
          <w:szCs w:val="32"/>
        </w:rPr>
        <w:t>人工智能辅助诊疗技术推广应用</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进一步规范诊疗行为，降低疾病漏诊率和误诊率。</w:t>
      </w:r>
    </w:p>
    <w:p w14:paraId="1978CED7">
      <w:pPr>
        <w:widowControl w:val="0"/>
        <w:wordWrap/>
        <w:spacing w:before="0" w:beforeAutospacing="0" w:after="0" w:afterAutospacing="0" w:line="560" w:lineRule="exact"/>
        <w:ind w:left="0" w:leftChars="0" w:right="0" w:firstLine="643" w:firstLineChars="200"/>
        <w:outlineLvl w:val="9"/>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楷体" w:cs="Times New Roman"/>
          <w:b/>
          <w:color w:val="auto"/>
          <w:sz w:val="32"/>
          <w:szCs w:val="32"/>
        </w:rPr>
        <w:t>2．疾控工作。</w:t>
      </w:r>
      <w:r>
        <w:rPr>
          <w:rFonts w:hint="eastAsia" w:ascii="仿宋" w:hAnsi="仿宋" w:eastAsia="仿宋" w:cs="仿宋"/>
          <w:sz w:val="32"/>
          <w:szCs w:val="32"/>
          <w:lang w:val="en-US" w:eastAsia="zh-CN"/>
        </w:rPr>
        <w:t>截止12月11日共报告传染病1586例，较去年同期增加50.04%</w:t>
      </w:r>
      <w:r>
        <w:rPr>
          <w:rFonts w:hint="default" w:ascii="Times New Roman" w:hAnsi="Times New Roman" w:eastAsia="仿宋" w:cs="Times New Roman"/>
          <w:b w:val="0"/>
          <w:bCs w:val="0"/>
          <w:color w:val="auto"/>
          <w:kern w:val="2"/>
          <w:sz w:val="32"/>
          <w:szCs w:val="32"/>
          <w:lang w:val="en-US" w:eastAsia="zh-CN" w:bidi="ar-SA"/>
        </w:rPr>
        <w:t>。</w:t>
      </w:r>
      <w:r>
        <w:rPr>
          <w:rFonts w:hint="default" w:ascii="Times New Roman" w:hAnsi="Times New Roman" w:eastAsia="仿宋" w:cs="Times New Roman"/>
          <w:b w:val="0"/>
          <w:bCs w:val="0"/>
          <w:color w:val="auto"/>
          <w:sz w:val="32"/>
          <w:szCs w:val="32"/>
          <w:lang w:val="en-US" w:eastAsia="zh-CN"/>
        </w:rPr>
        <w:t>IPV查漏补种应补种4483剂次，实补种4396剂次，补种率98.06%。按户籍管理</w:t>
      </w:r>
      <w:r>
        <w:rPr>
          <w:rFonts w:hint="eastAsia" w:ascii="Times New Roman" w:hAnsi="Times New Roman" w:eastAsia="仿宋" w:cs="Times New Roman"/>
          <w:b w:val="0"/>
          <w:bCs w:val="0"/>
          <w:color w:val="auto"/>
          <w:sz w:val="32"/>
          <w:szCs w:val="32"/>
          <w:lang w:val="en-US" w:eastAsia="zh-CN"/>
        </w:rPr>
        <w:t>艾滋病</w:t>
      </w:r>
      <w:r>
        <w:rPr>
          <w:rFonts w:hint="default" w:ascii="Times New Roman" w:hAnsi="Times New Roman" w:eastAsia="仿宋" w:cs="Times New Roman"/>
          <w:b w:val="0"/>
          <w:bCs w:val="0"/>
          <w:color w:val="auto"/>
          <w:sz w:val="32"/>
          <w:szCs w:val="32"/>
          <w:lang w:val="en-US" w:eastAsia="zh-CN"/>
        </w:rPr>
        <w:t>存活26</w:t>
      </w:r>
      <w:r>
        <w:rPr>
          <w:rFonts w:hint="eastAsia" w:ascii="Times New Roman" w:hAnsi="Times New Roman" w:eastAsia="仿宋" w:cs="Times New Roman"/>
          <w:b w:val="0"/>
          <w:bCs w:val="0"/>
          <w:color w:val="auto"/>
          <w:sz w:val="32"/>
          <w:szCs w:val="32"/>
          <w:lang w:val="en-US" w:eastAsia="zh-CN"/>
        </w:rPr>
        <w:t>4人</w:t>
      </w:r>
      <w:r>
        <w:rPr>
          <w:rFonts w:hint="default" w:ascii="Times New Roman" w:hAnsi="Times New Roman" w:eastAsia="仿宋" w:cs="Times New Roman"/>
          <w:b w:val="0"/>
          <w:bCs w:val="0"/>
          <w:color w:val="auto"/>
          <w:sz w:val="32"/>
          <w:szCs w:val="32"/>
          <w:lang w:val="en-US" w:eastAsia="zh-CN"/>
        </w:rPr>
        <w:t>，死亡74</w:t>
      </w:r>
      <w:r>
        <w:rPr>
          <w:rFonts w:hint="eastAsia" w:ascii="Times New Roman" w:hAnsi="Times New Roman" w:eastAsia="仿宋" w:cs="Times New Roman"/>
          <w:b w:val="0"/>
          <w:bCs w:val="0"/>
          <w:color w:val="auto"/>
          <w:sz w:val="32"/>
          <w:szCs w:val="32"/>
          <w:lang w:val="en-US" w:eastAsia="zh-CN"/>
        </w:rPr>
        <w:t>人，</w:t>
      </w:r>
      <w:r>
        <w:rPr>
          <w:rFonts w:hint="default" w:ascii="Times New Roman" w:hAnsi="Times New Roman" w:eastAsia="仿宋" w:cs="Times New Roman"/>
          <w:b w:val="0"/>
          <w:bCs w:val="0"/>
          <w:color w:val="auto"/>
          <w:sz w:val="32"/>
          <w:szCs w:val="32"/>
          <w:lang w:val="en-US" w:eastAsia="zh-CN"/>
        </w:rPr>
        <w:t>年度新发病例2</w:t>
      </w:r>
      <w:r>
        <w:rPr>
          <w:rFonts w:hint="eastAsia" w:ascii="Times New Roman" w:hAnsi="Times New Roman" w:eastAsia="仿宋" w:cs="Times New Roman"/>
          <w:b w:val="0"/>
          <w:bCs w:val="0"/>
          <w:color w:val="auto"/>
          <w:sz w:val="32"/>
          <w:szCs w:val="32"/>
          <w:lang w:val="en-US" w:eastAsia="zh-CN"/>
        </w:rPr>
        <w:t>4人，</w:t>
      </w:r>
      <w:r>
        <w:rPr>
          <w:rFonts w:hint="default" w:ascii="Times New Roman" w:hAnsi="Times New Roman" w:eastAsia="仿宋" w:cs="Times New Roman"/>
          <w:b w:val="0"/>
          <w:bCs w:val="0"/>
          <w:color w:val="auto"/>
          <w:sz w:val="32"/>
          <w:szCs w:val="32"/>
          <w:lang w:val="en-US" w:eastAsia="zh-CN"/>
        </w:rPr>
        <w:t>抗病毒治疗16</w:t>
      </w:r>
      <w:r>
        <w:rPr>
          <w:rFonts w:hint="eastAsia" w:ascii="Times New Roman" w:hAnsi="Times New Roman" w:eastAsia="仿宋" w:cs="Times New Roman"/>
          <w:b w:val="0"/>
          <w:bCs w:val="0"/>
          <w:color w:val="auto"/>
          <w:sz w:val="32"/>
          <w:szCs w:val="32"/>
          <w:lang w:val="en-US" w:eastAsia="zh-CN"/>
        </w:rPr>
        <w:t>9</w:t>
      </w:r>
      <w:r>
        <w:rPr>
          <w:rFonts w:hint="default" w:ascii="Times New Roman" w:hAnsi="Times New Roman" w:eastAsia="仿宋" w:cs="Times New Roman"/>
          <w:b w:val="0"/>
          <w:bCs w:val="0"/>
          <w:color w:val="auto"/>
          <w:sz w:val="32"/>
          <w:szCs w:val="32"/>
          <w:lang w:val="en-US" w:eastAsia="zh-CN"/>
        </w:rPr>
        <w:t>人，新增抗病毒治疗</w:t>
      </w:r>
      <w:r>
        <w:rPr>
          <w:rFonts w:hint="eastAsia" w:ascii="Times New Roman" w:hAnsi="Times New Roman" w:eastAsia="仿宋" w:cs="Times New Roman"/>
          <w:b w:val="0"/>
          <w:bCs w:val="0"/>
          <w:color w:val="auto"/>
          <w:sz w:val="32"/>
          <w:szCs w:val="32"/>
          <w:lang w:val="en-US" w:eastAsia="zh-CN"/>
        </w:rPr>
        <w:t>存活</w:t>
      </w:r>
      <w:r>
        <w:rPr>
          <w:rFonts w:hint="default" w:ascii="Times New Roman" w:hAnsi="Times New Roman" w:eastAsia="仿宋" w:cs="Times New Roman"/>
          <w:b w:val="0"/>
          <w:bCs w:val="0"/>
          <w:color w:val="auto"/>
          <w:sz w:val="32"/>
          <w:szCs w:val="32"/>
          <w:lang w:val="en-US" w:eastAsia="zh-CN"/>
        </w:rPr>
        <w:t>20人</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完成HIV扩大检测</w:t>
      </w:r>
      <w:r>
        <w:rPr>
          <w:rFonts w:hint="eastAsia" w:ascii="仿宋" w:hAnsi="仿宋" w:eastAsia="仿宋" w:cs="仿宋"/>
          <w:b w:val="0"/>
          <w:bCs w:val="0"/>
          <w:sz w:val="32"/>
          <w:szCs w:val="32"/>
          <w:lang w:val="en-US" w:eastAsia="zh-CN"/>
        </w:rPr>
        <w:t>93299</w:t>
      </w:r>
      <w:r>
        <w:rPr>
          <w:rFonts w:hint="default" w:ascii="Times New Roman" w:hAnsi="Times New Roman" w:eastAsia="仿宋" w:cs="Times New Roman"/>
          <w:b w:val="0"/>
          <w:bCs w:val="0"/>
          <w:color w:val="auto"/>
          <w:sz w:val="32"/>
          <w:szCs w:val="32"/>
          <w:lang w:val="en-US" w:eastAsia="zh-CN"/>
        </w:rPr>
        <w:t>人次，完成全年任务数比例</w:t>
      </w:r>
      <w:r>
        <w:rPr>
          <w:rFonts w:hint="eastAsia" w:ascii="仿宋" w:hAnsi="仿宋" w:eastAsia="仿宋" w:cs="仿宋"/>
          <w:b w:val="0"/>
          <w:bCs w:val="0"/>
          <w:sz w:val="32"/>
          <w:szCs w:val="32"/>
          <w:lang w:val="en-US" w:eastAsia="zh-CN"/>
        </w:rPr>
        <w:t>116.6%</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共报告梅毒病例2</w:t>
      </w:r>
      <w:r>
        <w:rPr>
          <w:rFonts w:hint="eastAsia" w:ascii="Times New Roman" w:hAnsi="Times New Roman" w:eastAsia="仿宋" w:cs="Times New Roman"/>
          <w:b w:val="0"/>
          <w:bCs w:val="0"/>
          <w:color w:val="auto"/>
          <w:sz w:val="32"/>
          <w:szCs w:val="32"/>
          <w:lang w:val="en-US" w:eastAsia="zh-CN"/>
        </w:rPr>
        <w:t>4</w:t>
      </w:r>
      <w:r>
        <w:rPr>
          <w:rFonts w:hint="default" w:ascii="Times New Roman" w:hAnsi="Times New Roman" w:eastAsia="仿宋" w:cs="Times New Roman"/>
          <w:b w:val="0"/>
          <w:bCs w:val="0"/>
          <w:color w:val="auto"/>
          <w:sz w:val="32"/>
          <w:szCs w:val="32"/>
          <w:lang w:val="en-US" w:eastAsia="zh-CN"/>
        </w:rPr>
        <w:t>例；报告丙肝病例6例。</w:t>
      </w:r>
      <w:r>
        <w:rPr>
          <w:rFonts w:hint="eastAsia" w:ascii="仿宋" w:hAnsi="仿宋" w:eastAsia="仿宋" w:cs="仿宋"/>
          <w:b w:val="0"/>
          <w:bCs w:val="0"/>
          <w:sz w:val="32"/>
          <w:szCs w:val="32"/>
          <w:lang w:val="en-US" w:eastAsia="zh-CN"/>
        </w:rPr>
        <w:t>全年查出活动性肺结核124例，全县所有中小学入学新生结核病共筛查11244人；肺结核患者规范管理率90%以上，密切接触者筛查率95%以上</w:t>
      </w:r>
      <w:r>
        <w:rPr>
          <w:rFonts w:hint="default" w:ascii="Times New Roman" w:hAnsi="Times New Roman" w:eastAsia="仿宋" w:cs="Times New Roman"/>
          <w:b w:val="0"/>
          <w:bCs w:val="0"/>
          <w:color w:val="auto"/>
          <w:sz w:val="32"/>
          <w:szCs w:val="32"/>
          <w:lang w:val="en-US" w:eastAsia="zh-CN"/>
        </w:rPr>
        <w:t>。累计上报</w:t>
      </w:r>
      <w:r>
        <w:rPr>
          <w:rFonts w:hint="eastAsia" w:ascii="Times New Roman" w:hAnsi="Times New Roman" w:eastAsia="仿宋" w:cs="Times New Roman"/>
          <w:b w:val="0"/>
          <w:bCs w:val="0"/>
          <w:color w:val="auto"/>
          <w:sz w:val="32"/>
          <w:szCs w:val="32"/>
          <w:lang w:val="en-US" w:eastAsia="zh-CN"/>
        </w:rPr>
        <w:t>食源性</w:t>
      </w:r>
      <w:r>
        <w:rPr>
          <w:rFonts w:hint="default" w:ascii="Times New Roman" w:hAnsi="Times New Roman" w:eastAsia="仿宋" w:cs="Times New Roman"/>
          <w:b w:val="0"/>
          <w:bCs w:val="0"/>
          <w:color w:val="auto"/>
          <w:sz w:val="32"/>
          <w:szCs w:val="32"/>
          <w:lang w:val="en-US" w:eastAsia="zh-CN"/>
        </w:rPr>
        <w:t>病例26</w:t>
      </w:r>
      <w:r>
        <w:rPr>
          <w:rFonts w:hint="eastAsia" w:ascii="Times New Roman" w:hAnsi="Times New Roman" w:eastAsia="仿宋" w:cs="Times New Roman"/>
          <w:b w:val="0"/>
          <w:bCs w:val="0"/>
          <w:color w:val="auto"/>
          <w:sz w:val="32"/>
          <w:szCs w:val="32"/>
          <w:lang w:val="en-US" w:eastAsia="zh-CN"/>
        </w:rPr>
        <w:t>9</w:t>
      </w:r>
      <w:r>
        <w:rPr>
          <w:rFonts w:hint="default" w:ascii="Times New Roman" w:hAnsi="Times New Roman" w:eastAsia="仿宋" w:cs="Times New Roman"/>
          <w:b w:val="0"/>
          <w:bCs w:val="0"/>
          <w:color w:val="auto"/>
          <w:sz w:val="32"/>
          <w:szCs w:val="32"/>
          <w:lang w:val="en-US" w:eastAsia="zh-CN"/>
        </w:rPr>
        <w:t>例。</w:t>
      </w:r>
    </w:p>
    <w:p w14:paraId="0A25B6FF">
      <w:pPr>
        <w:ind w:firstLine="643" w:firstLineChars="200"/>
        <w:rPr>
          <w:rFonts w:hint="default" w:ascii="Times New Roman" w:hAnsi="Times New Roman" w:eastAsia="仿宋" w:cs="Times New Roman"/>
          <w:color w:val="auto"/>
          <w:kern w:val="0"/>
          <w:sz w:val="32"/>
          <w:szCs w:val="32"/>
        </w:rPr>
      </w:pPr>
      <w:r>
        <w:rPr>
          <w:rFonts w:hint="default" w:ascii="Times New Roman" w:hAnsi="Times New Roman" w:eastAsia="楷体" w:cs="Times New Roman"/>
          <w:b/>
          <w:color w:val="auto"/>
          <w:sz w:val="32"/>
          <w:szCs w:val="32"/>
        </w:rPr>
        <w:t>3．妇幼工作。</w:t>
      </w:r>
      <w:r>
        <w:rPr>
          <w:rFonts w:hint="default" w:ascii="Times New Roman" w:hAnsi="Times New Roman" w:cs="Times New Roman"/>
          <w:b/>
          <w:color w:val="auto"/>
          <w:sz w:val="32"/>
          <w:szCs w:val="32"/>
          <w:lang w:eastAsia="zh-CN"/>
        </w:rPr>
        <w:t>（</w:t>
      </w:r>
      <w:r>
        <w:rPr>
          <w:rFonts w:hint="default" w:ascii="Times New Roman" w:hAnsi="Times New Roman" w:cs="Times New Roman"/>
          <w:b/>
          <w:color w:val="auto"/>
          <w:sz w:val="32"/>
          <w:szCs w:val="32"/>
          <w:lang w:val="en-US" w:eastAsia="zh-CN"/>
        </w:rPr>
        <w:t>1）</w:t>
      </w:r>
      <w:r>
        <w:rPr>
          <w:rFonts w:hint="eastAsia" w:ascii="Times New Roman" w:hAnsi="Times New Roman" w:eastAsia="仿宋_GB2312" w:cs="Times New Roman"/>
          <w:color w:val="auto"/>
          <w:kern w:val="0"/>
          <w:sz w:val="32"/>
          <w:szCs w:val="32"/>
          <w:lang w:eastAsia="zh-CN"/>
        </w:rPr>
        <w:t>组建</w:t>
      </w:r>
      <w:r>
        <w:rPr>
          <w:rFonts w:hint="default" w:ascii="Times New Roman" w:hAnsi="Times New Roman" w:eastAsia="仿宋_GB2312" w:cs="Times New Roman"/>
          <w:color w:val="auto"/>
          <w:kern w:val="0"/>
          <w:sz w:val="32"/>
          <w:szCs w:val="32"/>
        </w:rPr>
        <w:t>了</w:t>
      </w:r>
      <w:r>
        <w:rPr>
          <w:rFonts w:hint="default" w:ascii="Times New Roman" w:hAnsi="Times New Roman" w:eastAsia="仿宋_GB2312" w:cs="Times New Roman"/>
          <w:b w:val="0"/>
          <w:bCs/>
          <w:color w:val="auto"/>
          <w:kern w:val="0"/>
          <w:sz w:val="32"/>
          <w:szCs w:val="32"/>
        </w:rPr>
        <w:t>阻断艾滋病母婴传播工作</w:t>
      </w:r>
      <w:r>
        <w:rPr>
          <w:rFonts w:hint="default" w:ascii="Times New Roman" w:hAnsi="Times New Roman" w:eastAsia="仿宋_GB2312" w:cs="Times New Roman"/>
          <w:color w:val="auto"/>
          <w:kern w:val="0"/>
          <w:sz w:val="32"/>
          <w:szCs w:val="32"/>
        </w:rPr>
        <w:t>协调领导小组和技术指导小组，建立</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逢孕必检</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的工作机制</w:t>
      </w:r>
      <w:r>
        <w:rPr>
          <w:rFonts w:hint="default" w:ascii="Times New Roman" w:hAnsi="Times New Roman" w:eastAsia="仿宋_GB2312" w:cs="Times New Roman"/>
          <w:color w:val="auto"/>
          <w:kern w:val="0"/>
          <w:sz w:val="32"/>
          <w:szCs w:val="32"/>
          <w:lang w:eastAsia="zh-CN"/>
        </w:rPr>
        <w:t>，</w:t>
      </w:r>
      <w:r>
        <w:rPr>
          <w:rFonts w:hint="eastAsia" w:ascii="仿宋_GB2312" w:hAnsi="仿宋_GB2312" w:eastAsia="仿宋_GB2312" w:cs="仿宋_GB2312"/>
          <w:kern w:val="0"/>
          <w:sz w:val="32"/>
          <w:szCs w:val="32"/>
        </w:rPr>
        <w:t>艾乙梅检测人数1134人，检测率100%</w:t>
      </w:r>
      <w:r>
        <w:rPr>
          <w:rFonts w:hint="eastAsia" w:ascii="仿宋_GB2312" w:hAnsi="仿宋_GB2312" w:eastAsia="仿宋_GB2312" w:cs="仿宋_GB2312"/>
          <w:kern w:val="0"/>
          <w:sz w:val="32"/>
          <w:szCs w:val="32"/>
          <w:lang w:eastAsia="zh-CN"/>
        </w:rPr>
        <w:t>；</w:t>
      </w:r>
      <w:r>
        <w:rPr>
          <w:rFonts w:hint="eastAsia" w:ascii="仿宋" w:hAnsi="仿宋" w:eastAsia="仿宋" w:cs="仿宋"/>
          <w:color w:val="000000"/>
          <w:sz w:val="32"/>
          <w:szCs w:val="32"/>
          <w:lang w:val="en-US" w:eastAsia="zh-CN"/>
        </w:rPr>
        <w:t>免费婚前医学检查应检906对，实检847对，检查率93.48%</w:t>
      </w:r>
      <w:r>
        <w:rPr>
          <w:rFonts w:hint="eastAsia" w:ascii="仿宋_GB2312" w:hAnsi="仿宋_GB2312" w:eastAsia="仿宋_GB2312" w:cs="仿宋_GB2312"/>
          <w:kern w:val="0"/>
          <w:sz w:val="32"/>
          <w:szCs w:val="32"/>
          <w:lang w:eastAsia="zh-CN"/>
        </w:rPr>
        <w:t>。</w:t>
      </w:r>
      <w:r>
        <w:rPr>
          <w:rFonts w:hint="eastAsia" w:ascii="仿宋" w:hAnsi="仿宋" w:eastAsia="仿宋" w:cs="仿宋"/>
          <w:b/>
          <w:bCs/>
          <w:color w:val="auto"/>
          <w:sz w:val="32"/>
          <w:szCs w:val="32"/>
          <w:lang w:val="en-US" w:eastAsia="zh-CN"/>
        </w:rPr>
        <w:t>（2）</w:t>
      </w:r>
      <w:r>
        <w:rPr>
          <w:rFonts w:hint="eastAsia" w:ascii="仿宋" w:hAnsi="仿宋" w:eastAsia="仿宋" w:cs="仿宋"/>
          <w:color w:val="000000"/>
          <w:sz w:val="32"/>
          <w:szCs w:val="32"/>
          <w:lang w:val="en-US" w:eastAsia="zh-CN"/>
        </w:rPr>
        <w:t>全</w:t>
      </w:r>
      <w:r>
        <w:rPr>
          <w:rFonts w:hint="default" w:ascii="仿宋" w:hAnsi="仿宋" w:eastAsia="仿宋" w:cs="仿宋"/>
          <w:color w:val="000000"/>
          <w:sz w:val="32"/>
          <w:szCs w:val="32"/>
          <w:lang w:val="en-US" w:eastAsia="zh-CN"/>
        </w:rPr>
        <w:t>县共有产妇</w:t>
      </w:r>
      <w:r>
        <w:rPr>
          <w:rFonts w:hint="eastAsia" w:ascii="仿宋" w:hAnsi="仿宋" w:eastAsia="仿宋" w:cs="仿宋"/>
          <w:color w:val="000000"/>
          <w:sz w:val="32"/>
          <w:szCs w:val="32"/>
          <w:lang w:val="en-US" w:eastAsia="zh-CN"/>
        </w:rPr>
        <w:t>1297</w:t>
      </w:r>
      <w:r>
        <w:rPr>
          <w:rFonts w:hint="default" w:ascii="仿宋" w:hAnsi="仿宋" w:eastAsia="仿宋" w:cs="仿宋"/>
          <w:color w:val="000000"/>
          <w:sz w:val="32"/>
          <w:szCs w:val="32"/>
          <w:lang w:val="en-US" w:eastAsia="zh-CN"/>
        </w:rPr>
        <w:t>人，活产数</w:t>
      </w:r>
      <w:r>
        <w:rPr>
          <w:rFonts w:hint="eastAsia" w:ascii="仿宋" w:hAnsi="仿宋" w:eastAsia="仿宋" w:cs="仿宋"/>
          <w:color w:val="000000"/>
          <w:sz w:val="32"/>
          <w:szCs w:val="32"/>
          <w:lang w:val="en-US" w:eastAsia="zh-CN"/>
        </w:rPr>
        <w:t>1311</w:t>
      </w:r>
      <w:r>
        <w:rPr>
          <w:rFonts w:hint="default" w:ascii="仿宋" w:hAnsi="仿宋" w:eastAsia="仿宋" w:cs="仿宋"/>
          <w:color w:val="000000"/>
          <w:sz w:val="32"/>
          <w:szCs w:val="32"/>
          <w:lang w:val="en-US" w:eastAsia="zh-CN"/>
        </w:rPr>
        <w:t>人，产前建卡率</w:t>
      </w:r>
      <w:r>
        <w:rPr>
          <w:rFonts w:hint="eastAsia" w:ascii="仿宋" w:hAnsi="仿宋" w:eastAsia="仿宋" w:cs="仿宋"/>
          <w:color w:val="000000"/>
          <w:sz w:val="32"/>
          <w:szCs w:val="32"/>
          <w:lang w:val="en-US" w:eastAsia="zh-CN"/>
        </w:rPr>
        <w:t>90.36</w:t>
      </w:r>
      <w:r>
        <w:rPr>
          <w:rFonts w:hint="default"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t>，</w:t>
      </w:r>
      <w:r>
        <w:rPr>
          <w:rFonts w:hint="default" w:ascii="仿宋" w:hAnsi="仿宋" w:eastAsia="仿宋" w:cs="仿宋"/>
          <w:color w:val="000000"/>
          <w:sz w:val="32"/>
          <w:szCs w:val="32"/>
          <w:lang w:val="en-US" w:eastAsia="zh-CN"/>
        </w:rPr>
        <w:t>住院分娩率为100%</w:t>
      </w:r>
      <w:r>
        <w:rPr>
          <w:rFonts w:hint="eastAsia" w:ascii="仿宋" w:hAnsi="仿宋" w:eastAsia="仿宋" w:cs="仿宋"/>
          <w:color w:val="000000"/>
          <w:sz w:val="32"/>
          <w:szCs w:val="32"/>
          <w:lang w:val="en-US" w:eastAsia="zh-CN"/>
        </w:rPr>
        <w:t>，</w:t>
      </w:r>
      <w:r>
        <w:rPr>
          <w:rFonts w:hint="default" w:ascii="仿宋" w:hAnsi="仿宋" w:eastAsia="仿宋" w:cs="仿宋"/>
          <w:color w:val="000000"/>
          <w:sz w:val="32"/>
          <w:szCs w:val="32"/>
          <w:lang w:val="en-US" w:eastAsia="zh-CN"/>
        </w:rPr>
        <w:t>无孕产妇死亡。</w:t>
      </w:r>
      <w:r>
        <w:rPr>
          <w:rFonts w:hint="eastAsia" w:ascii="仿宋_GB2312" w:hAnsi="仿宋_GB2312" w:eastAsia="仿宋_GB2312" w:cs="仿宋_GB2312"/>
          <w:kern w:val="0"/>
          <w:sz w:val="32"/>
          <w:szCs w:val="32"/>
          <w:lang w:val="en-US" w:eastAsia="zh-CN"/>
        </w:rPr>
        <w:t>完成</w:t>
      </w:r>
      <w:r>
        <w:rPr>
          <w:rFonts w:hint="eastAsia" w:ascii="仿宋_GB2312" w:hAnsi="仿宋_GB2312" w:eastAsia="仿宋_GB2312" w:cs="仿宋_GB2312"/>
          <w:color w:val="000000"/>
          <w:sz w:val="32"/>
          <w:szCs w:val="32"/>
        </w:rPr>
        <w:t>孕前优生检</w:t>
      </w:r>
      <w:r>
        <w:rPr>
          <w:rFonts w:hint="eastAsia" w:ascii="仿宋_GB2312" w:hAnsi="仿宋_GB2312" w:eastAsia="仿宋_GB2312" w:cs="仿宋_GB2312"/>
          <w:color w:val="auto"/>
          <w:sz w:val="32"/>
          <w:szCs w:val="32"/>
        </w:rPr>
        <w:t>查15</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对，完成率9</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19项检查完成率</w:t>
      </w: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kern w:val="0"/>
          <w:sz w:val="32"/>
          <w:szCs w:val="32"/>
          <w:lang w:val="en-US" w:eastAsia="zh-CN"/>
        </w:rPr>
        <w:t>儿童保健严格实行“4.2.2”体检制,</w:t>
      </w:r>
      <w:r>
        <w:rPr>
          <w:rFonts w:hint="default" w:ascii="仿宋_GB2312" w:hAnsi="仿宋_GB2312" w:eastAsia="仿宋_GB2312" w:cs="仿宋_GB2312"/>
          <w:kern w:val="0"/>
          <w:sz w:val="32"/>
          <w:szCs w:val="32"/>
          <w:lang w:val="en-US" w:eastAsia="zh-CN"/>
        </w:rPr>
        <w:t>3岁以下系统管理率9</w:t>
      </w:r>
      <w:r>
        <w:rPr>
          <w:rFonts w:hint="eastAsia" w:ascii="仿宋_GB2312" w:hAnsi="仿宋_GB2312" w:eastAsia="仿宋_GB2312" w:cs="仿宋_GB2312"/>
          <w:kern w:val="0"/>
          <w:sz w:val="32"/>
          <w:szCs w:val="32"/>
          <w:lang w:val="en-US" w:eastAsia="zh-CN"/>
        </w:rPr>
        <w:t>1.39</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截止</w:t>
      </w:r>
      <w:r>
        <w:rPr>
          <w:rFonts w:hint="eastAsia" w:ascii="Times New Roman" w:hAnsi="Times New Roman" w:eastAsia="仿宋_GB2312" w:cs="Times New Roman"/>
          <w:color w:val="auto"/>
          <w:kern w:val="0"/>
          <w:sz w:val="32"/>
          <w:szCs w:val="32"/>
          <w:lang w:val="en-US" w:eastAsia="zh-CN"/>
        </w:rPr>
        <w:t>目前</w:t>
      </w:r>
      <w:r>
        <w:rPr>
          <w:rFonts w:hint="default" w:ascii="Times New Roman" w:hAnsi="Times New Roman" w:eastAsia="仿宋_GB2312" w:cs="Times New Roman"/>
          <w:color w:val="auto"/>
          <w:kern w:val="0"/>
          <w:sz w:val="32"/>
          <w:szCs w:val="32"/>
          <w:lang w:val="en-US" w:eastAsia="zh-CN"/>
        </w:rPr>
        <w:t>，完成孕产妇免费产前筛查目标任务</w:t>
      </w:r>
      <w:r>
        <w:rPr>
          <w:rFonts w:hint="eastAsia" w:ascii="Times New Roman" w:hAnsi="Times New Roman" w:eastAsia="仿宋_GB2312" w:cs="Times New Roman"/>
          <w:color w:val="auto"/>
          <w:kern w:val="0"/>
          <w:sz w:val="32"/>
          <w:szCs w:val="32"/>
          <w:lang w:val="en-US" w:eastAsia="zh-CN"/>
        </w:rPr>
        <w:t>1161</w:t>
      </w:r>
      <w:r>
        <w:rPr>
          <w:rFonts w:hint="default" w:ascii="Times New Roman" w:hAnsi="Times New Roman" w:eastAsia="仿宋_GB2312" w:cs="Times New Roman"/>
          <w:color w:val="auto"/>
          <w:kern w:val="0"/>
          <w:sz w:val="32"/>
          <w:szCs w:val="32"/>
          <w:lang w:val="en-US" w:eastAsia="zh-CN"/>
        </w:rPr>
        <w:t>人</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完成</w:t>
      </w:r>
      <w:r>
        <w:rPr>
          <w:rFonts w:hint="default" w:ascii="Times New Roman" w:hAnsi="Times New Roman" w:eastAsia="仿宋_GB2312" w:cs="Times New Roman"/>
          <w:color w:val="auto"/>
          <w:kern w:val="0"/>
          <w:sz w:val="32"/>
          <w:szCs w:val="32"/>
        </w:rPr>
        <w:t>率为</w:t>
      </w:r>
      <w:r>
        <w:rPr>
          <w:rFonts w:hint="eastAsia" w:ascii="仿宋" w:hAnsi="仿宋" w:eastAsia="仿宋" w:cs="仿宋"/>
          <w:sz w:val="32"/>
          <w:szCs w:val="32"/>
          <w:lang w:val="en-US" w:eastAsia="zh-CN"/>
        </w:rPr>
        <w:t>完成率为96.75%</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lang w:val="en-US" w:eastAsia="zh-CN"/>
        </w:rPr>
        <w:t>161</w:t>
      </w:r>
      <w:r>
        <w:rPr>
          <w:rFonts w:hint="default" w:ascii="Times New Roman" w:hAnsi="Times New Roman" w:eastAsia="仿宋_GB2312" w:cs="Times New Roman"/>
          <w:color w:val="auto"/>
          <w:kern w:val="0"/>
          <w:sz w:val="32"/>
          <w:szCs w:val="32"/>
          <w:lang w:val="en-US" w:eastAsia="zh-CN"/>
        </w:rPr>
        <w:t>/1200</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sz w:val="32"/>
          <w:szCs w:val="32"/>
          <w:lang w:val="en-US" w:eastAsia="zh-CN"/>
        </w:rPr>
        <w:t>；完成</w:t>
      </w:r>
      <w:r>
        <w:rPr>
          <w:rFonts w:hint="eastAsia" w:ascii="仿宋_GB2312" w:hAnsi="仿宋_GB2312" w:eastAsia="仿宋_GB2312" w:cs="仿宋_GB2312"/>
          <w:kern w:val="0"/>
          <w:sz w:val="32"/>
          <w:szCs w:val="32"/>
          <w:lang w:val="en-US" w:eastAsia="zh-CN"/>
        </w:rPr>
        <w:t>听力筛查人数1216人，完成率99.18%；</w:t>
      </w:r>
      <w:r>
        <w:rPr>
          <w:rFonts w:hint="eastAsia" w:ascii="仿宋" w:hAnsi="仿宋" w:eastAsia="仿宋" w:cs="仿宋"/>
          <w:color w:val="auto"/>
          <w:kern w:val="0"/>
          <w:sz w:val="32"/>
          <w:szCs w:val="32"/>
          <w:lang w:val="en-US" w:eastAsia="zh-CN" w:bidi="ar-SA"/>
        </w:rPr>
        <w:t>完成新生儿免费先心病筛查1216人，完成率110.55%（1216/1100）</w:t>
      </w:r>
      <w:r>
        <w:rPr>
          <w:rFonts w:hint="eastAsia" w:ascii="仿宋" w:hAnsi="仿宋" w:eastAsia="仿宋" w:cs="仿宋"/>
          <w:color w:val="auto"/>
          <w:sz w:val="32"/>
          <w:szCs w:val="32"/>
        </w:rPr>
        <w:t>。</w:t>
      </w:r>
    </w:p>
    <w:p w14:paraId="55264E5C">
      <w:pPr>
        <w:widowControl w:val="0"/>
        <w:wordWrap/>
        <w:adjustRightInd/>
        <w:snapToGrid/>
        <w:spacing w:before="0" w:beforeAutospacing="0" w:after="0" w:afterAutospacing="0" w:line="560" w:lineRule="exact"/>
        <w:ind w:left="0" w:leftChars="0" w:right="0" w:firstLine="643" w:firstLineChars="200"/>
        <w:textAlignment w:val="auto"/>
        <w:outlineLvl w:val="9"/>
        <w:rPr>
          <w:rFonts w:hint="eastAsia" w:ascii="仿宋" w:hAnsi="仿宋" w:eastAsia="仿宋" w:cs="仿宋"/>
          <w:b w:val="0"/>
          <w:bCs w:val="0"/>
          <w:color w:val="auto"/>
          <w:sz w:val="32"/>
          <w:szCs w:val="32"/>
          <w:lang w:val="en-US" w:eastAsia="zh-CN"/>
        </w:rPr>
      </w:pPr>
      <w:r>
        <w:rPr>
          <w:rFonts w:hint="default" w:ascii="Times New Roman" w:hAnsi="Times New Roman" w:eastAsia="楷体" w:cs="Times New Roman"/>
          <w:b/>
          <w:bCs/>
          <w:color w:val="auto"/>
          <w:sz w:val="32"/>
          <w:szCs w:val="32"/>
          <w:lang w:val="en-US" w:eastAsia="zh-CN"/>
        </w:rPr>
        <w:t>4</w:t>
      </w:r>
      <w:r>
        <w:rPr>
          <w:rFonts w:hint="default" w:ascii="Times New Roman" w:hAnsi="Times New Roman" w:eastAsia="楷体" w:cs="Times New Roman"/>
          <w:b/>
          <w:bCs/>
          <w:color w:val="auto"/>
          <w:sz w:val="32"/>
          <w:szCs w:val="32"/>
        </w:rPr>
        <w:t>．中医药工作。</w:t>
      </w:r>
      <w:r>
        <w:rPr>
          <w:rFonts w:hint="default" w:ascii="Times New Roman" w:hAnsi="Times New Roman" w:eastAsia="仿宋" w:cs="Times New Roman"/>
          <w:color w:val="auto"/>
          <w:sz w:val="32"/>
          <w:szCs w:val="32"/>
        </w:rPr>
        <w:t>已向县政府申请落实中医药传承创新发展专项资金项目经费</w:t>
      </w:r>
      <w:r>
        <w:rPr>
          <w:rFonts w:hint="default" w:ascii="Times New Roman" w:hAnsi="Times New Roman" w:eastAsia="仿宋" w:cs="Times New Roman"/>
          <w:color w:val="auto"/>
          <w:sz w:val="32"/>
          <w:szCs w:val="32"/>
          <w:lang w:val="en-US" w:eastAsia="zh-CN"/>
        </w:rPr>
        <w:t>10</w:t>
      </w:r>
      <w:r>
        <w:rPr>
          <w:rFonts w:hint="default" w:ascii="Times New Roman" w:hAnsi="Times New Roman" w:eastAsia="仿宋" w:cs="Times New Roman"/>
          <w:color w:val="auto"/>
          <w:sz w:val="32"/>
          <w:szCs w:val="32"/>
        </w:rPr>
        <w:t>万元。</w:t>
      </w:r>
      <w:r>
        <w:rPr>
          <w:rFonts w:hint="eastAsia" w:ascii="仿宋" w:hAnsi="仿宋" w:eastAsia="仿宋" w:cs="仿宋"/>
          <w:b w:val="0"/>
          <w:bCs w:val="0"/>
          <w:color w:val="auto"/>
          <w:sz w:val="32"/>
          <w:szCs w:val="32"/>
          <w:lang w:val="en-US" w:eastAsia="zh-CN"/>
        </w:rPr>
        <w:t>绥宁县中医医院建设治未病、适宜技术推广、中医特色诊疗三中心已投入使用。17个建制乡镇卫生院均建有至少五室的中医特色装修标准化的中医馆。</w:t>
      </w:r>
      <w:r>
        <w:rPr>
          <w:rFonts w:hint="default" w:ascii="Times New Roman" w:hAnsi="Times New Roman" w:eastAsia="仿宋" w:cs="Times New Roman"/>
          <w:color w:val="auto"/>
          <w:sz w:val="32"/>
          <w:szCs w:val="32"/>
        </w:rPr>
        <w:t>10月份</w:t>
      </w:r>
      <w:r>
        <w:rPr>
          <w:rFonts w:hint="eastAsia" w:ascii="Times New Roman" w:hAnsi="Times New Roman" w:eastAsia="仿宋" w:cs="Times New Roman"/>
          <w:color w:val="auto"/>
          <w:sz w:val="32"/>
          <w:szCs w:val="32"/>
          <w:lang w:eastAsia="zh-CN"/>
        </w:rPr>
        <w:t>，县中医医院</w:t>
      </w:r>
      <w:r>
        <w:rPr>
          <w:rFonts w:hint="default" w:ascii="Times New Roman" w:hAnsi="Times New Roman" w:eastAsia="仿宋" w:cs="Times New Roman"/>
          <w:color w:val="auto"/>
          <w:sz w:val="32"/>
          <w:szCs w:val="32"/>
        </w:rPr>
        <w:t>组织全县300余名乡镇卫生院骨干和村医的中医适宜技术培训班。积极推动中医药文化宣传。</w:t>
      </w:r>
      <w:r>
        <w:rPr>
          <w:rFonts w:hint="eastAsia" w:ascii="仿宋" w:hAnsi="仿宋" w:eastAsia="仿宋" w:cs="仿宋"/>
          <w:b w:val="0"/>
          <w:bCs w:val="0"/>
          <w:color w:val="auto"/>
          <w:sz w:val="32"/>
          <w:szCs w:val="32"/>
          <w:lang w:val="en-US" w:eastAsia="zh-CN"/>
        </w:rPr>
        <w:t>17家建制乡卫生院均已经建设中医药健康文化知识角,截止到目前已经建设完成4家旗舰中医馆和33家村卫生室中医阁。</w:t>
      </w:r>
    </w:p>
    <w:p w14:paraId="08CE6E6F">
      <w:pPr>
        <w:widowControl w:val="0"/>
        <w:wordWrap/>
        <w:spacing w:before="0" w:beforeAutospacing="0" w:after="0" w:afterAutospacing="0" w:line="560" w:lineRule="exact"/>
        <w:ind w:left="0" w:leftChars="0" w:right="0" w:firstLine="645"/>
        <w:outlineLvl w:val="9"/>
        <w:rPr>
          <w:rFonts w:hint="default" w:ascii="Times New Roman" w:hAnsi="Times New Roman" w:eastAsia="仿宋" w:cs="Times New Roman"/>
          <w:color w:val="auto"/>
          <w:sz w:val="32"/>
          <w:szCs w:val="32"/>
        </w:rPr>
      </w:pPr>
      <w:r>
        <w:rPr>
          <w:rFonts w:hint="default" w:ascii="Times New Roman" w:hAnsi="Times New Roman" w:eastAsia="楷体" w:cs="Times New Roman"/>
          <w:b/>
          <w:color w:val="auto"/>
          <w:sz w:val="32"/>
          <w:szCs w:val="32"/>
          <w:lang w:val="en-US" w:eastAsia="zh-CN"/>
        </w:rPr>
        <w:t>5</w:t>
      </w:r>
      <w:r>
        <w:rPr>
          <w:rFonts w:hint="default" w:ascii="Times New Roman" w:hAnsi="Times New Roman" w:eastAsia="楷体" w:cs="Times New Roman"/>
          <w:b/>
          <w:color w:val="auto"/>
          <w:sz w:val="32"/>
          <w:szCs w:val="32"/>
        </w:rPr>
        <w:t>．卫生健康综合执法。</w:t>
      </w:r>
      <w:r>
        <w:rPr>
          <w:rFonts w:hint="default" w:ascii="Times New Roman" w:hAnsi="Times New Roman" w:eastAsia="仿宋" w:cs="Times New Roman"/>
          <w:color w:val="auto"/>
          <w:sz w:val="32"/>
          <w:szCs w:val="32"/>
        </w:rPr>
        <w:t>对</w:t>
      </w:r>
      <w:r>
        <w:rPr>
          <w:rFonts w:hint="default" w:ascii="Times New Roman" w:hAnsi="Times New Roman" w:eastAsia="仿宋" w:cs="Times New Roman"/>
          <w:color w:val="auto"/>
          <w:sz w:val="32"/>
          <w:szCs w:val="32"/>
          <w:lang w:eastAsia="zh-CN"/>
        </w:rPr>
        <w:t>县域内</w:t>
      </w:r>
      <w:r>
        <w:rPr>
          <w:rFonts w:hint="default" w:ascii="Times New Roman" w:hAnsi="Times New Roman" w:eastAsia="仿宋" w:cs="Times New Roman"/>
          <w:color w:val="auto"/>
          <w:sz w:val="32"/>
          <w:szCs w:val="32"/>
        </w:rPr>
        <w:t>医疗机构</w:t>
      </w:r>
      <w:r>
        <w:rPr>
          <w:rFonts w:hint="eastAsia" w:ascii="Times New Roman" w:hAnsi="Times New Roman" w:eastAsia="仿宋" w:cs="Times New Roman"/>
          <w:color w:val="auto"/>
          <w:sz w:val="32"/>
          <w:szCs w:val="32"/>
          <w:lang w:eastAsia="zh-CN"/>
        </w:rPr>
        <w:t>开展</w:t>
      </w:r>
      <w:r>
        <w:rPr>
          <w:rFonts w:hint="default" w:ascii="Times New Roman" w:hAnsi="Times New Roman" w:eastAsia="仿宋" w:cs="Times New Roman"/>
          <w:color w:val="auto"/>
          <w:sz w:val="32"/>
          <w:szCs w:val="32"/>
        </w:rPr>
        <w:t>2次</w:t>
      </w:r>
      <w:r>
        <w:rPr>
          <w:rFonts w:hint="eastAsia" w:ascii="Times New Roman" w:hAnsi="Times New Roman" w:eastAsia="仿宋" w:cs="Times New Roman"/>
          <w:color w:val="auto"/>
          <w:sz w:val="32"/>
          <w:szCs w:val="32"/>
          <w:lang w:eastAsia="zh-CN"/>
        </w:rPr>
        <w:t>以上</w:t>
      </w:r>
      <w:r>
        <w:rPr>
          <w:rFonts w:hint="default" w:ascii="Times New Roman" w:hAnsi="Times New Roman" w:eastAsia="仿宋" w:cs="Times New Roman"/>
          <w:color w:val="auto"/>
          <w:sz w:val="32"/>
          <w:szCs w:val="32"/>
        </w:rPr>
        <w:t>常规监督检查</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监督覆盖率100%，下达卫生监督意见书</w:t>
      </w:r>
      <w:r>
        <w:rPr>
          <w:rFonts w:hint="default" w:ascii="Times New Roman" w:hAnsi="Times New Roman" w:eastAsia="仿宋" w:cs="Times New Roman"/>
          <w:color w:val="auto"/>
          <w:sz w:val="32"/>
          <w:szCs w:val="32"/>
          <w:lang w:val="en-US" w:eastAsia="zh-CN"/>
        </w:rPr>
        <w:t>120</w:t>
      </w:r>
      <w:r>
        <w:rPr>
          <w:rFonts w:hint="default" w:ascii="Times New Roman" w:hAnsi="Times New Roman" w:eastAsia="仿宋" w:cs="Times New Roman"/>
          <w:color w:val="auto"/>
          <w:sz w:val="32"/>
          <w:szCs w:val="32"/>
        </w:rPr>
        <w:t>份，</w:t>
      </w:r>
      <w:r>
        <w:rPr>
          <w:rFonts w:hint="default" w:ascii="Times New Roman" w:hAnsi="Times New Roman" w:eastAsia="仿宋" w:cs="Times New Roman"/>
          <w:color w:val="auto"/>
          <w:sz w:val="32"/>
          <w:szCs w:val="32"/>
          <w:lang w:eastAsia="zh-CN"/>
        </w:rPr>
        <w:t>立案</w:t>
      </w:r>
      <w:r>
        <w:rPr>
          <w:rFonts w:hint="default" w:ascii="Times New Roman" w:hAnsi="Times New Roman" w:eastAsia="仿宋" w:cs="Times New Roman"/>
          <w:color w:val="auto"/>
          <w:sz w:val="32"/>
          <w:szCs w:val="32"/>
          <w:lang w:val="en-US" w:eastAsia="zh-CN"/>
        </w:rPr>
        <w:t>3家，罚款3000元。</w:t>
      </w:r>
      <w:r>
        <w:rPr>
          <w:rFonts w:hint="default" w:ascii="Times New Roman" w:hAnsi="Times New Roman" w:eastAsia="仿宋" w:cs="Times New Roman"/>
          <w:color w:val="auto"/>
          <w:sz w:val="32"/>
          <w:szCs w:val="32"/>
        </w:rPr>
        <w:t>开展打击非法行医专项行动和非法采供血工作，</w:t>
      </w:r>
      <w:r>
        <w:rPr>
          <w:rFonts w:hint="default" w:ascii="Times New Roman" w:hAnsi="Times New Roman" w:eastAsia="仿宋" w:cs="Times New Roman"/>
          <w:color w:val="auto"/>
          <w:sz w:val="32"/>
          <w:szCs w:val="32"/>
          <w:lang w:eastAsia="zh-CN"/>
        </w:rPr>
        <w:t>监督各级各类医科机构</w:t>
      </w:r>
      <w:r>
        <w:rPr>
          <w:rFonts w:hint="default" w:ascii="Times New Roman" w:hAnsi="Times New Roman" w:eastAsia="仿宋" w:cs="Times New Roman"/>
          <w:color w:val="auto"/>
          <w:sz w:val="32"/>
          <w:szCs w:val="32"/>
          <w:lang w:val="en-US" w:eastAsia="zh-CN"/>
        </w:rPr>
        <w:t>40家，</w:t>
      </w:r>
      <w:r>
        <w:rPr>
          <w:rFonts w:hint="default" w:ascii="Times New Roman" w:hAnsi="Times New Roman" w:eastAsia="仿宋" w:cs="Times New Roman"/>
          <w:color w:val="auto"/>
          <w:sz w:val="32"/>
          <w:szCs w:val="32"/>
        </w:rPr>
        <w:t>查处无证行医</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家，同时查处</w:t>
      </w:r>
      <w:r>
        <w:rPr>
          <w:rFonts w:hint="default" w:ascii="Times New Roman" w:hAnsi="Times New Roman" w:eastAsia="仿宋" w:cs="Times New Roman"/>
          <w:color w:val="auto"/>
          <w:sz w:val="32"/>
          <w:szCs w:val="32"/>
          <w:lang w:eastAsia="zh-CN"/>
        </w:rPr>
        <w:t>以医疗美容名义行医</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家，立案</w:t>
      </w: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起，</w:t>
      </w:r>
      <w:r>
        <w:rPr>
          <w:rFonts w:hint="default" w:ascii="Times New Roman" w:hAnsi="Times New Roman" w:eastAsia="仿宋" w:cs="Times New Roman"/>
          <w:color w:val="auto"/>
          <w:sz w:val="32"/>
          <w:szCs w:val="32"/>
          <w:lang w:eastAsia="zh-CN"/>
        </w:rPr>
        <w:t>收缴</w:t>
      </w:r>
      <w:r>
        <w:rPr>
          <w:rFonts w:hint="default" w:ascii="Times New Roman" w:hAnsi="Times New Roman" w:eastAsia="仿宋" w:cs="Times New Roman"/>
          <w:color w:val="auto"/>
          <w:sz w:val="32"/>
          <w:szCs w:val="32"/>
        </w:rPr>
        <w:t>罚款</w:t>
      </w:r>
      <w:r>
        <w:rPr>
          <w:rFonts w:hint="default" w:ascii="Times New Roman" w:hAnsi="Times New Roman" w:eastAsia="仿宋" w:cs="Times New Roman"/>
          <w:color w:val="auto"/>
          <w:sz w:val="32"/>
          <w:szCs w:val="32"/>
          <w:lang w:val="en-US" w:eastAsia="zh-CN"/>
        </w:rPr>
        <w:t>13.6</w:t>
      </w:r>
      <w:r>
        <w:rPr>
          <w:rFonts w:hint="default" w:ascii="Times New Roman" w:hAnsi="Times New Roman" w:eastAsia="仿宋" w:cs="Times New Roman"/>
          <w:color w:val="auto"/>
          <w:sz w:val="32"/>
          <w:szCs w:val="32"/>
        </w:rPr>
        <w:t>万元。</w:t>
      </w:r>
    </w:p>
    <w:p w14:paraId="0C5ACC96">
      <w:pPr>
        <w:widowControl w:val="0"/>
        <w:wordWrap/>
        <w:adjustRightInd/>
        <w:snapToGrid/>
        <w:spacing w:before="0" w:beforeAutospacing="0" w:after="0" w:afterAutospacing="0" w:line="560" w:lineRule="exact"/>
        <w:ind w:left="0" w:leftChars="0" w:right="0" w:firstLine="643" w:firstLineChars="200"/>
        <w:textAlignment w:val="auto"/>
        <w:outlineLvl w:val="9"/>
        <w:rPr>
          <w:rFonts w:hint="default" w:ascii="Times New Roman" w:hAnsi="Times New Roman" w:eastAsia="仿宋" w:cs="Times New Roman"/>
          <w:b w:val="0"/>
          <w:bCs w:val="0"/>
          <w:color w:val="auto"/>
          <w:sz w:val="32"/>
          <w:szCs w:val="32"/>
          <w:lang w:val="en-US" w:eastAsia="zh-CN"/>
        </w:rPr>
      </w:pPr>
      <w:r>
        <w:rPr>
          <w:rFonts w:hint="eastAsia" w:ascii="Times New Roman" w:hAnsi="Times New Roman" w:eastAsia="楷体" w:cs="Times New Roman"/>
          <w:b/>
          <w:color w:val="auto"/>
          <w:sz w:val="32"/>
          <w:szCs w:val="32"/>
          <w:lang w:val="en-US" w:eastAsia="zh-CN"/>
        </w:rPr>
        <w:t>6</w:t>
      </w:r>
      <w:r>
        <w:rPr>
          <w:rFonts w:hint="default" w:ascii="Times New Roman" w:hAnsi="Times New Roman" w:eastAsia="楷体" w:cs="Times New Roman"/>
          <w:b/>
          <w:color w:val="auto"/>
          <w:sz w:val="32"/>
          <w:szCs w:val="32"/>
        </w:rPr>
        <w:t>．爱国卫生工作。</w:t>
      </w:r>
      <w:r>
        <w:rPr>
          <w:rFonts w:hint="default" w:ascii="Times New Roman" w:hAnsi="Times New Roman" w:eastAsia="仿宋" w:cs="Times New Roman"/>
          <w:b w:val="0"/>
          <w:bCs w:val="0"/>
          <w:color w:val="auto"/>
          <w:sz w:val="32"/>
          <w:szCs w:val="32"/>
          <w:lang w:val="en-US" w:eastAsia="zh-CN"/>
        </w:rPr>
        <w:t>积极推进卫生创建工作，</w:t>
      </w:r>
      <w:r>
        <w:rPr>
          <w:rFonts w:hint="default" w:ascii="Times New Roman" w:hAnsi="Times New Roman" w:eastAsia="仿宋" w:cs="Times New Roman"/>
          <w:b w:val="0"/>
          <w:bCs w:val="0"/>
          <w:i w:val="0"/>
          <w:iCs w:val="0"/>
          <w:caps w:val="0"/>
          <w:color w:val="auto"/>
          <w:spacing w:val="0"/>
          <w:sz w:val="32"/>
          <w:szCs w:val="32"/>
          <w:lang w:val="en-US" w:eastAsia="zh-CN"/>
        </w:rPr>
        <w:t>1月22日，我县顺利通过创建国家卫生县现场评估；3月11日，寨市乡通过创建国家卫生乡镇现场评估；乐安铺乡已通过创建省卫生乡镇市级初检，正在等待省爱卫会的抽检</w:t>
      </w:r>
      <w:r>
        <w:rPr>
          <w:rFonts w:hint="default" w:ascii="Times New Roman" w:hAnsi="Times New Roman" w:eastAsia="仿宋" w:cs="Times New Roman"/>
          <w:b w:val="0"/>
          <w:bCs w:val="0"/>
          <w:color w:val="auto"/>
          <w:sz w:val="32"/>
          <w:szCs w:val="32"/>
          <w:lang w:val="en-US" w:eastAsia="zh-CN"/>
        </w:rPr>
        <w:t>。1月22日至26日，联合县烟草局、县市监局、县城管局、县卫监执法大队对校园周边100米内烟草零售户</w:t>
      </w:r>
      <w:r>
        <w:rPr>
          <w:rFonts w:hint="eastAsia" w:ascii="Times New Roman" w:hAnsi="Times New Roman" w:eastAsia="仿宋" w:cs="Times New Roman"/>
          <w:b w:val="0"/>
          <w:bCs w:val="0"/>
          <w:color w:val="auto"/>
          <w:sz w:val="32"/>
          <w:szCs w:val="32"/>
          <w:lang w:val="en-US" w:eastAsia="zh-CN"/>
        </w:rPr>
        <w:t>开展</w:t>
      </w:r>
      <w:r>
        <w:rPr>
          <w:rFonts w:hint="default" w:ascii="Times New Roman" w:hAnsi="Times New Roman" w:eastAsia="仿宋" w:cs="Times New Roman"/>
          <w:b w:val="0"/>
          <w:bCs w:val="0"/>
          <w:color w:val="auto"/>
          <w:sz w:val="32"/>
          <w:szCs w:val="32"/>
          <w:lang w:val="en-US" w:eastAsia="zh-CN"/>
        </w:rPr>
        <w:t>清理整治工作。</w:t>
      </w:r>
    </w:p>
    <w:p w14:paraId="77CF5C48">
      <w:pPr>
        <w:widowControl w:val="0"/>
        <w:numPr>
          <w:ilvl w:val="0"/>
          <w:numId w:val="0"/>
        </w:numPr>
        <w:wordWrap/>
        <w:adjustRightInd/>
        <w:snapToGrid/>
        <w:spacing w:before="0" w:beforeAutospacing="0" w:after="0" w:afterAutospacing="0" w:line="560" w:lineRule="exact"/>
        <w:ind w:left="0" w:leftChars="0" w:right="0" w:firstLine="643" w:firstLineChars="200"/>
        <w:textAlignment w:val="auto"/>
        <w:outlineLvl w:val="9"/>
        <w:rPr>
          <w:rFonts w:hint="default" w:ascii="Times New Roman" w:hAnsi="Times New Roman" w:eastAsia="仿宋" w:cs="Times New Roman"/>
          <w:color w:val="auto"/>
          <w:sz w:val="32"/>
          <w:szCs w:val="32"/>
        </w:rPr>
      </w:pPr>
      <w:r>
        <w:rPr>
          <w:rFonts w:hint="eastAsia" w:ascii="Times New Roman" w:hAnsi="Times New Roman" w:eastAsia="楷体" w:cs="Times New Roman"/>
          <w:b/>
          <w:color w:val="auto"/>
          <w:sz w:val="32"/>
          <w:szCs w:val="32"/>
          <w:lang w:val="en-US" w:eastAsia="zh-CN"/>
        </w:rPr>
        <w:t>7</w:t>
      </w:r>
      <w:r>
        <w:rPr>
          <w:rFonts w:hint="default" w:ascii="Times New Roman" w:hAnsi="Times New Roman" w:eastAsia="楷体" w:cs="Times New Roman"/>
          <w:b/>
          <w:color w:val="auto"/>
          <w:sz w:val="32"/>
          <w:szCs w:val="32"/>
        </w:rPr>
        <w:t>．卫生建设项目。</w:t>
      </w:r>
      <w:r>
        <w:rPr>
          <w:rFonts w:hint="default" w:ascii="Times New Roman" w:hAnsi="Times New Roman" w:eastAsia="仿宋" w:cs="Times New Roman"/>
          <w:b w:val="0"/>
          <w:bCs/>
          <w:color w:val="auto"/>
          <w:sz w:val="32"/>
          <w:szCs w:val="32"/>
          <w:lang w:eastAsia="zh-CN"/>
        </w:rPr>
        <w:t>县人民医院</w:t>
      </w:r>
      <w:r>
        <w:rPr>
          <w:rFonts w:hint="eastAsia" w:ascii="Times New Roman" w:hAnsi="Times New Roman" w:eastAsia="仿宋" w:cs="Times New Roman"/>
          <w:b w:val="0"/>
          <w:bCs/>
          <w:color w:val="auto"/>
          <w:sz w:val="32"/>
          <w:szCs w:val="32"/>
          <w:lang w:eastAsia="zh-CN"/>
        </w:rPr>
        <w:t>提标扩能项目一期（</w:t>
      </w:r>
      <w:r>
        <w:rPr>
          <w:rFonts w:hint="default" w:ascii="Times New Roman" w:hAnsi="Times New Roman" w:eastAsia="仿宋" w:cs="Times New Roman"/>
          <w:b w:val="0"/>
          <w:bCs/>
          <w:color w:val="auto"/>
          <w:sz w:val="32"/>
          <w:szCs w:val="32"/>
          <w:lang w:val="en-US" w:eastAsia="zh-CN"/>
        </w:rPr>
        <w:t>感染</w:t>
      </w:r>
      <w:r>
        <w:rPr>
          <w:rFonts w:hint="default" w:ascii="Times New Roman" w:hAnsi="Times New Roman" w:eastAsia="仿宋" w:cs="Times New Roman"/>
          <w:color w:val="auto"/>
          <w:sz w:val="32"/>
          <w:szCs w:val="32"/>
          <w:lang w:val="en-US" w:eastAsia="zh-CN"/>
        </w:rPr>
        <w:t>楼</w:t>
      </w:r>
      <w:r>
        <w:rPr>
          <w:rFonts w:hint="eastAsia" w:ascii="Times New Roman" w:hAnsi="Times New Roman" w:eastAsia="仿宋" w:cs="Times New Roman"/>
          <w:b w:val="0"/>
          <w:bCs/>
          <w:color w:val="auto"/>
          <w:sz w:val="32"/>
          <w:szCs w:val="32"/>
          <w:lang w:eastAsia="zh-CN"/>
        </w:rPr>
        <w:t>）</w:t>
      </w:r>
      <w:r>
        <w:rPr>
          <w:rFonts w:hint="eastAsia" w:ascii="Times New Roman" w:hAnsi="Times New Roman" w:eastAsia="仿宋" w:cs="Times New Roman"/>
          <w:color w:val="auto"/>
          <w:sz w:val="32"/>
          <w:szCs w:val="32"/>
          <w:lang w:val="en-US" w:eastAsia="zh-CN"/>
        </w:rPr>
        <w:t>主体</w:t>
      </w:r>
      <w:r>
        <w:rPr>
          <w:rFonts w:hint="default" w:ascii="Times New Roman" w:hAnsi="Times New Roman" w:eastAsia="仿宋" w:cs="Times New Roman"/>
          <w:color w:val="auto"/>
          <w:sz w:val="32"/>
          <w:szCs w:val="32"/>
          <w:lang w:val="en-US" w:eastAsia="zh-CN"/>
        </w:rPr>
        <w:t>工程</w:t>
      </w:r>
      <w:r>
        <w:rPr>
          <w:rFonts w:hint="eastAsia" w:ascii="Times New Roman" w:hAnsi="Times New Roman" w:eastAsia="仿宋" w:cs="Times New Roman"/>
          <w:color w:val="auto"/>
          <w:sz w:val="32"/>
          <w:szCs w:val="32"/>
          <w:lang w:val="en-US" w:eastAsia="zh-CN"/>
        </w:rPr>
        <w:t>已完成，</w:t>
      </w:r>
      <w:r>
        <w:rPr>
          <w:rFonts w:hint="eastAsia" w:ascii="仿宋" w:hAnsi="仿宋" w:eastAsia="仿宋" w:cs="仿宋"/>
          <w:i w:val="0"/>
          <w:iCs w:val="0"/>
          <w:color w:val="000000"/>
          <w:sz w:val="32"/>
          <w:szCs w:val="32"/>
          <w:u w:val="none"/>
          <w:lang w:val="en-US" w:eastAsia="zh-CN"/>
        </w:rPr>
        <w:t>预计已完成工程量的90%</w:t>
      </w:r>
      <w:r>
        <w:rPr>
          <w:rFonts w:hint="eastAsia" w:ascii="Times New Roman" w:hAnsi="Times New Roman" w:eastAsia="仿宋" w:cs="Times New Roman"/>
          <w:color w:val="auto"/>
          <w:sz w:val="32"/>
          <w:szCs w:val="32"/>
          <w:lang w:val="en-US" w:eastAsia="zh-CN"/>
        </w:rPr>
        <w:t>；</w:t>
      </w:r>
      <w:r>
        <w:rPr>
          <w:rFonts w:hint="eastAsia" w:ascii="Times New Roman" w:hAnsi="Times New Roman" w:eastAsia="仿宋" w:cs="Times New Roman"/>
          <w:b w:val="0"/>
          <w:bCs/>
          <w:color w:val="auto"/>
          <w:sz w:val="32"/>
          <w:szCs w:val="32"/>
          <w:lang w:eastAsia="zh-CN"/>
        </w:rPr>
        <w:t>提标扩能项目二期（</w:t>
      </w:r>
      <w:r>
        <w:rPr>
          <w:rFonts w:hint="default" w:ascii="Times New Roman" w:hAnsi="Times New Roman" w:eastAsia="仿宋" w:cs="Times New Roman"/>
          <w:color w:val="auto"/>
          <w:sz w:val="32"/>
          <w:szCs w:val="32"/>
          <w:lang w:val="en-US" w:eastAsia="zh-CN"/>
        </w:rPr>
        <w:t>内科综合楼</w:t>
      </w:r>
      <w:r>
        <w:rPr>
          <w:rFonts w:hint="eastAsia" w:ascii="Times New Roman" w:hAnsi="Times New Roman" w:eastAsia="仿宋" w:cs="Times New Roman"/>
          <w:b w:val="0"/>
          <w:bCs/>
          <w:color w:val="auto"/>
          <w:sz w:val="32"/>
          <w:szCs w:val="32"/>
          <w:lang w:eastAsia="zh-CN"/>
        </w:rPr>
        <w:t>）</w:t>
      </w:r>
      <w:r>
        <w:rPr>
          <w:rFonts w:hint="default" w:ascii="Times New Roman" w:hAnsi="Times New Roman" w:eastAsia="仿宋" w:cs="Times New Roman"/>
          <w:color w:val="auto"/>
          <w:sz w:val="32"/>
          <w:szCs w:val="32"/>
          <w:lang w:val="en-US" w:eastAsia="zh-CN"/>
        </w:rPr>
        <w:t>工程图审、预算已完成并已送财评，概算审核也已经完成，招标代理公司已经选定。县中医医院整体搬迁项目，</w:t>
      </w:r>
      <w:r>
        <w:rPr>
          <w:rFonts w:hint="default" w:ascii="Times New Roman" w:hAnsi="Times New Roman" w:eastAsia="仿宋" w:cs="Times New Roman"/>
          <w:color w:val="auto"/>
          <w:sz w:val="32"/>
          <w:szCs w:val="32"/>
        </w:rPr>
        <w:t>6栋楼主体均已封顶，</w:t>
      </w:r>
      <w:r>
        <w:rPr>
          <w:rFonts w:hint="default" w:ascii="Times New Roman" w:hAnsi="Times New Roman" w:eastAsia="仿宋" w:cs="Times New Roman"/>
          <w:color w:val="auto"/>
          <w:kern w:val="0"/>
          <w:sz w:val="32"/>
          <w:szCs w:val="32"/>
        </w:rPr>
        <w:t>现</w:t>
      </w:r>
      <w:r>
        <w:rPr>
          <w:rFonts w:hint="default" w:ascii="Times New Roman" w:hAnsi="Times New Roman" w:eastAsia="仿宋" w:cs="Times New Roman"/>
          <w:color w:val="auto"/>
          <w:sz w:val="32"/>
          <w:szCs w:val="32"/>
        </w:rPr>
        <w:t>正在进行室内装饰装修及空调电梯的安装。</w:t>
      </w:r>
    </w:p>
    <w:p w14:paraId="5AD45F6E">
      <w:pPr>
        <w:numPr>
          <w:ilvl w:val="0"/>
          <w:numId w:val="0"/>
        </w:numPr>
        <w:wordWrap/>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28"/>
          <w:shd w:val="clear" w:color="080000" w:fill="FFFFFF"/>
        </w:rPr>
      </w:pPr>
      <w:r>
        <w:rPr>
          <w:rFonts w:hint="eastAsia" w:ascii="Times New Roman" w:hAnsi="Times New Roman" w:eastAsia="楷体" w:cs="Times New Roman"/>
          <w:b/>
          <w:bCs/>
          <w:color w:val="auto"/>
          <w:sz w:val="32"/>
          <w:szCs w:val="32"/>
          <w:lang w:val="en-US" w:eastAsia="zh-CN"/>
        </w:rPr>
        <w:t>8</w:t>
      </w:r>
      <w:r>
        <w:rPr>
          <w:rFonts w:hint="default" w:ascii="Times New Roman" w:hAnsi="Times New Roman" w:eastAsia="楷体" w:cs="Times New Roman"/>
          <w:b/>
          <w:bCs/>
          <w:color w:val="auto"/>
          <w:sz w:val="32"/>
          <w:szCs w:val="32"/>
        </w:rPr>
        <w:t>．</w:t>
      </w:r>
      <w:r>
        <w:rPr>
          <w:rFonts w:hint="default" w:ascii="Times New Roman" w:hAnsi="Times New Roman" w:eastAsia="楷体" w:cs="Times New Roman"/>
          <w:b/>
          <w:color w:val="auto"/>
          <w:sz w:val="32"/>
          <w:szCs w:val="32"/>
        </w:rPr>
        <w:t>民生实事项目。</w:t>
      </w:r>
      <w:r>
        <w:rPr>
          <w:rFonts w:hint="default" w:ascii="Times New Roman" w:hAnsi="Times New Roman" w:eastAsia="仿宋_GB2312" w:cs="Times New Roman"/>
          <w:color w:val="auto"/>
          <w:kern w:val="0"/>
          <w:sz w:val="32"/>
          <w:szCs w:val="32"/>
          <w:lang w:val="en-US" w:eastAsia="zh-CN" w:bidi="ar-SA"/>
        </w:rPr>
        <w:t>截止6月中旬</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两癌</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免费检查累计完成6694人，完成率101.1%（6694/6620）。</w:t>
      </w:r>
      <w:r>
        <w:rPr>
          <w:rFonts w:hint="eastAsia" w:ascii="Times New Roman" w:hAnsi="Times New Roman" w:eastAsia="仿宋_GB2312" w:cs="Times New Roman"/>
          <w:color w:val="auto"/>
          <w:kern w:val="0"/>
          <w:sz w:val="32"/>
          <w:szCs w:val="32"/>
          <w:lang w:val="en-US" w:eastAsia="zh-CN" w:bidi="ar-SA"/>
        </w:rPr>
        <w:t>截至</w:t>
      </w:r>
      <w:r>
        <w:rPr>
          <w:rFonts w:hint="default" w:ascii="Times New Roman" w:hAnsi="Times New Roman" w:eastAsia="仿宋_GB2312" w:cs="Times New Roman"/>
          <w:color w:val="auto"/>
          <w:kern w:val="0"/>
          <w:sz w:val="32"/>
          <w:szCs w:val="32"/>
          <w:lang w:val="en-US" w:eastAsia="zh-CN" w:bidi="ar-SA"/>
        </w:rPr>
        <w:t>12月12日，新生儿免费先心病筛查项目已累计完成</w:t>
      </w:r>
      <w:r>
        <w:rPr>
          <w:rFonts w:hint="eastAsia" w:ascii="Times New Roman" w:hAnsi="Times New Roman" w:eastAsia="仿宋_GB2312" w:cs="Times New Roman"/>
          <w:color w:val="auto"/>
          <w:kern w:val="0"/>
          <w:sz w:val="32"/>
          <w:szCs w:val="32"/>
          <w:lang w:val="en-US" w:eastAsia="zh-CN" w:bidi="ar-SA"/>
        </w:rPr>
        <w:t>1216</w:t>
      </w:r>
      <w:r>
        <w:rPr>
          <w:rFonts w:hint="default" w:ascii="Times New Roman" w:hAnsi="Times New Roman" w:eastAsia="仿宋_GB2312" w:cs="Times New Roman"/>
          <w:color w:val="auto"/>
          <w:kern w:val="0"/>
          <w:sz w:val="32"/>
          <w:szCs w:val="32"/>
          <w:lang w:val="en-US" w:eastAsia="zh-CN" w:bidi="ar-SA"/>
        </w:rPr>
        <w:t>人，完成率1</w:t>
      </w:r>
      <w:r>
        <w:rPr>
          <w:rFonts w:hint="eastAsia" w:ascii="Times New Roman" w:hAnsi="Times New Roman" w:eastAsia="仿宋_GB2312" w:cs="Times New Roman"/>
          <w:color w:val="auto"/>
          <w:kern w:val="0"/>
          <w:sz w:val="32"/>
          <w:szCs w:val="32"/>
          <w:lang w:val="en-US" w:eastAsia="zh-CN" w:bidi="ar-SA"/>
        </w:rPr>
        <w:t>10.55</w:t>
      </w:r>
      <w:r>
        <w:rPr>
          <w:rFonts w:hint="default" w:ascii="Times New Roman" w:hAnsi="Times New Roman" w:eastAsia="仿宋_GB2312" w:cs="Times New Roman"/>
          <w:color w:val="auto"/>
          <w:kern w:val="0"/>
          <w:sz w:val="32"/>
          <w:szCs w:val="32"/>
          <w:lang w:val="en-US" w:eastAsia="zh-CN" w:bidi="ar-SA"/>
        </w:rPr>
        <w:t>%（1</w:t>
      </w:r>
      <w:r>
        <w:rPr>
          <w:rFonts w:hint="eastAsia" w:ascii="Times New Roman" w:hAnsi="Times New Roman" w:eastAsia="仿宋_GB2312" w:cs="Times New Roman"/>
          <w:color w:val="auto"/>
          <w:kern w:val="0"/>
          <w:sz w:val="32"/>
          <w:szCs w:val="32"/>
          <w:lang w:val="en-US" w:eastAsia="zh-CN" w:bidi="ar-SA"/>
        </w:rPr>
        <w:t>216</w:t>
      </w:r>
      <w:r>
        <w:rPr>
          <w:rFonts w:hint="default" w:ascii="Times New Roman" w:hAnsi="Times New Roman" w:eastAsia="仿宋_GB2312" w:cs="Times New Roman"/>
          <w:color w:val="auto"/>
          <w:kern w:val="0"/>
          <w:sz w:val="32"/>
          <w:szCs w:val="32"/>
          <w:lang w:val="en-US" w:eastAsia="zh-CN" w:bidi="ar-SA"/>
        </w:rPr>
        <w:t>/1100）。</w:t>
      </w:r>
      <w:r>
        <w:rPr>
          <w:rFonts w:hint="eastAsia" w:ascii="Times New Roman" w:hAnsi="Times New Roman" w:eastAsia="仿宋_GB2312" w:cs="Times New Roman"/>
          <w:color w:val="auto"/>
          <w:kern w:val="0"/>
          <w:sz w:val="32"/>
          <w:szCs w:val="32"/>
          <w:lang w:val="en-US" w:eastAsia="zh-CN" w:bidi="ar-SA"/>
        </w:rPr>
        <w:t>全年</w:t>
      </w:r>
      <w:r>
        <w:rPr>
          <w:rFonts w:hint="default" w:ascii="Times New Roman" w:hAnsi="Times New Roman" w:eastAsia="仿宋" w:cs="Times New Roman"/>
          <w:color w:val="auto"/>
          <w:sz w:val="32"/>
          <w:szCs w:val="32"/>
          <w:lang w:val="en-US" w:eastAsia="zh-CN"/>
        </w:rPr>
        <w:t>完成</w:t>
      </w:r>
      <w:r>
        <w:rPr>
          <w:rFonts w:hint="default" w:ascii="Times New Roman" w:hAnsi="Times New Roman" w:eastAsia="仿宋" w:cs="Times New Roman"/>
          <w:b w:val="0"/>
          <w:bCs w:val="0"/>
          <w:color w:val="auto"/>
          <w:sz w:val="32"/>
          <w:szCs w:val="32"/>
          <w:lang w:val="en-US" w:eastAsia="zh-CN"/>
        </w:rPr>
        <w:t>省定重点民生实事项目新增普惠性托位</w:t>
      </w:r>
      <w:r>
        <w:rPr>
          <w:rFonts w:hint="default" w:ascii="Times New Roman" w:hAnsi="Times New Roman" w:eastAsia="仿宋" w:cs="Times New Roman"/>
          <w:color w:val="auto"/>
          <w:sz w:val="32"/>
          <w:szCs w:val="32"/>
          <w:lang w:val="en-US" w:eastAsia="zh-CN"/>
        </w:rPr>
        <w:t>180个</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完成全年任务的103.45%</w:t>
      </w:r>
      <w:r>
        <w:rPr>
          <w:rFonts w:hint="eastAsia" w:ascii="Times New Roman" w:hAnsi="Times New Roman" w:eastAsia="仿宋" w:cs="Times New Roman"/>
          <w:color w:val="auto"/>
          <w:sz w:val="32"/>
          <w:szCs w:val="32"/>
          <w:lang w:val="en-US" w:eastAsia="zh-CN"/>
        </w:rPr>
        <w:t>（180/174）；</w:t>
      </w:r>
      <w:r>
        <w:rPr>
          <w:rFonts w:hint="default" w:ascii="Times New Roman" w:hAnsi="Times New Roman" w:eastAsia="仿宋" w:cs="Times New Roman"/>
          <w:color w:val="auto"/>
          <w:sz w:val="32"/>
          <w:szCs w:val="32"/>
          <w:lang w:val="en-US" w:eastAsia="zh-CN"/>
        </w:rPr>
        <w:t>完成市定重点民生实事项目新增托位200个，完成全年任务的166.67%</w:t>
      </w:r>
      <w:r>
        <w:rPr>
          <w:rFonts w:hint="eastAsia" w:ascii="Times New Roman" w:hAnsi="Times New Roman" w:eastAsia="仿宋" w:cs="Times New Roman"/>
          <w:color w:val="auto"/>
          <w:sz w:val="32"/>
          <w:szCs w:val="32"/>
          <w:lang w:val="en-US" w:eastAsia="zh-CN"/>
        </w:rPr>
        <w:t>（200/120）</w:t>
      </w:r>
      <w:r>
        <w:rPr>
          <w:rFonts w:hint="default" w:ascii="Times New Roman" w:hAnsi="Times New Roman" w:eastAsia="仿宋" w:cs="Times New Roman"/>
          <w:color w:val="auto"/>
          <w:sz w:val="32"/>
          <w:szCs w:val="32"/>
          <w:lang w:val="en-US" w:eastAsia="zh-CN"/>
        </w:rPr>
        <w:t>。</w:t>
      </w:r>
    </w:p>
    <w:p w14:paraId="6C4B9C11">
      <w:pPr>
        <w:widowControl w:val="0"/>
        <w:wordWrap/>
        <w:spacing w:before="0" w:beforeAutospacing="0" w:after="0" w:afterAutospacing="0" w:line="560" w:lineRule="exact"/>
        <w:ind w:left="0" w:leftChars="0" w:right="0" w:firstLine="643" w:firstLineChars="200"/>
        <w:textAlignment w:val="auto"/>
        <w:outlineLvl w:val="9"/>
        <w:rPr>
          <w:rFonts w:hint="eastAsia" w:ascii="仿宋" w:hAnsi="仿宋" w:eastAsia="仿宋" w:cs="仿宋"/>
          <w:color w:val="auto"/>
          <w:sz w:val="32"/>
          <w:szCs w:val="32"/>
          <w:lang w:val="en-US" w:eastAsia="zh-CN"/>
        </w:rPr>
      </w:pPr>
      <w:r>
        <w:rPr>
          <w:rFonts w:hint="eastAsia" w:ascii="Times New Roman" w:hAnsi="Times New Roman" w:eastAsia="楷体" w:cs="Times New Roman"/>
          <w:b/>
          <w:color w:val="auto"/>
          <w:sz w:val="32"/>
          <w:lang w:val="en-US" w:eastAsia="zh-CN"/>
        </w:rPr>
        <w:t>9．</w:t>
      </w:r>
      <w:r>
        <w:rPr>
          <w:rFonts w:hint="default" w:ascii="Times New Roman" w:hAnsi="Times New Roman" w:eastAsia="楷体" w:cs="Times New Roman"/>
          <w:b/>
          <w:color w:val="auto"/>
          <w:sz w:val="32"/>
          <w:lang w:val="en-US" w:eastAsia="zh-CN"/>
        </w:rPr>
        <w:t>紧密型县域医共体建设工作。</w:t>
      </w:r>
      <w:r>
        <w:rPr>
          <w:rFonts w:hint="default" w:ascii="Times New Roman" w:hAnsi="Times New Roman" w:eastAsia="仿宋_GB2312" w:cs="Times New Roman"/>
          <w:b w:val="0"/>
          <w:bCs w:val="0"/>
          <w:i w:val="0"/>
          <w:iCs w:val="0"/>
          <w:caps w:val="0"/>
          <w:color w:val="auto"/>
          <w:spacing w:val="0"/>
          <w:sz w:val="32"/>
          <w:szCs w:val="32"/>
          <w:shd w:val="clear" w:color="080000" w:fill="FFFFFF"/>
          <w:lang w:val="en-US" w:eastAsia="zh-CN"/>
        </w:rPr>
        <w:t>县委县政府主要领导高度重视县域紧密型医共体建设</w:t>
      </w:r>
      <w:r>
        <w:rPr>
          <w:rFonts w:hint="eastAsia" w:ascii="Times New Roman" w:hAnsi="Times New Roman" w:eastAsia="仿宋_GB2312" w:cs="Times New Roman"/>
          <w:b w:val="0"/>
          <w:bCs w:val="0"/>
          <w:i w:val="0"/>
          <w:iCs w:val="0"/>
          <w:caps w:val="0"/>
          <w:color w:val="auto"/>
          <w:spacing w:val="0"/>
          <w:sz w:val="32"/>
          <w:szCs w:val="32"/>
          <w:shd w:val="clear" w:color="080000" w:fill="FFFFFF"/>
          <w:lang w:val="en-US" w:eastAsia="zh-CN"/>
        </w:rPr>
        <w:t>工作</w:t>
      </w:r>
      <w:r>
        <w:rPr>
          <w:rFonts w:hint="default" w:ascii="Times New Roman" w:hAnsi="Times New Roman" w:eastAsia="仿宋_GB2312" w:cs="Times New Roman"/>
          <w:b w:val="0"/>
          <w:bCs w:val="0"/>
          <w:i w:val="0"/>
          <w:iCs w:val="0"/>
          <w:caps w:val="0"/>
          <w:color w:val="auto"/>
          <w:spacing w:val="0"/>
          <w:sz w:val="32"/>
          <w:szCs w:val="32"/>
          <w:shd w:val="clear" w:color="080000" w:fill="FFFFFF"/>
          <w:lang w:val="en-US" w:eastAsia="zh-CN"/>
        </w:rPr>
        <w:t>，</w:t>
      </w:r>
      <w:r>
        <w:rPr>
          <w:rFonts w:hint="default" w:ascii="Times New Roman" w:hAnsi="Times New Roman" w:eastAsia="仿宋" w:cs="Times New Roman"/>
          <w:color w:val="auto"/>
          <w:sz w:val="32"/>
          <w:szCs w:val="32"/>
          <w:lang w:val="en-US" w:eastAsia="zh-CN"/>
        </w:rPr>
        <w:t>县委常委会召开两次会议谋划、筹建县域紧密型医共体</w:t>
      </w:r>
      <w:r>
        <w:rPr>
          <w:rFonts w:hint="eastAsia" w:ascii="Times New Roman" w:hAnsi="Times New Roman" w:eastAsia="仿宋" w:cs="Times New Roman"/>
          <w:color w:val="auto"/>
          <w:sz w:val="32"/>
          <w:szCs w:val="32"/>
          <w:lang w:val="en-US" w:eastAsia="zh-CN"/>
        </w:rPr>
        <w:t>建设</w:t>
      </w:r>
      <w:r>
        <w:rPr>
          <w:rFonts w:hint="default" w:ascii="Times New Roman" w:hAnsi="Times New Roman" w:eastAsia="仿宋_GB2312" w:cs="Times New Roman"/>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县领导</w:t>
      </w:r>
      <w:r>
        <w:rPr>
          <w:rFonts w:hint="eastAsia" w:ascii="Times New Roman" w:hAnsi="Times New Roman" w:eastAsia="仿宋" w:cs="Times New Roman"/>
          <w:color w:val="auto"/>
          <w:sz w:val="32"/>
          <w:szCs w:val="32"/>
          <w:lang w:val="en-US" w:eastAsia="zh-CN"/>
        </w:rPr>
        <w:t>带队</w:t>
      </w:r>
      <w:r>
        <w:rPr>
          <w:rFonts w:hint="default" w:ascii="Times New Roman" w:hAnsi="Times New Roman" w:eastAsia="仿宋" w:cs="Times New Roman"/>
          <w:color w:val="auto"/>
          <w:sz w:val="32"/>
          <w:szCs w:val="32"/>
          <w:lang w:val="en-US" w:eastAsia="zh-CN"/>
        </w:rPr>
        <w:t>赴外县考察学习</w:t>
      </w:r>
      <w:r>
        <w:rPr>
          <w:rFonts w:hint="eastAsia" w:ascii="Times New Roman" w:hAnsi="Times New Roman" w:eastAsia="仿宋" w:cs="Times New Roman"/>
          <w:color w:val="auto"/>
          <w:sz w:val="32"/>
          <w:szCs w:val="32"/>
          <w:lang w:val="en-US" w:eastAsia="zh-CN"/>
        </w:rPr>
        <w:t>两次</w:t>
      </w:r>
      <w:r>
        <w:rPr>
          <w:rFonts w:hint="default" w:ascii="Times New Roman" w:hAnsi="Times New Roman" w:eastAsia="仿宋" w:cs="Times New Roman"/>
          <w:color w:val="auto"/>
          <w:sz w:val="32"/>
          <w:szCs w:val="32"/>
          <w:lang w:val="en-US" w:eastAsia="zh-CN"/>
        </w:rPr>
        <w:t>。县委县政府已出台《关于成立绥宁县医共体建设领导小组的通知》《关于成立关于成立绥宁县总医院筹备工作委员会的通知》</w:t>
      </w:r>
      <w:r>
        <w:rPr>
          <w:rFonts w:hint="eastAsia" w:ascii="Times New Roman" w:hAnsi="Times New Roman" w:eastAsia="仿宋" w:cs="Times New Roman"/>
          <w:color w:val="auto"/>
          <w:sz w:val="32"/>
          <w:szCs w:val="32"/>
          <w:lang w:val="en-US" w:eastAsia="zh-CN"/>
        </w:rPr>
        <w:t>等</w:t>
      </w:r>
      <w:r>
        <w:rPr>
          <w:rFonts w:hint="default" w:ascii="Times New Roman" w:hAnsi="Times New Roman" w:eastAsia="仿宋" w:cs="Times New Roman"/>
          <w:color w:val="auto"/>
          <w:sz w:val="32"/>
          <w:szCs w:val="32"/>
          <w:lang w:val="en-US" w:eastAsia="zh-CN"/>
        </w:rPr>
        <w:t>文件。10月17日，市人民政府副市长晏丽君带队调研我县公立医院高质量发展情况</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市卫健委党组成员、副主任范志锋</w:t>
      </w:r>
      <w:r>
        <w:rPr>
          <w:rFonts w:hint="eastAsia" w:ascii="Times New Roman" w:hAnsi="Times New Roman" w:eastAsia="仿宋" w:cs="Times New Roman"/>
          <w:color w:val="auto"/>
          <w:sz w:val="32"/>
          <w:szCs w:val="32"/>
          <w:lang w:val="en-US" w:eastAsia="zh-CN"/>
        </w:rPr>
        <w:t>带队调研我县</w:t>
      </w:r>
      <w:r>
        <w:rPr>
          <w:rFonts w:hint="default" w:ascii="Times New Roman" w:hAnsi="Times New Roman" w:eastAsia="仿宋" w:cs="Times New Roman"/>
          <w:color w:val="auto"/>
          <w:sz w:val="32"/>
          <w:szCs w:val="32"/>
          <w:lang w:val="en-US" w:eastAsia="zh-CN"/>
        </w:rPr>
        <w:t>紧密型县域医共体建设</w:t>
      </w:r>
      <w:r>
        <w:rPr>
          <w:rFonts w:hint="eastAsia" w:ascii="Times New Roman" w:hAnsi="Times New Roman" w:eastAsia="仿宋" w:cs="Times New Roman"/>
          <w:color w:val="auto"/>
          <w:sz w:val="32"/>
          <w:szCs w:val="32"/>
          <w:lang w:val="en-US" w:eastAsia="zh-CN"/>
        </w:rPr>
        <w:t>和公立医院发展情况两次；</w:t>
      </w:r>
      <w:r>
        <w:rPr>
          <w:rFonts w:hint="default" w:ascii="Times New Roman" w:hAnsi="Times New Roman" w:eastAsia="仿宋" w:cs="Times New Roman"/>
          <w:color w:val="auto"/>
          <w:sz w:val="32"/>
          <w:szCs w:val="32"/>
          <w:lang w:val="en-US" w:eastAsia="zh-CN"/>
        </w:rPr>
        <w:t>9月，陈竞帆副县长</w:t>
      </w:r>
      <w:r>
        <w:rPr>
          <w:rFonts w:hint="eastAsia" w:ascii="Times New Roman" w:hAnsi="Times New Roman" w:eastAsia="仿宋" w:cs="Times New Roman"/>
          <w:color w:val="auto"/>
          <w:sz w:val="32"/>
          <w:szCs w:val="32"/>
          <w:lang w:val="en-US" w:eastAsia="zh-CN"/>
        </w:rPr>
        <w:t>、尹放平部长先后</w:t>
      </w:r>
      <w:r>
        <w:rPr>
          <w:rFonts w:hint="default" w:ascii="Times New Roman" w:hAnsi="Times New Roman" w:eastAsia="仿宋" w:cs="Times New Roman"/>
          <w:color w:val="auto"/>
          <w:sz w:val="32"/>
          <w:szCs w:val="32"/>
          <w:lang w:val="en-US" w:eastAsia="zh-CN"/>
        </w:rPr>
        <w:t>带队调研我县公立医院</w:t>
      </w:r>
      <w:r>
        <w:rPr>
          <w:rFonts w:hint="eastAsia" w:ascii="Times New Roman" w:hAnsi="Times New Roman" w:eastAsia="仿宋" w:cs="Times New Roman"/>
          <w:color w:val="auto"/>
          <w:sz w:val="32"/>
          <w:szCs w:val="32"/>
          <w:lang w:val="en-US" w:eastAsia="zh-CN"/>
        </w:rPr>
        <w:t>和县域</w:t>
      </w:r>
      <w:r>
        <w:rPr>
          <w:rFonts w:hint="default" w:ascii="Times New Roman" w:hAnsi="Times New Roman" w:eastAsia="仿宋" w:cs="Times New Roman"/>
          <w:color w:val="auto"/>
          <w:sz w:val="32"/>
          <w:szCs w:val="32"/>
          <w:lang w:val="en-US" w:eastAsia="zh-CN"/>
        </w:rPr>
        <w:t>紧密型医共体建设情况。卫生健康局成立绥宁县医共体建设推进工作领导小组，抽调相关专业人员组成总医院筹备委员会办公室工作专班</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10月21日，尹放平</w:t>
      </w:r>
      <w:r>
        <w:rPr>
          <w:rFonts w:hint="eastAsia" w:ascii="Times New Roman" w:hAnsi="Times New Roman" w:eastAsia="仿宋" w:cs="Times New Roman"/>
          <w:color w:val="auto"/>
          <w:sz w:val="32"/>
          <w:szCs w:val="32"/>
          <w:lang w:val="en-US" w:eastAsia="zh-CN"/>
        </w:rPr>
        <w:t>部长</w:t>
      </w:r>
      <w:r>
        <w:rPr>
          <w:rFonts w:hint="default" w:ascii="Times New Roman" w:hAnsi="Times New Roman" w:eastAsia="仿宋" w:cs="Times New Roman"/>
          <w:color w:val="auto"/>
          <w:sz w:val="32"/>
          <w:szCs w:val="32"/>
          <w:lang w:val="en-US" w:eastAsia="zh-CN"/>
        </w:rPr>
        <w:t>组织召开绥宁县医共体建设方案征求意见座谈会</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会议进一步完善</w:t>
      </w:r>
      <w:r>
        <w:rPr>
          <w:rFonts w:hint="eastAsia" w:ascii="Times New Roman" w:hAnsi="Times New Roman" w:eastAsia="仿宋" w:cs="Times New Roman"/>
          <w:color w:val="auto"/>
          <w:sz w:val="32"/>
          <w:szCs w:val="32"/>
          <w:lang w:val="en-US" w:eastAsia="zh-CN"/>
        </w:rPr>
        <w:t>实施</w:t>
      </w:r>
      <w:r>
        <w:rPr>
          <w:rFonts w:hint="default" w:ascii="Times New Roman" w:hAnsi="Times New Roman" w:eastAsia="仿宋" w:cs="Times New Roman"/>
          <w:color w:val="auto"/>
          <w:sz w:val="32"/>
          <w:szCs w:val="32"/>
          <w:lang w:val="en-US" w:eastAsia="zh-CN"/>
        </w:rPr>
        <w:t>方案，加快医共体建设进程。</w:t>
      </w:r>
      <w:r>
        <w:rPr>
          <w:rFonts w:hint="default" w:ascii="Times New Roman" w:hAnsi="Times New Roman" w:eastAsia="仿宋" w:cs="Times New Roman"/>
          <w:color w:val="auto"/>
          <w:sz w:val="32"/>
          <w:szCs w:val="32"/>
        </w:rPr>
        <w:t>9月份，</w:t>
      </w:r>
      <w:r>
        <w:rPr>
          <w:rFonts w:hint="eastAsia" w:ascii="Times New Roman" w:hAnsi="Times New Roman" w:eastAsia="仿宋" w:cs="Times New Roman"/>
          <w:color w:val="auto"/>
          <w:sz w:val="32"/>
          <w:szCs w:val="32"/>
          <w:lang w:eastAsia="zh-CN"/>
        </w:rPr>
        <w:t>县中医医院</w:t>
      </w:r>
      <w:r>
        <w:rPr>
          <w:rFonts w:hint="default" w:ascii="Times New Roman" w:hAnsi="Times New Roman" w:eastAsia="仿宋" w:cs="Times New Roman"/>
          <w:color w:val="auto"/>
          <w:sz w:val="32"/>
          <w:szCs w:val="32"/>
        </w:rPr>
        <w:t>与鹅公乡卫生院签订对口帮扶协议，</w:t>
      </w:r>
      <w:r>
        <w:rPr>
          <w:rFonts w:hint="eastAsia" w:ascii="Times New Roman" w:hAnsi="Times New Roman" w:eastAsia="仿宋" w:cs="Times New Roman"/>
          <w:color w:val="auto"/>
          <w:sz w:val="32"/>
          <w:szCs w:val="32"/>
          <w:lang w:eastAsia="zh-CN"/>
        </w:rPr>
        <w:t>定期派驻专家开展诊疗服务。</w:t>
      </w:r>
      <w:r>
        <w:rPr>
          <w:rFonts w:hint="default" w:ascii="Times New Roman" w:hAnsi="Times New Roman" w:eastAsia="仿宋" w:cs="Times New Roman"/>
          <w:color w:val="auto"/>
          <w:sz w:val="32"/>
          <w:szCs w:val="32"/>
          <w:lang w:val="en-US" w:eastAsia="zh-CN"/>
        </w:rPr>
        <w:t>10月26日，省、市、县、乡四级医疗机构医疗专家组成医疗团队，深入</w:t>
      </w:r>
      <w:r>
        <w:rPr>
          <w:rFonts w:hint="eastAsia" w:ascii="Times New Roman" w:hAnsi="Times New Roman" w:eastAsia="仿宋" w:cs="Times New Roman"/>
          <w:color w:val="auto"/>
          <w:sz w:val="32"/>
          <w:szCs w:val="32"/>
          <w:lang w:val="en-US" w:eastAsia="zh-CN"/>
        </w:rPr>
        <w:t>全</w:t>
      </w:r>
      <w:r>
        <w:rPr>
          <w:rFonts w:hint="default" w:ascii="Times New Roman" w:hAnsi="Times New Roman" w:eastAsia="仿宋" w:cs="Times New Roman"/>
          <w:color w:val="auto"/>
          <w:sz w:val="32"/>
          <w:szCs w:val="32"/>
          <w:lang w:val="en-US" w:eastAsia="zh-CN"/>
        </w:rPr>
        <w:t>县17个活动点</w:t>
      </w:r>
      <w:r>
        <w:rPr>
          <w:rFonts w:hint="eastAsia" w:ascii="Times New Roman" w:hAnsi="Times New Roman" w:eastAsia="仿宋" w:cs="Times New Roman"/>
          <w:color w:val="auto"/>
          <w:sz w:val="32"/>
          <w:szCs w:val="32"/>
          <w:lang w:val="en-US" w:eastAsia="zh-CN"/>
        </w:rPr>
        <w:t>开展巡回医疗；11月，</w:t>
      </w:r>
      <w:r>
        <w:rPr>
          <w:rFonts w:hint="eastAsia" w:ascii="仿宋" w:hAnsi="仿宋" w:eastAsia="仿宋" w:cs="仿宋"/>
          <w:b w:val="0"/>
          <w:bCs w:val="0"/>
          <w:color w:val="auto"/>
          <w:sz w:val="32"/>
          <w:szCs w:val="32"/>
          <w:lang w:val="en-US" w:eastAsia="zh-CN"/>
        </w:rPr>
        <w:t>县人民医院县中医医院开展县级巡回医疗活动。</w:t>
      </w:r>
    </w:p>
    <w:p w14:paraId="0CDEB214">
      <w:pPr>
        <w:widowControl w:val="0"/>
        <w:numPr>
          <w:ilvl w:val="0"/>
          <w:numId w:val="0"/>
        </w:numPr>
        <w:wordWrap/>
        <w:adjustRightInd/>
        <w:spacing w:before="0" w:beforeAutospacing="0" w:after="0" w:afterAutospacing="0" w:line="560" w:lineRule="exact"/>
        <w:ind w:left="0" w:leftChars="0" w:right="0" w:firstLine="643" w:firstLineChars="200"/>
        <w:jc w:val="left"/>
        <w:textAlignment w:val="auto"/>
        <w:outlineLvl w:val="9"/>
        <w:rPr>
          <w:rFonts w:hint="eastAsia" w:ascii="仿宋" w:hAnsi="仿宋" w:eastAsia="仿宋" w:cs="仿宋"/>
          <w:color w:val="auto"/>
          <w:sz w:val="32"/>
          <w:szCs w:val="32"/>
          <w:lang w:val="en-US" w:eastAsia="zh-CN"/>
        </w:rPr>
      </w:pPr>
      <w:r>
        <w:rPr>
          <w:rFonts w:hint="default" w:ascii="Times New Roman" w:hAnsi="Times New Roman" w:eastAsia="楷体" w:cs="Times New Roman"/>
          <w:b/>
          <w:bCs/>
          <w:color w:val="auto"/>
          <w:sz w:val="32"/>
          <w:szCs w:val="32"/>
          <w:lang w:val="en-US" w:eastAsia="zh-CN"/>
        </w:rPr>
        <w:t>1</w:t>
      </w:r>
      <w:r>
        <w:rPr>
          <w:rFonts w:hint="eastAsia" w:ascii="Times New Roman" w:hAnsi="Times New Roman" w:eastAsia="楷体" w:cs="Times New Roman"/>
          <w:b/>
          <w:bCs/>
          <w:color w:val="auto"/>
          <w:sz w:val="32"/>
          <w:szCs w:val="32"/>
          <w:lang w:val="en-US" w:eastAsia="zh-CN"/>
        </w:rPr>
        <w:t>0</w:t>
      </w:r>
      <w:r>
        <w:rPr>
          <w:rFonts w:hint="default" w:ascii="Times New Roman" w:hAnsi="Times New Roman" w:eastAsia="楷体" w:cs="Times New Roman"/>
          <w:b/>
          <w:bCs/>
          <w:color w:val="auto"/>
          <w:sz w:val="32"/>
          <w:szCs w:val="32"/>
          <w:lang w:val="en-US" w:eastAsia="zh-CN"/>
        </w:rPr>
        <w:t>．医政医管工作。</w:t>
      </w:r>
      <w:r>
        <w:rPr>
          <w:rFonts w:hint="eastAsia" w:ascii="Times New Roman" w:hAnsi="Times New Roman" w:eastAsia="仿宋" w:cs="Times New Roman"/>
          <w:color w:val="auto"/>
          <w:sz w:val="32"/>
          <w:szCs w:val="32"/>
          <w:lang w:val="en-US" w:eastAsia="zh-CN"/>
        </w:rPr>
        <w:t>全年</w:t>
      </w:r>
      <w:r>
        <w:rPr>
          <w:rFonts w:hint="default" w:ascii="Times New Roman" w:hAnsi="Times New Roman" w:eastAsia="仿宋" w:cs="Times New Roman"/>
          <w:color w:val="auto"/>
          <w:sz w:val="32"/>
          <w:szCs w:val="32"/>
          <w:lang w:val="en-US" w:eastAsia="zh-CN"/>
        </w:rPr>
        <w:t>参与处理各类医疗纠纷7</w:t>
      </w:r>
      <w:r>
        <w:rPr>
          <w:rFonts w:hint="eastAsia" w:ascii="Times New Roman" w:hAnsi="Times New Roman" w:eastAsia="仿宋" w:cs="Times New Roman"/>
          <w:color w:val="auto"/>
          <w:sz w:val="32"/>
          <w:szCs w:val="32"/>
          <w:lang w:val="en-US" w:eastAsia="zh-CN"/>
        </w:rPr>
        <w:t>起</w:t>
      </w:r>
      <w:r>
        <w:rPr>
          <w:rFonts w:hint="default" w:ascii="Times New Roman" w:hAnsi="Times New Roman" w:eastAsia="仿宋" w:cs="Times New Roman"/>
          <w:color w:val="auto"/>
          <w:sz w:val="32"/>
          <w:szCs w:val="32"/>
          <w:lang w:val="en-US" w:eastAsia="zh-CN"/>
        </w:rPr>
        <w:t>。</w:t>
      </w:r>
      <w:r>
        <w:rPr>
          <w:rFonts w:hint="eastAsia" w:ascii="仿宋" w:hAnsi="仿宋" w:eastAsia="仿宋" w:cs="仿宋"/>
          <w:b w:val="0"/>
          <w:bCs w:val="0"/>
          <w:color w:val="auto"/>
          <w:sz w:val="32"/>
          <w:szCs w:val="32"/>
          <w:lang w:eastAsia="zh-CN"/>
        </w:rPr>
        <w:t>做好</w:t>
      </w:r>
      <w:r>
        <w:rPr>
          <w:rFonts w:hint="eastAsia" w:ascii="仿宋" w:hAnsi="仿宋" w:eastAsia="仿宋" w:cs="仿宋"/>
          <w:b w:val="0"/>
          <w:bCs w:val="0"/>
          <w:color w:val="auto"/>
          <w:sz w:val="32"/>
          <w:szCs w:val="32"/>
          <w:lang w:val="en-US" w:eastAsia="zh-CN"/>
        </w:rPr>
        <w:t>严重精神障碍患者健康管理工作，</w:t>
      </w:r>
      <w:r>
        <w:rPr>
          <w:rFonts w:hint="eastAsia" w:ascii="仿宋" w:hAnsi="仿宋" w:eastAsia="仿宋" w:cs="仿宋"/>
          <w:color w:val="auto"/>
          <w:sz w:val="32"/>
          <w:szCs w:val="32"/>
          <w:lang w:val="en-US" w:eastAsia="zh-CN"/>
        </w:rPr>
        <w:t>截至11月底，全县报告患病率5.9‰，规范管理率97.6%，规律服药率93.05%，面访率97.9%，体检率97%，各项任务指标基本达到上级规定标准。</w:t>
      </w:r>
    </w:p>
    <w:p w14:paraId="2F5DF75C">
      <w:pPr>
        <w:widowControl w:val="0"/>
        <w:wordWrap/>
        <w:adjustRightInd/>
        <w:snapToGrid/>
        <w:spacing w:before="0" w:beforeAutospacing="0" w:after="0" w:afterAutospacing="0" w:line="560" w:lineRule="exact"/>
        <w:ind w:left="0" w:leftChars="0" w:right="0" w:firstLine="482" w:firstLineChars="15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1</w:t>
      </w:r>
      <w:r>
        <w:rPr>
          <w:rFonts w:hint="eastAsia" w:ascii="Times New Roman" w:hAnsi="Times New Roman" w:eastAsia="楷体" w:cs="Times New Roman"/>
          <w:b/>
          <w:bCs/>
          <w:color w:val="auto"/>
          <w:sz w:val="32"/>
          <w:szCs w:val="32"/>
          <w:lang w:val="en-US" w:eastAsia="zh-CN"/>
        </w:rPr>
        <w:t>1．</w:t>
      </w:r>
      <w:r>
        <w:rPr>
          <w:rFonts w:hint="default" w:ascii="Times New Roman" w:hAnsi="Times New Roman" w:eastAsia="楷体" w:cs="Times New Roman"/>
          <w:b/>
          <w:bCs/>
          <w:color w:val="auto"/>
          <w:sz w:val="32"/>
          <w:szCs w:val="32"/>
          <w:lang w:val="en-US" w:eastAsia="zh-CN"/>
        </w:rPr>
        <w:t>医疗卫生专业人才培养工作。</w:t>
      </w:r>
      <w:r>
        <w:rPr>
          <w:rFonts w:hint="default" w:ascii="Times New Roman" w:hAnsi="Times New Roman" w:eastAsia="仿宋_GB2312" w:cs="Times New Roman"/>
          <w:color w:val="auto"/>
          <w:sz w:val="32"/>
          <w:szCs w:val="32"/>
          <w:lang w:val="en-US" w:eastAsia="zh-CN"/>
        </w:rPr>
        <w:t>县人民医院引进眼、耳鼻咽喉头颈外科专家张光武副主任医师，神经介入专家刘志华副主任医师，10人晋升高级职称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完成20名专业技术人员的公开招聘</w:t>
      </w:r>
      <w:r>
        <w:rPr>
          <w:rFonts w:hint="eastAsia" w:ascii="Times New Roman" w:hAnsi="Times New Roman" w:eastAsia="仿宋" w:cs="Times New Roman"/>
          <w:color w:val="auto"/>
          <w:sz w:val="32"/>
          <w:szCs w:val="32"/>
          <w:lang w:val="en-US" w:eastAsia="zh-CN"/>
        </w:rPr>
        <w:t>和</w:t>
      </w:r>
      <w:r>
        <w:rPr>
          <w:rFonts w:hint="default" w:ascii="Times New Roman" w:hAnsi="Times New Roman" w:eastAsia="仿宋" w:cs="Times New Roman"/>
          <w:color w:val="auto"/>
          <w:sz w:val="32"/>
          <w:szCs w:val="32"/>
          <w:lang w:val="en-US" w:eastAsia="zh-CN"/>
        </w:rPr>
        <w:t>202</w:t>
      </w:r>
      <w:r>
        <w:rPr>
          <w:rFonts w:hint="eastAsia"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年入职的41名专业技术人员的期满转正考核工作。</w:t>
      </w:r>
      <w:r>
        <w:rPr>
          <w:rFonts w:hint="default" w:ascii="Times New Roman" w:hAnsi="Times New Roman" w:eastAsia="仿宋_GB2312" w:cs="Times New Roman"/>
          <w:color w:val="auto"/>
          <w:kern w:val="0"/>
          <w:sz w:val="32"/>
          <w:szCs w:val="32"/>
          <w:lang w:val="en-US" w:eastAsia="zh-CN" w:bidi="ar-SA"/>
        </w:rPr>
        <w:t>完成2024年乡村医生大专本土化培养招录工作，共有5人报名。</w:t>
      </w:r>
      <w:r>
        <w:rPr>
          <w:rFonts w:hint="default" w:ascii="Times New Roman" w:hAnsi="Times New Roman" w:eastAsia="仿宋" w:cs="Times New Roman"/>
          <w:b w:val="0"/>
          <w:bCs w:val="0"/>
          <w:color w:val="auto"/>
          <w:sz w:val="32"/>
          <w:szCs w:val="32"/>
          <w:lang w:val="en-US" w:eastAsia="zh-CN"/>
        </w:rPr>
        <w:t>遴选乡镇卫生院骨干全科医生1人、骨干人员6人、乡村医生50人参加国培。</w:t>
      </w:r>
    </w:p>
    <w:p w14:paraId="6E6F0ADE">
      <w:pPr>
        <w:widowControl w:val="0"/>
        <w:wordWrap/>
        <w:adjustRightInd/>
        <w:snapToGrid/>
        <w:spacing w:before="0" w:beforeAutospacing="0" w:after="0" w:afterAutospacing="0" w:line="560" w:lineRule="exact"/>
        <w:ind w:left="0" w:leftChars="0" w:right="0" w:firstLine="643" w:firstLineChars="200"/>
        <w:jc w:val="both"/>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1</w:t>
      </w:r>
      <w:r>
        <w:rPr>
          <w:rFonts w:hint="eastAsia" w:ascii="Times New Roman" w:hAnsi="Times New Roman" w:eastAsia="楷体" w:cs="Times New Roman"/>
          <w:b/>
          <w:bCs/>
          <w:color w:val="auto"/>
          <w:sz w:val="32"/>
          <w:szCs w:val="32"/>
          <w:lang w:val="en-US" w:eastAsia="zh-CN"/>
        </w:rPr>
        <w:t>2．</w:t>
      </w:r>
      <w:r>
        <w:rPr>
          <w:rFonts w:hint="default" w:ascii="Times New Roman" w:hAnsi="Times New Roman" w:eastAsia="楷体" w:cs="Times New Roman"/>
          <w:b/>
          <w:bCs/>
          <w:color w:val="auto"/>
          <w:sz w:val="32"/>
          <w:szCs w:val="32"/>
          <w:lang w:val="en-US" w:eastAsia="zh-CN"/>
        </w:rPr>
        <w:t>党建工作。</w:t>
      </w:r>
      <w:r>
        <w:rPr>
          <w:rFonts w:hint="default" w:ascii="Times New Roman" w:hAnsi="Times New Roman" w:eastAsia="仿宋" w:cs="Times New Roman"/>
          <w:color w:val="auto"/>
          <w:sz w:val="32"/>
          <w:szCs w:val="32"/>
        </w:rPr>
        <w:t>严格落实</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第一议题</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制度。</w:t>
      </w:r>
      <w:r>
        <w:rPr>
          <w:rFonts w:hint="default" w:ascii="Times New Roman" w:hAnsi="Times New Roman" w:eastAsia="仿宋" w:cs="Times New Roman"/>
          <w:color w:val="auto"/>
          <w:sz w:val="32"/>
          <w:szCs w:val="32"/>
          <w:lang w:eastAsia="zh-CN"/>
        </w:rPr>
        <w:t>组织</w:t>
      </w:r>
      <w:r>
        <w:rPr>
          <w:rFonts w:hint="default" w:ascii="Times New Roman" w:hAnsi="Times New Roman" w:eastAsia="仿宋" w:cs="Times New Roman"/>
          <w:color w:val="auto"/>
          <w:sz w:val="32"/>
          <w:szCs w:val="32"/>
        </w:rPr>
        <w:t>理论学习中心组</w:t>
      </w:r>
      <w:r>
        <w:rPr>
          <w:rFonts w:hint="default" w:ascii="Times New Roman" w:hAnsi="Times New Roman" w:eastAsia="仿宋" w:cs="Times New Roman"/>
          <w:color w:val="auto"/>
          <w:sz w:val="32"/>
          <w:szCs w:val="32"/>
          <w:lang w:eastAsia="zh-CN"/>
        </w:rPr>
        <w:t>集体</w:t>
      </w:r>
      <w:r>
        <w:rPr>
          <w:rFonts w:hint="default" w:ascii="Times New Roman" w:hAnsi="Times New Roman" w:eastAsia="仿宋" w:cs="Times New Roman"/>
          <w:color w:val="auto"/>
          <w:sz w:val="32"/>
          <w:szCs w:val="32"/>
        </w:rPr>
        <w:t>学习</w:t>
      </w:r>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次</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严格落实</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三会一课</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制度</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19个基层党组织已</w:t>
      </w:r>
      <w:r>
        <w:rPr>
          <w:rFonts w:hint="default" w:ascii="Times New Roman" w:hAnsi="Times New Roman" w:eastAsia="仿宋" w:cs="Times New Roman"/>
          <w:color w:val="auto"/>
          <w:sz w:val="32"/>
          <w:szCs w:val="32"/>
          <w:lang w:eastAsia="zh-CN"/>
        </w:rPr>
        <w:t>开展</w:t>
      </w:r>
      <w:r>
        <w:rPr>
          <w:rFonts w:hint="default" w:ascii="Times New Roman" w:hAnsi="Times New Roman" w:eastAsia="仿宋" w:cs="Times New Roman"/>
          <w:color w:val="auto"/>
          <w:sz w:val="32"/>
          <w:szCs w:val="32"/>
        </w:rPr>
        <w:t>主题党日</w:t>
      </w:r>
      <w:r>
        <w:rPr>
          <w:rFonts w:hint="default" w:ascii="Times New Roman" w:hAnsi="Times New Roman" w:eastAsia="仿宋" w:cs="Times New Roman"/>
          <w:color w:val="auto"/>
          <w:sz w:val="32"/>
          <w:szCs w:val="32"/>
          <w:lang w:eastAsia="zh-CN"/>
        </w:rPr>
        <w:t>活动</w:t>
      </w:r>
      <w:r>
        <w:rPr>
          <w:rFonts w:hint="default" w:ascii="Times New Roman" w:hAnsi="Times New Roman" w:eastAsia="仿宋" w:cs="Times New Roman"/>
          <w:color w:val="auto"/>
          <w:sz w:val="32"/>
          <w:szCs w:val="32"/>
          <w:lang w:val="en-US" w:eastAsia="zh-CN"/>
        </w:rPr>
        <w:t>191</w:t>
      </w:r>
      <w:r>
        <w:rPr>
          <w:rFonts w:hint="default" w:ascii="Times New Roman" w:hAnsi="Times New Roman" w:eastAsia="仿宋" w:cs="Times New Roman"/>
          <w:color w:val="auto"/>
          <w:sz w:val="32"/>
          <w:szCs w:val="32"/>
        </w:rPr>
        <w:t>次。专题研究全面从严治党工作</w:t>
      </w: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次</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共查处违法违纪人员18人，给予党纪政纪处分18人，其中</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受开除党籍、政务撤职处分1人</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受降低岗位等级处分</w:t>
      </w:r>
      <w:r>
        <w:rPr>
          <w:rFonts w:hint="default" w:ascii="Times New Roman" w:hAnsi="Times New Roman" w:eastAsia="仿宋" w:cs="Times New Roman"/>
          <w:color w:val="auto"/>
          <w:sz w:val="32"/>
          <w:lang w:val="en-US" w:eastAsia="zh-CN"/>
        </w:rPr>
        <w:t>1人</w:t>
      </w:r>
      <w:r>
        <w:rPr>
          <w:rFonts w:hint="eastAsia" w:ascii="Times New Roman" w:hAnsi="Times New Roman" w:eastAsia="仿宋" w:cs="Times New Roman"/>
          <w:color w:val="auto"/>
          <w:sz w:val="32"/>
          <w:lang w:val="en-US" w:eastAsia="zh-CN"/>
        </w:rPr>
        <w:t>；</w:t>
      </w:r>
      <w:r>
        <w:rPr>
          <w:rFonts w:hint="default" w:ascii="Times New Roman" w:hAnsi="Times New Roman" w:eastAsia="仿宋" w:cs="Times New Roman"/>
          <w:color w:val="auto"/>
          <w:sz w:val="32"/>
          <w:lang w:val="en-US" w:eastAsia="zh-CN"/>
        </w:rPr>
        <w:t>受党内严重警告处分3人</w:t>
      </w:r>
      <w:r>
        <w:rPr>
          <w:rFonts w:hint="eastAsia" w:ascii="Times New Roman" w:hAnsi="Times New Roman" w:eastAsia="仿宋" w:cs="Times New Roman"/>
          <w:color w:val="auto"/>
          <w:sz w:val="32"/>
          <w:lang w:val="en-US" w:eastAsia="zh-CN"/>
        </w:rPr>
        <w:t>；</w:t>
      </w:r>
      <w:r>
        <w:rPr>
          <w:rFonts w:hint="default" w:ascii="Times New Roman" w:hAnsi="Times New Roman" w:eastAsia="仿宋" w:cs="Times New Roman"/>
          <w:color w:val="auto"/>
          <w:sz w:val="32"/>
          <w:lang w:val="en-US" w:eastAsia="zh-CN"/>
        </w:rPr>
        <w:t>受党内警告处分3人</w:t>
      </w:r>
      <w:r>
        <w:rPr>
          <w:rFonts w:hint="eastAsia" w:ascii="Times New Roman" w:hAnsi="Times New Roman" w:eastAsia="仿宋" w:cs="Times New Roman"/>
          <w:color w:val="auto"/>
          <w:sz w:val="32"/>
          <w:lang w:val="en-US" w:eastAsia="zh-CN"/>
        </w:rPr>
        <w:t>；</w:t>
      </w:r>
      <w:r>
        <w:rPr>
          <w:rFonts w:hint="default" w:ascii="Times New Roman" w:hAnsi="Times New Roman" w:eastAsia="仿宋" w:cs="Times New Roman"/>
          <w:color w:val="auto"/>
          <w:sz w:val="32"/>
          <w:lang w:val="en-US" w:eastAsia="zh-CN"/>
        </w:rPr>
        <w:t>受政务记过处分2人</w:t>
      </w:r>
      <w:r>
        <w:rPr>
          <w:rFonts w:hint="eastAsia" w:ascii="Times New Roman" w:hAnsi="Times New Roman" w:eastAsia="仿宋" w:cs="Times New Roman"/>
          <w:color w:val="auto"/>
          <w:sz w:val="32"/>
          <w:lang w:val="en-US" w:eastAsia="zh-CN"/>
        </w:rPr>
        <w:t>；</w:t>
      </w:r>
      <w:r>
        <w:rPr>
          <w:rFonts w:hint="default" w:ascii="Times New Roman" w:hAnsi="Times New Roman" w:eastAsia="仿宋" w:cs="Times New Roman"/>
          <w:color w:val="auto"/>
          <w:sz w:val="32"/>
          <w:lang w:val="en-US" w:eastAsia="zh-CN"/>
        </w:rPr>
        <w:t>受政务警告8人。</w:t>
      </w:r>
    </w:p>
    <w:p w14:paraId="7697A459">
      <w:pPr>
        <w:widowControl w:val="0"/>
        <w:wordWrap/>
        <w:adjustRightInd/>
        <w:snapToGrid/>
        <w:spacing w:before="0" w:beforeAutospacing="0" w:after="0" w:afterAutospacing="0" w:line="560" w:lineRule="exact"/>
        <w:ind w:left="0" w:leftChars="0" w:right="0" w:firstLine="643" w:firstLineChars="20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楷体" w:cs="Times New Roman"/>
          <w:b/>
          <w:bCs/>
          <w:color w:val="auto"/>
          <w:sz w:val="32"/>
          <w:szCs w:val="32"/>
          <w:lang w:val="en-US" w:eastAsia="zh-CN"/>
        </w:rPr>
        <w:t>1</w:t>
      </w:r>
      <w:r>
        <w:rPr>
          <w:rFonts w:hint="eastAsia" w:ascii="Times New Roman" w:hAnsi="Times New Roman" w:eastAsia="楷体" w:cs="Times New Roman"/>
          <w:b/>
          <w:bCs/>
          <w:color w:val="auto"/>
          <w:sz w:val="32"/>
          <w:szCs w:val="32"/>
          <w:lang w:val="en-US" w:eastAsia="zh-CN"/>
        </w:rPr>
        <w:t>3．</w:t>
      </w:r>
      <w:r>
        <w:rPr>
          <w:rFonts w:hint="default" w:ascii="Times New Roman" w:hAnsi="Times New Roman" w:eastAsia="楷体" w:cs="Times New Roman"/>
          <w:b/>
          <w:bCs/>
          <w:color w:val="auto"/>
          <w:sz w:val="32"/>
          <w:szCs w:val="32"/>
          <w:lang w:val="en-US" w:eastAsia="zh-CN"/>
        </w:rPr>
        <w:t>巡视巡察工作。</w:t>
      </w:r>
      <w:r>
        <w:rPr>
          <w:rFonts w:hint="default" w:ascii="Times New Roman" w:hAnsi="Times New Roman" w:eastAsia="仿宋" w:cs="Times New Roman"/>
          <w:color w:val="auto"/>
          <w:sz w:val="32"/>
          <w:lang w:val="en-US" w:eastAsia="zh-CN"/>
        </w:rPr>
        <w:t>巡视巡察交办问题7件，其中省第八巡视组交办信访问题2件，县医疗卫生领域专项巡察组交办信访问题1件，整改问题4件，已全部整改到位。</w:t>
      </w:r>
    </w:p>
    <w:p w14:paraId="29D1727E">
      <w:pPr>
        <w:widowControl w:val="0"/>
        <w:wordWrap/>
        <w:spacing w:before="0" w:beforeAutospacing="0" w:after="0" w:afterAutospacing="0" w:line="560" w:lineRule="exact"/>
        <w:ind w:left="0" w:leftChars="0" w:right="0" w:firstLine="627" w:firstLineChars="196"/>
        <w:textAlignment w:val="auto"/>
        <w:outlineLvl w:val="9"/>
        <w:rPr>
          <w:rFonts w:hint="default" w:ascii="Times New Roman" w:hAnsi="Times New Roman" w:eastAsia="黑体" w:cs="Times New Roman"/>
          <w:b w:val="0"/>
          <w:bCs/>
          <w:color w:val="auto"/>
          <w:sz w:val="32"/>
          <w:szCs w:val="32"/>
        </w:rPr>
      </w:pPr>
      <w:r>
        <w:rPr>
          <w:rFonts w:hint="eastAsia" w:ascii="Times New Roman" w:hAnsi="Times New Roman" w:eastAsia="黑体" w:cs="Times New Roman"/>
          <w:b w:val="0"/>
          <w:bCs/>
          <w:color w:val="auto"/>
          <w:sz w:val="32"/>
          <w:szCs w:val="32"/>
          <w:lang w:eastAsia="zh-CN"/>
        </w:rPr>
        <w:t>三、</w:t>
      </w:r>
      <w:r>
        <w:rPr>
          <w:rFonts w:hint="default" w:ascii="Times New Roman" w:hAnsi="Times New Roman" w:eastAsia="黑体" w:cs="Times New Roman"/>
          <w:b w:val="0"/>
          <w:bCs/>
          <w:color w:val="auto"/>
          <w:sz w:val="32"/>
          <w:szCs w:val="32"/>
        </w:rPr>
        <w:t>人口计生工作稳步推进</w:t>
      </w:r>
    </w:p>
    <w:p w14:paraId="37D45BF9">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Autospacing="0" w:line="600" w:lineRule="exact"/>
        <w:ind w:left="0" w:right="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i w:val="0"/>
          <w:iCs w:val="0"/>
          <w:caps w:val="0"/>
          <w:color w:val="auto"/>
          <w:spacing w:val="0"/>
          <w:sz w:val="32"/>
          <w:szCs w:val="32"/>
          <w:shd w:val="clear" w:color="080000" w:fill="FFFFFF"/>
          <w:lang w:eastAsia="zh-CN"/>
        </w:rPr>
        <w:t>截止目前全县</w:t>
      </w:r>
      <w:r>
        <w:rPr>
          <w:rFonts w:hint="eastAsia" w:ascii="仿宋" w:hAnsi="仿宋" w:eastAsia="仿宋" w:cs="仿宋"/>
          <w:i w:val="0"/>
          <w:iCs w:val="0"/>
          <w:caps w:val="0"/>
          <w:color w:val="auto"/>
          <w:spacing w:val="0"/>
          <w:sz w:val="32"/>
          <w:szCs w:val="32"/>
          <w:shd w:val="clear" w:color="080000" w:fill="FFFFFF"/>
        </w:rPr>
        <w:t>总出生</w:t>
      </w:r>
      <w:r>
        <w:rPr>
          <w:rFonts w:hint="eastAsia" w:ascii="仿宋" w:hAnsi="仿宋" w:eastAsia="仿宋" w:cs="仿宋"/>
          <w:i w:val="0"/>
          <w:iCs w:val="0"/>
          <w:caps w:val="0"/>
          <w:color w:val="auto"/>
          <w:spacing w:val="0"/>
          <w:sz w:val="32"/>
          <w:szCs w:val="32"/>
          <w:shd w:val="clear" w:color="080000" w:fill="FFFFFF"/>
          <w:lang w:val="en-US" w:eastAsia="zh-CN"/>
        </w:rPr>
        <w:t>1610</w:t>
      </w:r>
      <w:r>
        <w:rPr>
          <w:rFonts w:hint="eastAsia" w:ascii="仿宋" w:hAnsi="仿宋" w:eastAsia="仿宋" w:cs="仿宋"/>
          <w:i w:val="0"/>
          <w:iCs w:val="0"/>
          <w:caps w:val="0"/>
          <w:color w:val="auto"/>
          <w:spacing w:val="0"/>
          <w:sz w:val="32"/>
          <w:szCs w:val="32"/>
          <w:shd w:val="clear" w:color="080000" w:fill="FFFFFF"/>
        </w:rPr>
        <w:t>人</w:t>
      </w:r>
      <w:r>
        <w:rPr>
          <w:rFonts w:hint="eastAsia" w:ascii="仿宋" w:hAnsi="仿宋" w:eastAsia="仿宋" w:cs="仿宋"/>
          <w:i w:val="0"/>
          <w:iCs w:val="0"/>
          <w:caps w:val="0"/>
          <w:color w:val="auto"/>
          <w:spacing w:val="0"/>
          <w:sz w:val="32"/>
          <w:szCs w:val="32"/>
          <w:shd w:val="clear" w:color="080000" w:fill="FFFFFF"/>
          <w:lang w:eastAsia="zh-CN"/>
        </w:rPr>
        <w:t>，男孩</w:t>
      </w:r>
      <w:r>
        <w:rPr>
          <w:rFonts w:hint="eastAsia" w:ascii="仿宋" w:hAnsi="仿宋" w:eastAsia="仿宋" w:cs="仿宋"/>
          <w:i w:val="0"/>
          <w:iCs w:val="0"/>
          <w:caps w:val="0"/>
          <w:color w:val="auto"/>
          <w:spacing w:val="0"/>
          <w:sz w:val="32"/>
          <w:szCs w:val="32"/>
          <w:shd w:val="clear" w:color="080000" w:fill="FFFFFF"/>
          <w:lang w:val="en-US" w:eastAsia="zh-CN"/>
        </w:rPr>
        <w:t>854人、女孩756人，性别比113%</w:t>
      </w:r>
      <w:r>
        <w:rPr>
          <w:rFonts w:hint="eastAsia" w:ascii="仿宋" w:hAnsi="仿宋" w:eastAsia="仿宋" w:cs="仿宋"/>
          <w:i w:val="0"/>
          <w:iCs w:val="0"/>
          <w:caps w:val="0"/>
          <w:color w:val="auto"/>
          <w:spacing w:val="0"/>
          <w:sz w:val="32"/>
          <w:szCs w:val="32"/>
          <w:shd w:val="clear" w:color="080000" w:fill="FFFFFF"/>
          <w:lang w:eastAsia="zh-CN"/>
        </w:rPr>
        <w:t>。其中一孩出生</w:t>
      </w:r>
      <w:r>
        <w:rPr>
          <w:rFonts w:hint="eastAsia" w:ascii="仿宋" w:hAnsi="仿宋" w:eastAsia="仿宋" w:cs="仿宋"/>
          <w:i w:val="0"/>
          <w:iCs w:val="0"/>
          <w:caps w:val="0"/>
          <w:color w:val="auto"/>
          <w:spacing w:val="0"/>
          <w:sz w:val="32"/>
          <w:szCs w:val="32"/>
          <w:shd w:val="clear" w:color="080000" w:fill="FFFFFF"/>
          <w:lang w:val="en-US" w:eastAsia="zh-CN"/>
        </w:rPr>
        <w:t>656人、二孩630人、三孩出生257人、多孩出生67；</w:t>
      </w:r>
      <w:r>
        <w:rPr>
          <w:rFonts w:hint="eastAsia" w:ascii="仿宋" w:hAnsi="仿宋" w:eastAsia="仿宋" w:cs="仿宋"/>
          <w:i w:val="0"/>
          <w:iCs w:val="0"/>
          <w:caps w:val="0"/>
          <w:color w:val="auto"/>
          <w:spacing w:val="0"/>
          <w:sz w:val="32"/>
          <w:szCs w:val="32"/>
          <w:shd w:val="clear" w:color="080000" w:fill="FFFFFF"/>
          <w:lang w:eastAsia="zh-CN"/>
        </w:rPr>
        <w:t>死亡</w:t>
      </w:r>
      <w:r>
        <w:rPr>
          <w:rFonts w:hint="eastAsia" w:ascii="仿宋" w:hAnsi="仿宋" w:eastAsia="仿宋" w:cs="仿宋"/>
          <w:i w:val="0"/>
          <w:iCs w:val="0"/>
          <w:caps w:val="0"/>
          <w:color w:val="auto"/>
          <w:spacing w:val="0"/>
          <w:sz w:val="32"/>
          <w:szCs w:val="32"/>
          <w:shd w:val="clear" w:color="080000" w:fill="FFFFFF"/>
          <w:lang w:val="en-US" w:eastAsia="zh-CN"/>
        </w:rPr>
        <w:t>2108人。</w:t>
      </w:r>
      <w:r>
        <w:rPr>
          <w:rFonts w:hint="eastAsia" w:ascii="仿宋" w:hAnsi="仿宋" w:eastAsia="仿宋" w:cs="仿宋"/>
          <w:color w:val="auto"/>
          <w:sz w:val="32"/>
          <w:szCs w:val="32"/>
          <w:lang w:eastAsia="zh-CN"/>
        </w:rPr>
        <w:t>完善工作机制，</w:t>
      </w:r>
      <w:r>
        <w:rPr>
          <w:rFonts w:hint="eastAsia" w:ascii="仿宋" w:hAnsi="仿宋" w:eastAsia="仿宋" w:cs="仿宋"/>
          <w:i w:val="0"/>
          <w:iCs w:val="0"/>
          <w:caps w:val="0"/>
          <w:color w:val="auto"/>
          <w:spacing w:val="0"/>
          <w:sz w:val="32"/>
          <w:szCs w:val="32"/>
          <w:lang w:eastAsia="zh-CN"/>
        </w:rPr>
        <w:t>扎实推进</w:t>
      </w:r>
      <w:r>
        <w:rPr>
          <w:rFonts w:hint="eastAsia" w:ascii="仿宋" w:hAnsi="仿宋" w:eastAsia="仿宋" w:cs="仿宋"/>
          <w:i w:val="0"/>
          <w:iCs w:val="0"/>
          <w:caps w:val="0"/>
          <w:color w:val="auto"/>
          <w:spacing w:val="0"/>
          <w:sz w:val="32"/>
          <w:szCs w:val="32"/>
        </w:rPr>
        <w:t>全面三孩的生育政策</w:t>
      </w:r>
      <w:r>
        <w:rPr>
          <w:rFonts w:hint="eastAsia" w:ascii="仿宋" w:hAnsi="仿宋" w:eastAsia="仿宋" w:cs="仿宋"/>
          <w:i w:val="0"/>
          <w:iCs w:val="0"/>
          <w:caps w:val="0"/>
          <w:color w:val="auto"/>
          <w:spacing w:val="0"/>
          <w:sz w:val="32"/>
          <w:szCs w:val="32"/>
          <w:lang w:eastAsia="zh-CN"/>
        </w:rPr>
        <w:t>落地</w:t>
      </w:r>
      <w:r>
        <w:rPr>
          <w:rFonts w:hint="eastAsia" w:ascii="仿宋" w:hAnsi="仿宋" w:eastAsia="仿宋" w:cs="仿宋"/>
          <w:color w:val="auto"/>
          <w:kern w:val="0"/>
          <w:sz w:val="32"/>
          <w:szCs w:val="32"/>
          <w:lang w:val="en-US" w:eastAsia="zh-CN"/>
        </w:rPr>
        <w:t>。</w:t>
      </w:r>
      <w:r>
        <w:rPr>
          <w:rFonts w:hint="eastAsia" w:ascii="仿宋" w:hAnsi="仿宋" w:eastAsia="仿宋" w:cs="仿宋"/>
          <w:b w:val="0"/>
          <w:bCs w:val="0"/>
          <w:snapToGrid w:val="0"/>
          <w:kern w:val="0"/>
          <w:sz w:val="32"/>
          <w:szCs w:val="32"/>
          <w:lang w:val="en-US" w:eastAsia="zh-CN"/>
        </w:rPr>
        <w:t>春节前夕</w:t>
      </w:r>
      <w:r>
        <w:rPr>
          <w:rFonts w:hint="eastAsia" w:ascii="仿宋" w:hAnsi="仿宋" w:eastAsia="仿宋" w:cs="仿宋"/>
          <w:b w:val="0"/>
          <w:bCs w:val="0"/>
          <w:sz w:val="32"/>
          <w:szCs w:val="32"/>
          <w:lang w:val="en-US" w:eastAsia="zh-CN"/>
        </w:rPr>
        <w:t>慰问100户计生困难家庭，送去慰问金5万元。</w:t>
      </w:r>
      <w:r>
        <w:rPr>
          <w:rFonts w:hint="eastAsia" w:ascii="仿宋" w:hAnsi="仿宋" w:eastAsia="仿宋" w:cs="仿宋"/>
          <w:b w:val="0"/>
          <w:bCs w:val="0"/>
          <w:color w:val="000000"/>
          <w:kern w:val="0"/>
          <w:sz w:val="32"/>
          <w:szCs w:val="32"/>
          <w:lang w:eastAsia="zh-CN"/>
        </w:rPr>
        <w:t>慰问乡镇困难计生特殊家庭</w:t>
      </w:r>
      <w:r>
        <w:rPr>
          <w:rFonts w:hint="eastAsia" w:ascii="仿宋" w:hAnsi="仿宋" w:eastAsia="仿宋" w:cs="仿宋"/>
          <w:b w:val="0"/>
          <w:bCs w:val="0"/>
          <w:color w:val="000000"/>
          <w:kern w:val="0"/>
          <w:sz w:val="32"/>
          <w:szCs w:val="32"/>
          <w:lang w:val="en-US" w:eastAsia="zh-CN"/>
        </w:rPr>
        <w:t>40户，</w:t>
      </w:r>
      <w:r>
        <w:rPr>
          <w:rFonts w:hint="eastAsia" w:ascii="仿宋" w:hAnsi="仿宋" w:eastAsia="仿宋" w:cs="仿宋"/>
          <w:b w:val="0"/>
          <w:bCs w:val="0"/>
          <w:sz w:val="32"/>
          <w:szCs w:val="32"/>
          <w:lang w:val="en-US" w:eastAsia="zh-CN"/>
        </w:rPr>
        <w:t>开展</w:t>
      </w:r>
      <w:r>
        <w:rPr>
          <w:rFonts w:hint="eastAsia" w:ascii="仿宋" w:hAnsi="仿宋" w:eastAsia="仿宋" w:cs="仿宋"/>
          <w:b w:val="0"/>
          <w:bCs w:val="0"/>
          <w:color w:val="000000"/>
          <w:kern w:val="0"/>
          <w:sz w:val="32"/>
          <w:szCs w:val="32"/>
        </w:rPr>
        <w:t>“小善举•大爱心”</w:t>
      </w:r>
      <w:r>
        <w:rPr>
          <w:rFonts w:hint="eastAsia" w:ascii="仿宋" w:hAnsi="仿宋" w:eastAsia="仿宋" w:cs="仿宋"/>
          <w:b w:val="0"/>
          <w:bCs w:val="0"/>
          <w:color w:val="000000"/>
          <w:kern w:val="0"/>
          <w:sz w:val="32"/>
          <w:szCs w:val="32"/>
          <w:lang w:eastAsia="zh-CN"/>
        </w:rPr>
        <w:t>慰问活动，</w:t>
      </w:r>
      <w:r>
        <w:rPr>
          <w:rFonts w:hint="eastAsia" w:ascii="仿宋" w:hAnsi="仿宋" w:eastAsia="仿宋" w:cs="仿宋"/>
          <w:b w:val="0"/>
          <w:bCs w:val="0"/>
          <w:color w:val="000000"/>
          <w:kern w:val="0"/>
          <w:sz w:val="32"/>
          <w:szCs w:val="32"/>
          <w:lang w:val="en-US" w:eastAsia="zh-CN"/>
        </w:rPr>
        <w:t>筹集善款3000元，</w:t>
      </w:r>
      <w:r>
        <w:rPr>
          <w:rFonts w:hint="eastAsia" w:ascii="仿宋" w:hAnsi="仿宋" w:eastAsia="仿宋" w:cs="仿宋"/>
          <w:b w:val="0"/>
          <w:bCs w:val="0"/>
          <w:color w:val="000000"/>
          <w:kern w:val="0"/>
          <w:sz w:val="32"/>
          <w:szCs w:val="32"/>
          <w:lang w:eastAsia="zh-CN"/>
        </w:rPr>
        <w:t>为</w:t>
      </w:r>
      <w:r>
        <w:rPr>
          <w:rFonts w:hint="eastAsia" w:ascii="仿宋" w:hAnsi="仿宋" w:eastAsia="仿宋" w:cs="仿宋"/>
          <w:b w:val="0"/>
          <w:bCs w:val="0"/>
          <w:color w:val="000000"/>
          <w:kern w:val="0"/>
          <w:sz w:val="32"/>
          <w:szCs w:val="32"/>
          <w:lang w:val="en-US" w:eastAsia="zh-CN"/>
        </w:rPr>
        <w:t>2户</w:t>
      </w:r>
      <w:r>
        <w:rPr>
          <w:rFonts w:hint="eastAsia" w:ascii="仿宋" w:hAnsi="仿宋" w:eastAsia="仿宋" w:cs="仿宋"/>
          <w:b w:val="0"/>
          <w:bCs w:val="0"/>
          <w:color w:val="000000"/>
          <w:kern w:val="0"/>
          <w:sz w:val="32"/>
          <w:szCs w:val="32"/>
          <w:lang w:eastAsia="zh-CN"/>
        </w:rPr>
        <w:t>困难家庭</w:t>
      </w:r>
      <w:r>
        <w:rPr>
          <w:rFonts w:hint="eastAsia" w:ascii="仿宋" w:hAnsi="仿宋" w:eastAsia="仿宋" w:cs="仿宋"/>
          <w:b w:val="0"/>
          <w:bCs w:val="0"/>
          <w:color w:val="000000"/>
          <w:kern w:val="0"/>
          <w:sz w:val="32"/>
          <w:szCs w:val="32"/>
          <w:lang w:val="en-US" w:eastAsia="zh-CN"/>
        </w:rPr>
        <w:t>发放慰问金5000元。</w:t>
      </w:r>
    </w:p>
    <w:p w14:paraId="07BDA830">
      <w:pPr>
        <w:pStyle w:val="5"/>
        <w:widowControl w:val="0"/>
        <w:wordWrap/>
        <w:adjustRightInd/>
        <w:snapToGrid/>
        <w:spacing w:before="0" w:beforeAutospacing="0" w:after="0" w:afterAutospacing="0" w:line="560" w:lineRule="exact"/>
        <w:ind w:left="0" w:leftChars="0" w:right="0" w:firstLine="793"/>
        <w:textAlignment w:val="auto"/>
        <w:outlineLvl w:val="9"/>
        <w:rPr>
          <w:rFonts w:hint="eastAsia" w:ascii="Times New Roman" w:hAnsi="Times New Roman" w:eastAsia="黑体" w:cs="Times New Roman"/>
          <w:b/>
          <w:color w:val="auto"/>
          <w:sz w:val="32"/>
          <w:szCs w:val="32"/>
          <w:lang w:val="en-US" w:eastAsia="zh-CN"/>
        </w:rPr>
      </w:pPr>
      <w:r>
        <w:rPr>
          <w:rFonts w:hint="eastAsia" w:ascii="Times New Roman" w:hAnsi="Times New Roman" w:eastAsia="黑体" w:cs="Times New Roman"/>
          <w:b/>
          <w:color w:val="auto"/>
          <w:sz w:val="32"/>
          <w:szCs w:val="32"/>
          <w:lang w:eastAsia="zh-CN"/>
        </w:rPr>
        <w:t>四、</w:t>
      </w:r>
      <w:r>
        <w:rPr>
          <w:rFonts w:hint="default" w:ascii="Times New Roman" w:hAnsi="Times New Roman" w:eastAsia="黑体" w:cs="Times New Roman"/>
          <w:b/>
          <w:color w:val="auto"/>
          <w:sz w:val="32"/>
          <w:szCs w:val="32"/>
        </w:rPr>
        <w:t>乡村振兴</w:t>
      </w:r>
      <w:r>
        <w:rPr>
          <w:rFonts w:hint="default" w:ascii="Times New Roman" w:hAnsi="Times New Roman" w:eastAsia="黑体" w:cs="Times New Roman"/>
          <w:b/>
          <w:color w:val="auto"/>
          <w:sz w:val="32"/>
          <w:szCs w:val="32"/>
          <w:lang w:eastAsia="zh-CN"/>
        </w:rPr>
        <w:t>工作</w:t>
      </w:r>
      <w:r>
        <w:rPr>
          <w:rFonts w:hint="eastAsia" w:eastAsia="黑体" w:cs="Times New Roman"/>
          <w:b/>
          <w:color w:val="auto"/>
          <w:sz w:val="32"/>
          <w:szCs w:val="32"/>
          <w:lang w:eastAsia="zh-CN"/>
        </w:rPr>
        <w:t>稳步发展</w:t>
      </w:r>
    </w:p>
    <w:p w14:paraId="1302043A">
      <w:pPr>
        <w:widowControl w:val="0"/>
        <w:numPr>
          <w:ilvl w:val="0"/>
          <w:numId w:val="0"/>
        </w:numPr>
        <w:wordWrap/>
        <w:adjustRightInd/>
        <w:snapToGrid/>
        <w:spacing w:before="0" w:beforeAutospacing="0" w:after="0" w:afterAutospacing="0" w:line="560" w:lineRule="exact"/>
        <w:ind w:left="0" w:leftChars="0" w:right="0" w:firstLine="640" w:firstLineChars="20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eastAsia="zh-CN"/>
        </w:rPr>
        <w:t>全县</w:t>
      </w:r>
      <w:r>
        <w:rPr>
          <w:rFonts w:hint="default" w:ascii="Times New Roman" w:hAnsi="Times New Roman" w:eastAsia="仿宋" w:cs="Times New Roman"/>
          <w:color w:val="auto"/>
          <w:sz w:val="32"/>
          <w:szCs w:val="32"/>
          <w:lang w:val="en-US" w:eastAsia="zh-CN"/>
        </w:rPr>
        <w:t>共</w:t>
      </w:r>
      <w:r>
        <w:rPr>
          <w:rFonts w:hint="default" w:ascii="Times New Roman" w:hAnsi="Times New Roman" w:eastAsia="仿宋" w:cs="Times New Roman"/>
          <w:color w:val="auto"/>
          <w:sz w:val="32"/>
          <w:szCs w:val="32"/>
          <w:lang w:eastAsia="zh-CN"/>
        </w:rPr>
        <w:t>有行政村</w:t>
      </w:r>
      <w:r>
        <w:rPr>
          <w:rFonts w:hint="default" w:ascii="Times New Roman" w:hAnsi="Times New Roman" w:eastAsia="仿宋" w:cs="Times New Roman"/>
          <w:color w:val="auto"/>
          <w:sz w:val="32"/>
          <w:szCs w:val="32"/>
          <w:lang w:val="en-US" w:eastAsia="zh-CN"/>
        </w:rPr>
        <w:t>及卫生室215个，具有执业资格的乡村医生315人。共完成脱贫人口和监测对象中患高血压、糖尿病、严重精神障碍、肺结核等四类慢病患者6362人，全部进行了家庭医生签约服务，随访服务率100%。继续做好3</w:t>
      </w:r>
      <w:r>
        <w:rPr>
          <w:rFonts w:hint="eastAsia"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lang w:val="en-US" w:eastAsia="zh-CN"/>
        </w:rPr>
        <w:t>种大病专项救治工作，</w:t>
      </w:r>
      <w:r>
        <w:rPr>
          <w:rFonts w:hint="eastAsia" w:ascii="Times New Roman" w:hAnsi="Times New Roman" w:eastAsia="仿宋" w:cs="Times New Roman"/>
          <w:color w:val="auto"/>
          <w:sz w:val="32"/>
          <w:szCs w:val="32"/>
          <w:lang w:val="en-US" w:eastAsia="zh-CN"/>
        </w:rPr>
        <w:t>大病保险补偿共532人次。</w:t>
      </w:r>
      <w:r>
        <w:rPr>
          <w:rFonts w:hint="default" w:ascii="Times New Roman" w:hAnsi="Times New Roman" w:eastAsia="仿宋" w:cs="Times New Roman"/>
          <w:color w:val="auto"/>
          <w:sz w:val="32"/>
          <w:szCs w:val="32"/>
          <w:lang w:val="en-US" w:eastAsia="zh-CN"/>
        </w:rPr>
        <w:t>县域内救治三类人员</w:t>
      </w:r>
      <w:r>
        <w:rPr>
          <w:rFonts w:hint="eastAsia" w:ascii="Times New Roman" w:hAnsi="Times New Roman" w:eastAsia="仿宋" w:cs="Times New Roman"/>
          <w:color w:val="auto"/>
          <w:sz w:val="32"/>
          <w:szCs w:val="32"/>
          <w:lang w:val="en-US" w:eastAsia="zh-CN"/>
        </w:rPr>
        <w:t>4431</w:t>
      </w:r>
      <w:r>
        <w:rPr>
          <w:rFonts w:hint="default" w:ascii="Times New Roman" w:hAnsi="Times New Roman" w:eastAsia="仿宋" w:cs="Times New Roman"/>
          <w:color w:val="auto"/>
          <w:sz w:val="32"/>
          <w:szCs w:val="32"/>
          <w:lang w:val="en-US" w:eastAsia="zh-CN"/>
        </w:rPr>
        <w:t>人次。组建了3个进村巡诊服务团队，每年按要求对全县215个行政村开展免费巡诊1次以上。</w:t>
      </w:r>
    </w:p>
    <w:p w14:paraId="25DF9563">
      <w:pPr>
        <w:pStyle w:val="4"/>
        <w:widowControl w:val="0"/>
        <w:numPr>
          <w:ilvl w:val="0"/>
          <w:numId w:val="0"/>
        </w:numPr>
        <w:wordWrap/>
        <w:spacing w:before="0" w:beforeAutospacing="0" w:after="0" w:afterAutospacing="0" w:line="560" w:lineRule="exact"/>
        <w:ind w:left="0" w:leftChars="0" w:right="0"/>
        <w:outlineLvl w:val="9"/>
        <w:rPr>
          <w:rFonts w:hint="default" w:ascii="Times New Roman" w:hAnsi="Times New Roman" w:eastAsia="黑体" w:cs="Times New Roman"/>
          <w:b/>
          <w:color w:val="auto"/>
          <w:kern w:val="2"/>
          <w:sz w:val="32"/>
          <w:szCs w:val="32"/>
          <w:lang w:val="en-US" w:eastAsia="zh-CN" w:bidi="ar-SA"/>
        </w:rPr>
      </w:pPr>
      <w:r>
        <w:rPr>
          <w:rFonts w:hint="eastAsia" w:ascii="Times New Roman" w:hAnsi="Times New Roman" w:eastAsia="仿宋" w:cs="Times New Roman"/>
          <w:color w:val="auto"/>
          <w:sz w:val="32"/>
          <w:szCs w:val="32"/>
          <w:lang w:val="en-US" w:eastAsia="zh-CN"/>
        </w:rPr>
        <w:t xml:space="preserve">    </w:t>
      </w:r>
      <w:r>
        <w:rPr>
          <w:rFonts w:hint="eastAsia" w:ascii="Times New Roman" w:hAnsi="Times New Roman" w:eastAsia="黑体" w:cs="Times New Roman"/>
          <w:b/>
          <w:color w:val="auto"/>
          <w:kern w:val="2"/>
          <w:sz w:val="32"/>
          <w:szCs w:val="32"/>
          <w:lang w:val="en-US" w:eastAsia="zh-CN" w:bidi="ar-SA"/>
        </w:rPr>
        <w:t>五、</w:t>
      </w:r>
      <w:r>
        <w:rPr>
          <w:rFonts w:hint="default" w:ascii="Times New Roman" w:hAnsi="Times New Roman" w:eastAsia="黑体" w:cs="Times New Roman"/>
          <w:b/>
          <w:color w:val="auto"/>
          <w:kern w:val="2"/>
          <w:sz w:val="32"/>
          <w:szCs w:val="32"/>
          <w:lang w:val="en-US" w:eastAsia="zh-CN" w:bidi="ar-SA"/>
        </w:rPr>
        <w:t>红十字会工作</w:t>
      </w:r>
      <w:r>
        <w:rPr>
          <w:rFonts w:hint="eastAsia" w:eastAsia="黑体" w:cs="Times New Roman"/>
          <w:b/>
          <w:color w:val="auto"/>
          <w:kern w:val="2"/>
          <w:sz w:val="32"/>
          <w:szCs w:val="32"/>
          <w:lang w:val="en-US" w:eastAsia="zh-CN" w:bidi="ar-SA"/>
        </w:rPr>
        <w:t>稳步推进</w:t>
      </w:r>
    </w:p>
    <w:p w14:paraId="5B1BBB82">
      <w:pPr>
        <w:widowControl w:val="0"/>
        <w:wordWrap/>
        <w:adjustRightInd/>
        <w:snapToGrid/>
        <w:spacing w:before="0" w:after="0" w:line="560" w:lineRule="exact"/>
        <w:ind w:left="0" w:leftChars="0" w:right="0" w:firstLine="0" w:firstLineChars="0"/>
        <w:jc w:val="both"/>
        <w:textAlignment w:val="auto"/>
        <w:outlineLvl w:val="9"/>
        <w:rPr>
          <w:rFonts w:hint="default" w:ascii="Times New Roman" w:hAnsi="Times New Roman" w:cs="Times New Roman"/>
          <w:b w:val="0"/>
          <w:bCs w:val="0"/>
          <w:color w:val="auto"/>
          <w:lang w:val="en-US" w:eastAsia="zh-CN"/>
        </w:rPr>
      </w:pPr>
      <w:r>
        <w:rPr>
          <w:rFonts w:hint="eastAsia" w:ascii="Times New Roman" w:hAnsi="Times New Roman" w:eastAsia="仿宋" w:cs="Times New Roman"/>
          <w:b w:val="0"/>
          <w:bCs w:val="0"/>
          <w:color w:val="auto"/>
          <w:spacing w:val="0"/>
          <w:sz w:val="32"/>
          <w:szCs w:val="32"/>
          <w:lang w:val="en-US" w:eastAsia="zh-CN"/>
        </w:rPr>
        <w:t xml:space="preserve">  </w:t>
      </w:r>
      <w:r>
        <w:rPr>
          <w:rFonts w:hint="eastAsia" w:ascii="仿宋" w:hAnsi="仿宋" w:eastAsia="仿宋" w:cs="仿宋"/>
          <w:b w:val="0"/>
          <w:bCs w:val="0"/>
          <w:color w:val="auto"/>
          <w:spacing w:val="0"/>
          <w:sz w:val="32"/>
          <w:szCs w:val="32"/>
          <w:lang w:val="en-US" w:eastAsia="zh-CN"/>
        </w:rPr>
        <w:t xml:space="preserve">  </w:t>
      </w:r>
      <w:r>
        <w:rPr>
          <w:rFonts w:hint="eastAsia" w:ascii="仿宋" w:hAnsi="仿宋" w:eastAsia="仿宋" w:cs="仿宋"/>
          <w:b w:val="0"/>
          <w:bCs w:val="0"/>
          <w:color w:val="auto"/>
          <w:spacing w:val="0"/>
          <w:sz w:val="32"/>
          <w:szCs w:val="32"/>
        </w:rPr>
        <w:t>实施</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小天使基金</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救助</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救助金额</w:t>
      </w:r>
      <w:r>
        <w:rPr>
          <w:rFonts w:hint="eastAsia" w:ascii="仿宋" w:hAnsi="仿宋" w:eastAsia="仿宋" w:cs="仿宋"/>
          <w:b w:val="0"/>
          <w:bCs w:val="0"/>
          <w:color w:val="auto"/>
          <w:spacing w:val="0"/>
          <w:sz w:val="32"/>
          <w:szCs w:val="32"/>
          <w:lang w:val="en-US" w:eastAsia="zh-CN"/>
        </w:rPr>
        <w:t>18</w:t>
      </w:r>
      <w:r>
        <w:rPr>
          <w:rFonts w:hint="eastAsia" w:ascii="仿宋" w:hAnsi="仿宋" w:eastAsia="仿宋" w:cs="仿宋"/>
          <w:b w:val="0"/>
          <w:bCs w:val="0"/>
          <w:color w:val="auto"/>
          <w:spacing w:val="0"/>
          <w:sz w:val="32"/>
          <w:szCs w:val="32"/>
        </w:rPr>
        <w:t>万元</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auto"/>
          <w:spacing w:val="0"/>
          <w:sz w:val="32"/>
          <w:szCs w:val="32"/>
        </w:rPr>
        <w:t>积极参与</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5.8</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rPr>
        <w:t>公益日筹资活动</w:t>
      </w:r>
      <w:r>
        <w:rPr>
          <w:rFonts w:hint="eastAsia" w:ascii="仿宋" w:hAnsi="仿宋" w:eastAsia="仿宋" w:cs="仿宋"/>
          <w:b w:val="0"/>
          <w:bCs w:val="0"/>
          <w:color w:val="auto"/>
          <w:spacing w:val="0"/>
          <w:sz w:val="32"/>
          <w:szCs w:val="32"/>
          <w:lang w:eastAsia="zh-CN"/>
        </w:rPr>
        <w:t>，</w:t>
      </w:r>
      <w:r>
        <w:rPr>
          <w:rFonts w:hint="eastAsia" w:ascii="仿宋" w:hAnsi="仿宋" w:eastAsia="仿宋" w:cs="仿宋"/>
          <w:b w:val="0"/>
          <w:bCs w:val="0"/>
          <w:color w:val="auto"/>
          <w:spacing w:val="0"/>
          <w:sz w:val="32"/>
          <w:szCs w:val="32"/>
          <w:shd w:val="clear" w:color="auto" w:fill="FFFFFF"/>
        </w:rPr>
        <w:t>向社会筹集资金</w:t>
      </w:r>
      <w:r>
        <w:rPr>
          <w:rFonts w:hint="eastAsia" w:ascii="仿宋" w:hAnsi="仿宋" w:eastAsia="仿宋" w:cs="仿宋"/>
          <w:b w:val="0"/>
          <w:bCs w:val="0"/>
          <w:color w:val="auto"/>
          <w:spacing w:val="0"/>
          <w:sz w:val="32"/>
          <w:szCs w:val="32"/>
          <w:shd w:val="clear" w:color="auto" w:fill="FFFFFF"/>
          <w:lang w:val="en-US" w:eastAsia="zh-CN"/>
        </w:rPr>
        <w:t>18040.44元</w:t>
      </w:r>
      <w:r>
        <w:rPr>
          <w:rFonts w:hint="eastAsia" w:ascii="仿宋" w:hAnsi="仿宋" w:eastAsia="仿宋" w:cs="仿宋"/>
          <w:b w:val="0"/>
          <w:bCs w:val="0"/>
          <w:color w:val="auto"/>
          <w:spacing w:val="0"/>
          <w:sz w:val="32"/>
          <w:szCs w:val="32"/>
        </w:rPr>
        <w:t>。</w:t>
      </w:r>
      <w:r>
        <w:rPr>
          <w:rFonts w:hint="eastAsia" w:ascii="仿宋" w:hAnsi="仿宋" w:eastAsia="仿宋" w:cs="仿宋"/>
          <w:b w:val="0"/>
          <w:bCs w:val="0"/>
          <w:color w:val="auto"/>
          <w:spacing w:val="0"/>
          <w:sz w:val="32"/>
          <w:szCs w:val="32"/>
          <w:lang w:eastAsia="zh-CN"/>
        </w:rPr>
        <w:t>截</w:t>
      </w:r>
      <w:r>
        <w:rPr>
          <w:rFonts w:hint="eastAsia" w:ascii="仿宋" w:hAnsi="仿宋" w:eastAsia="仿宋" w:cs="仿宋"/>
          <w:b w:val="0"/>
          <w:bCs w:val="0"/>
          <w:spacing w:val="0"/>
          <w:sz w:val="32"/>
          <w:szCs w:val="32"/>
          <w:lang w:eastAsia="zh-CN"/>
        </w:rPr>
        <w:t>至</w:t>
      </w:r>
      <w:r>
        <w:rPr>
          <w:rFonts w:hint="eastAsia" w:ascii="仿宋" w:hAnsi="仿宋" w:eastAsia="仿宋" w:cs="仿宋"/>
          <w:b w:val="0"/>
          <w:bCs w:val="0"/>
          <w:spacing w:val="0"/>
          <w:sz w:val="32"/>
          <w:szCs w:val="32"/>
          <w:lang w:val="en-US" w:eastAsia="zh-CN"/>
        </w:rPr>
        <w:t>11月底，</w:t>
      </w:r>
      <w:r>
        <w:rPr>
          <w:rFonts w:hint="eastAsia" w:ascii="仿宋" w:hAnsi="仿宋" w:eastAsia="仿宋" w:cs="仿宋"/>
          <w:spacing w:val="0"/>
          <w:sz w:val="32"/>
          <w:szCs w:val="32"/>
        </w:rPr>
        <w:t>我县参与无偿献血1</w:t>
      </w:r>
      <w:r>
        <w:rPr>
          <w:rFonts w:hint="eastAsia" w:ascii="仿宋" w:hAnsi="仿宋" w:eastAsia="仿宋" w:cs="仿宋"/>
          <w:spacing w:val="0"/>
          <w:sz w:val="32"/>
          <w:szCs w:val="32"/>
          <w:lang w:val="en-US" w:eastAsia="zh-CN"/>
        </w:rPr>
        <w:t>794</w:t>
      </w:r>
      <w:r>
        <w:rPr>
          <w:rFonts w:hint="eastAsia" w:ascii="仿宋" w:hAnsi="仿宋" w:eastAsia="仿宋" w:cs="仿宋"/>
          <w:spacing w:val="0"/>
          <w:sz w:val="32"/>
          <w:szCs w:val="32"/>
        </w:rPr>
        <w:t>人次，完成率为</w:t>
      </w:r>
      <w:r>
        <w:rPr>
          <w:rFonts w:hint="eastAsia" w:ascii="仿宋" w:hAnsi="仿宋" w:eastAsia="仿宋" w:cs="仿宋"/>
          <w:spacing w:val="0"/>
          <w:sz w:val="32"/>
          <w:szCs w:val="32"/>
          <w:lang w:val="en-US" w:eastAsia="zh-CN"/>
        </w:rPr>
        <w:t>89.7</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w:t>
      </w:r>
      <w:r>
        <w:rPr>
          <w:rFonts w:hint="eastAsia" w:ascii="仿宋" w:hAnsi="仿宋" w:eastAsia="仿宋" w:cs="仿宋"/>
          <w:b w:val="0"/>
          <w:bCs w:val="0"/>
          <w:i w:val="0"/>
          <w:iCs w:val="0"/>
          <w:caps w:val="0"/>
          <w:color w:val="auto"/>
          <w:spacing w:val="15"/>
          <w:sz w:val="32"/>
          <w:szCs w:val="32"/>
        </w:rPr>
        <w:t>市红十字会</w:t>
      </w:r>
      <w:r>
        <w:rPr>
          <w:rFonts w:hint="eastAsia" w:ascii="仿宋" w:hAnsi="仿宋" w:eastAsia="仿宋" w:cs="仿宋"/>
          <w:b w:val="0"/>
          <w:bCs w:val="0"/>
          <w:i w:val="0"/>
          <w:iCs w:val="0"/>
          <w:caps w:val="0"/>
          <w:color w:val="auto"/>
          <w:spacing w:val="15"/>
          <w:sz w:val="32"/>
          <w:szCs w:val="32"/>
          <w:lang w:eastAsia="zh-CN"/>
        </w:rPr>
        <w:t>为受灾严重的麻塘乡</w:t>
      </w:r>
      <w:r>
        <w:rPr>
          <w:rFonts w:hint="eastAsia" w:ascii="仿宋" w:hAnsi="仿宋" w:eastAsia="仿宋" w:cs="仿宋"/>
          <w:b w:val="0"/>
          <w:bCs w:val="0"/>
          <w:i w:val="0"/>
          <w:iCs w:val="0"/>
          <w:caps w:val="0"/>
          <w:color w:val="auto"/>
          <w:spacing w:val="15"/>
          <w:sz w:val="32"/>
          <w:szCs w:val="32"/>
        </w:rPr>
        <w:t>带来了近10万元的慰问金和生活物资。</w:t>
      </w:r>
      <w:r>
        <w:rPr>
          <w:rFonts w:hint="eastAsia" w:ascii="仿宋" w:hAnsi="仿宋" w:eastAsia="仿宋" w:cs="仿宋"/>
          <w:i w:val="0"/>
          <w:iCs w:val="0"/>
          <w:caps w:val="0"/>
          <w:color w:val="222222"/>
          <w:spacing w:val="15"/>
          <w:sz w:val="32"/>
          <w:szCs w:val="32"/>
          <w:lang w:val="en-US" w:eastAsia="zh-CN"/>
        </w:rPr>
        <w:t>在县人民医院建立了红十字应急救护培训基地，全年举办应急救护培训班14期，培训救护员1093人，开展普及培训4场次，普及群众达5570人次。</w:t>
      </w:r>
    </w:p>
    <w:p w14:paraId="3B124914">
      <w:pPr>
        <w:widowControl w:val="0"/>
        <w:pBdr>
          <w:bottom w:val="single" w:color="FFFFFF" w:sz="4" w:space="31"/>
        </w:pBdr>
        <w:tabs>
          <w:tab w:val="left" w:pos="1440"/>
        </w:tabs>
        <w:wordWrap/>
        <w:adjustRightInd w:val="0"/>
        <w:snapToGrid w:val="0"/>
        <w:spacing w:before="0" w:beforeAutospacing="0" w:after="0" w:afterAutospacing="0" w:line="560" w:lineRule="exact"/>
        <w:ind w:left="0" w:leftChars="0" w:right="0"/>
        <w:jc w:val="center"/>
        <w:outlineLvl w:val="9"/>
        <w:rPr>
          <w:rFonts w:hint="default" w:ascii="Times New Roman" w:hAnsi="Times New Roman" w:eastAsia="黑体" w:cs="Times New Roman"/>
          <w:b/>
          <w:color w:val="auto"/>
          <w:sz w:val="36"/>
          <w:szCs w:val="36"/>
          <w:lang w:val="en-US" w:eastAsia="zh-CN"/>
        </w:rPr>
      </w:pPr>
      <w:r>
        <w:rPr>
          <w:rFonts w:hint="default" w:ascii="Times New Roman" w:hAnsi="Times New Roman" w:eastAsia="黑体" w:cs="Times New Roman"/>
          <w:b/>
          <w:color w:val="auto"/>
          <w:sz w:val="36"/>
          <w:szCs w:val="36"/>
          <w:lang w:val="en-US" w:eastAsia="zh-CN"/>
        </w:rPr>
        <w:t>2025年工作计划</w:t>
      </w:r>
    </w:p>
    <w:p w14:paraId="0C589CB7">
      <w:pPr>
        <w:widowControl w:val="0"/>
        <w:pBdr>
          <w:bottom w:val="single" w:color="FFFFFF" w:sz="4" w:space="31"/>
        </w:pBdr>
        <w:tabs>
          <w:tab w:val="left" w:pos="1440"/>
        </w:tabs>
        <w:wordWrap/>
        <w:adjustRightInd w:val="0"/>
        <w:snapToGrid w:val="0"/>
        <w:spacing w:before="0" w:beforeAutospacing="0" w:after="0" w:afterAutospacing="0" w:line="560" w:lineRule="exact"/>
        <w:ind w:left="0" w:leftChars="0" w:right="0" w:firstLine="643" w:firstLineChars="200"/>
        <w:outlineLvl w:val="9"/>
        <w:rPr>
          <w:rFonts w:hint="default" w:ascii="Times New Roman" w:hAnsi="Times New Roman" w:eastAsia="仿宋" w:cs="Times New Roman"/>
          <w:color w:val="auto"/>
          <w:sz w:val="32"/>
          <w:szCs w:val="32"/>
          <w:lang w:eastAsia="zh-CN"/>
        </w:rPr>
      </w:pPr>
      <w:r>
        <w:rPr>
          <w:rFonts w:hint="default" w:ascii="Times New Roman" w:hAnsi="Times New Roman" w:eastAsia="楷体" w:cs="Times New Roman"/>
          <w:b/>
          <w:bCs/>
          <w:color w:val="auto"/>
          <w:sz w:val="32"/>
          <w:szCs w:val="32"/>
        </w:rPr>
        <w:t>202</w:t>
      </w:r>
      <w:r>
        <w:rPr>
          <w:rFonts w:hint="eastAsia" w:ascii="Times New Roman" w:hAnsi="Times New Roman" w:eastAsia="楷体" w:cs="Times New Roman"/>
          <w:b/>
          <w:bCs/>
          <w:color w:val="auto"/>
          <w:sz w:val="32"/>
          <w:szCs w:val="32"/>
          <w:lang w:val="en-US" w:eastAsia="zh-CN"/>
        </w:rPr>
        <w:t>5</w:t>
      </w:r>
      <w:r>
        <w:rPr>
          <w:rFonts w:hint="default" w:ascii="Times New Roman" w:hAnsi="Times New Roman" w:eastAsia="楷体" w:cs="Times New Roman"/>
          <w:b/>
          <w:bCs/>
          <w:color w:val="auto"/>
          <w:sz w:val="32"/>
          <w:szCs w:val="32"/>
        </w:rPr>
        <w:t>年全县卫生健康工作的总体思路是：</w:t>
      </w:r>
      <w:r>
        <w:rPr>
          <w:rFonts w:hint="eastAsia" w:ascii="仿宋" w:hAnsi="仿宋" w:eastAsia="仿宋" w:cs="仿宋"/>
          <w:i w:val="0"/>
          <w:caps w:val="0"/>
          <w:spacing w:val="9"/>
          <w:sz w:val="32"/>
          <w:szCs w:val="32"/>
          <w:shd w:val="clear" w:color="070000" w:fill="FFFFFF"/>
        </w:rPr>
        <w:t>以习近平新时代中国特色社会主义思想为指导，全面贯彻党的二十大和二十届二中、三中全会精神，</w:t>
      </w:r>
      <w:r>
        <w:rPr>
          <w:rFonts w:hint="default" w:ascii="Times New Roman" w:hAnsi="Times New Roman" w:eastAsia="仿宋" w:cs="Times New Roman"/>
          <w:b w:val="0"/>
          <w:bCs/>
          <w:color w:val="auto"/>
          <w:sz w:val="32"/>
          <w:szCs w:val="32"/>
        </w:rPr>
        <w:t>落实全国、全省、全市卫生健康工作会议部署要求</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坚持以人民为中心的发展思想，</w:t>
      </w:r>
      <w:r>
        <w:rPr>
          <w:rFonts w:hint="default" w:ascii="Times New Roman" w:hAnsi="Times New Roman" w:eastAsia="仿宋" w:cs="Times New Roman"/>
          <w:color w:val="auto"/>
          <w:sz w:val="32"/>
          <w:szCs w:val="32"/>
        </w:rPr>
        <w:t>全力推进卫生健康事业高质量发展</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突出医共体建设，提升医改成效</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全面提升医疗技术水平</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办好人民满意</w:t>
      </w:r>
      <w:r>
        <w:rPr>
          <w:rFonts w:hint="eastAsia" w:ascii="Times New Roman" w:hAnsi="Times New Roman" w:eastAsia="仿宋" w:cs="Times New Roman"/>
          <w:color w:val="auto"/>
          <w:sz w:val="32"/>
          <w:szCs w:val="32"/>
          <w:lang w:eastAsia="zh-CN"/>
        </w:rPr>
        <w:t>医疗</w:t>
      </w:r>
      <w:r>
        <w:rPr>
          <w:rFonts w:hint="default" w:ascii="Times New Roman" w:hAnsi="Times New Roman" w:eastAsia="仿宋" w:cs="Times New Roman"/>
          <w:color w:val="auto"/>
          <w:sz w:val="32"/>
          <w:szCs w:val="32"/>
          <w:lang w:eastAsia="zh-CN"/>
        </w:rPr>
        <w:t>。</w:t>
      </w:r>
    </w:p>
    <w:p w14:paraId="47142C0D">
      <w:pPr>
        <w:widowControl w:val="0"/>
        <w:pBdr>
          <w:bottom w:val="single" w:color="FFFFFF" w:sz="4" w:space="31"/>
        </w:pBdr>
        <w:tabs>
          <w:tab w:val="left" w:pos="1440"/>
        </w:tabs>
        <w:wordWrap/>
        <w:adjustRightInd w:val="0"/>
        <w:snapToGrid w:val="0"/>
        <w:spacing w:before="0" w:beforeAutospacing="0" w:after="0" w:afterAutospacing="0" w:line="560" w:lineRule="exact"/>
        <w:ind w:left="0" w:leftChars="0" w:right="0" w:firstLine="643" w:firstLineChars="200"/>
        <w:outlineLvl w:val="9"/>
        <w:rPr>
          <w:rFonts w:hint="eastAsia" w:ascii="宋体" w:hAnsi="宋体" w:eastAsia="宋体" w:cs="宋体"/>
          <w:sz w:val="32"/>
          <w:szCs w:val="32"/>
          <w:lang w:val="en-US" w:eastAsia="zh-CN"/>
        </w:rPr>
      </w:pPr>
      <w:r>
        <w:rPr>
          <w:rFonts w:hint="default" w:ascii="Times New Roman" w:hAnsi="Times New Roman" w:eastAsia="楷体" w:cs="Times New Roman"/>
          <w:b/>
          <w:bCs/>
          <w:color w:val="auto"/>
          <w:sz w:val="32"/>
          <w:szCs w:val="32"/>
          <w:lang w:eastAsia="zh-CN"/>
        </w:rPr>
        <w:t>（一）抓项目，</w:t>
      </w:r>
      <w:r>
        <w:rPr>
          <w:rFonts w:hint="default" w:ascii="Times New Roman" w:hAnsi="Times New Roman" w:eastAsia="楷体" w:cs="Times New Roman"/>
          <w:b/>
          <w:bCs/>
          <w:color w:val="auto"/>
          <w:sz w:val="32"/>
          <w:szCs w:val="32"/>
        </w:rPr>
        <w:t>加快推进卫生项目建设。</w:t>
      </w:r>
    </w:p>
    <w:p w14:paraId="716BD2A7">
      <w:pPr>
        <w:widowControl w:val="0"/>
        <w:pBdr>
          <w:bottom w:val="single" w:color="FFFFFF" w:sz="4" w:space="31"/>
        </w:pBdr>
        <w:tabs>
          <w:tab w:val="left" w:pos="1440"/>
        </w:tabs>
        <w:wordWrap/>
        <w:adjustRightInd w:val="0"/>
        <w:snapToGrid w:val="0"/>
        <w:spacing w:before="0" w:beforeAutospacing="0" w:after="0" w:afterAutospacing="0" w:line="560" w:lineRule="exact"/>
        <w:ind w:left="0" w:leftChars="0" w:right="0" w:firstLine="640" w:firstLineChars="200"/>
        <w:outlineLvl w:val="9"/>
        <w:rPr>
          <w:rFonts w:hint="default" w:ascii="Times New Roman" w:hAnsi="Times New Roman" w:eastAsia="仿宋" w:cs="Times New Roman"/>
          <w:color w:val="auto"/>
          <w:sz w:val="32"/>
          <w:szCs w:val="32"/>
          <w:lang w:val="en-US" w:eastAsia="zh-CN"/>
        </w:rPr>
      </w:pPr>
      <w:r>
        <w:rPr>
          <w:rFonts w:hint="eastAsia" w:ascii="仿宋" w:hAnsi="仿宋" w:eastAsia="仿宋" w:cs="仿宋"/>
          <w:sz w:val="32"/>
          <w:szCs w:val="32"/>
          <w:lang w:eastAsia="zh-CN"/>
        </w:rPr>
        <w:t>加强与省级部门对接，积极跟进</w:t>
      </w:r>
      <w:r>
        <w:rPr>
          <w:rFonts w:hint="eastAsia" w:ascii="仿宋" w:hAnsi="仿宋" w:eastAsia="仿宋" w:cs="仿宋"/>
          <w:sz w:val="32"/>
          <w:szCs w:val="32"/>
        </w:rPr>
        <w:t>绥宁县公办医疗卫生机构医养结合服务能力建设</w:t>
      </w:r>
      <w:r>
        <w:rPr>
          <w:rFonts w:hint="eastAsia" w:ascii="仿宋" w:hAnsi="仿宋" w:eastAsia="仿宋" w:cs="仿宋"/>
          <w:sz w:val="32"/>
          <w:szCs w:val="32"/>
          <w:lang w:eastAsia="zh-CN"/>
        </w:rPr>
        <w:t>、</w:t>
      </w:r>
      <w:r>
        <w:rPr>
          <w:rFonts w:hint="eastAsia" w:ascii="仿宋" w:hAnsi="仿宋" w:eastAsia="仿宋" w:cs="仿宋"/>
          <w:sz w:val="32"/>
          <w:szCs w:val="32"/>
        </w:rPr>
        <w:t>绥宁县托育综合服务中心建设</w:t>
      </w:r>
      <w:r>
        <w:rPr>
          <w:rFonts w:hint="eastAsia" w:ascii="仿宋" w:hAnsi="仿宋" w:eastAsia="仿宋" w:cs="仿宋"/>
          <w:sz w:val="32"/>
          <w:szCs w:val="32"/>
          <w:lang w:eastAsia="zh-CN"/>
        </w:rPr>
        <w:t>、</w:t>
      </w:r>
      <w:r>
        <w:rPr>
          <w:rFonts w:hint="eastAsia" w:ascii="仿宋" w:hAnsi="仿宋" w:eastAsia="仿宋" w:cs="仿宋"/>
          <w:sz w:val="32"/>
          <w:szCs w:val="32"/>
        </w:rPr>
        <w:t>绥宁县疾病预防控制中心标准化建设</w:t>
      </w:r>
      <w:r>
        <w:rPr>
          <w:rFonts w:hint="eastAsia" w:ascii="仿宋" w:hAnsi="仿宋" w:eastAsia="仿宋" w:cs="仿宋"/>
          <w:sz w:val="32"/>
          <w:szCs w:val="32"/>
          <w:lang w:eastAsia="zh-CN"/>
        </w:rPr>
        <w:t>、</w:t>
      </w:r>
      <w:r>
        <w:rPr>
          <w:rFonts w:hint="eastAsia" w:ascii="仿宋" w:hAnsi="仿宋" w:eastAsia="仿宋" w:cs="仿宋"/>
          <w:sz w:val="32"/>
          <w:szCs w:val="32"/>
        </w:rPr>
        <w:t>绥宁县医疗机构病房改造提升建设</w:t>
      </w:r>
      <w:r>
        <w:rPr>
          <w:rFonts w:hint="eastAsia" w:ascii="仿宋" w:hAnsi="仿宋" w:eastAsia="仿宋" w:cs="仿宋"/>
          <w:sz w:val="32"/>
          <w:szCs w:val="32"/>
          <w:lang w:eastAsia="zh-CN"/>
        </w:rPr>
        <w:t>、</w:t>
      </w:r>
      <w:r>
        <w:rPr>
          <w:rFonts w:hint="eastAsia" w:ascii="仿宋" w:hAnsi="仿宋" w:eastAsia="仿宋" w:cs="仿宋"/>
          <w:sz w:val="32"/>
          <w:szCs w:val="32"/>
        </w:rPr>
        <w:t>绥宁县卫生健康领域医疗设备更新</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5个项目建设进程</w:t>
      </w:r>
      <w:r>
        <w:rPr>
          <w:rFonts w:hint="eastAsia" w:ascii="仿宋" w:hAnsi="仿宋" w:eastAsia="仿宋" w:cs="仿宋"/>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加快推进人民医院</w:t>
      </w:r>
      <w:r>
        <w:rPr>
          <w:rFonts w:hint="default" w:ascii="Times New Roman" w:hAnsi="Times New Roman" w:eastAsia="仿宋" w:cs="Times New Roman"/>
          <w:color w:val="auto"/>
          <w:sz w:val="32"/>
          <w:szCs w:val="32"/>
          <w:lang w:val="en-US" w:eastAsia="zh-CN"/>
        </w:rPr>
        <w:t>内科综合楼工程项目建设</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color w:val="auto"/>
          <w:sz w:val="32"/>
          <w:szCs w:val="32"/>
          <w:lang w:val="en-US" w:eastAsia="zh-CN"/>
        </w:rPr>
        <w:t xml:space="preserve">  </w:t>
      </w:r>
    </w:p>
    <w:p w14:paraId="51E963CE">
      <w:pPr>
        <w:widowControl w:val="0"/>
        <w:numPr>
          <w:ilvl w:val="0"/>
          <w:numId w:val="0"/>
        </w:numPr>
        <w:pBdr>
          <w:bottom w:val="single" w:color="FFFFFF" w:sz="4" w:space="31"/>
        </w:pBdr>
        <w:tabs>
          <w:tab w:val="left" w:pos="1440"/>
        </w:tabs>
        <w:wordWrap/>
        <w:adjustRightInd w:val="0"/>
        <w:snapToGrid w:val="0"/>
        <w:spacing w:before="0" w:beforeAutospacing="0" w:after="0" w:afterAutospacing="0" w:line="560" w:lineRule="exact"/>
        <w:ind w:left="0" w:leftChars="0" w:right="0" w:firstLine="643" w:firstLineChars="200"/>
        <w:contextualSpacing/>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楷体" w:cs="Times New Roman"/>
          <w:b/>
          <w:bCs/>
          <w:color w:val="auto"/>
          <w:sz w:val="32"/>
          <w:szCs w:val="32"/>
          <w:lang w:eastAsia="zh-CN"/>
        </w:rPr>
        <w:t>（二）强队伍，推动</w:t>
      </w:r>
      <w:r>
        <w:rPr>
          <w:rFonts w:hint="default" w:ascii="Times New Roman" w:hAnsi="Times New Roman" w:eastAsia="楷体" w:cs="Times New Roman"/>
          <w:b/>
          <w:bCs/>
          <w:color w:val="auto"/>
          <w:sz w:val="32"/>
          <w:szCs w:val="32"/>
        </w:rPr>
        <w:t>卫生事业</w:t>
      </w:r>
      <w:r>
        <w:rPr>
          <w:rFonts w:hint="default" w:ascii="Times New Roman" w:hAnsi="Times New Roman" w:eastAsia="楷体" w:cs="Times New Roman"/>
          <w:b/>
          <w:bCs/>
          <w:color w:val="auto"/>
          <w:sz w:val="32"/>
          <w:szCs w:val="32"/>
          <w:lang w:eastAsia="zh-CN"/>
        </w:rPr>
        <w:t>人才队伍建设</w:t>
      </w:r>
      <w:r>
        <w:rPr>
          <w:rFonts w:hint="default" w:ascii="Times New Roman" w:hAnsi="Times New Roman" w:eastAsia="楷体" w:cs="Times New Roman"/>
          <w:b/>
          <w:bCs/>
          <w:color w:val="auto"/>
          <w:sz w:val="32"/>
          <w:szCs w:val="32"/>
        </w:rPr>
        <w:t>。</w:t>
      </w:r>
      <w:r>
        <w:rPr>
          <w:rFonts w:hint="default" w:ascii="Times New Roman" w:hAnsi="Times New Roman" w:eastAsia="仿宋_GB2312" w:cs="Times New Roman"/>
          <w:color w:val="auto"/>
          <w:sz w:val="32"/>
          <w:szCs w:val="32"/>
        </w:rPr>
        <w:t>积极拓展将后备骨干力量外派至上级机构跟班学习、先进县市同类医院交流挂职。通过挂职交流，达到拓宽视野、提升能力、增强本领的目的。同时，积极争取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五类人员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比选范围不仅仅局限于中心卫生院</w:t>
      </w:r>
      <w:r>
        <w:rPr>
          <w:rFonts w:hint="eastAsia" w:ascii="Times New Roman" w:hAnsi="Times New Roman" w:eastAsia="仿宋_GB2312" w:cs="Times New Roman"/>
          <w:color w:val="auto"/>
          <w:sz w:val="32"/>
          <w:szCs w:val="32"/>
          <w:lang w:eastAsia="zh-CN"/>
        </w:rPr>
        <w:t>。</w:t>
      </w:r>
    </w:p>
    <w:p w14:paraId="4BA0BA37">
      <w:pPr>
        <w:widowControl w:val="0"/>
        <w:numPr>
          <w:ilvl w:val="0"/>
          <w:numId w:val="0"/>
        </w:numPr>
        <w:pBdr>
          <w:bottom w:val="single" w:color="FFFFFF" w:sz="4" w:space="31"/>
        </w:pBdr>
        <w:tabs>
          <w:tab w:val="left" w:pos="1440"/>
        </w:tabs>
        <w:wordWrap/>
        <w:adjustRightInd w:val="0"/>
        <w:snapToGrid w:val="0"/>
        <w:spacing w:before="0" w:beforeAutospacing="0" w:after="0" w:afterAutospacing="0" w:line="560" w:lineRule="exact"/>
        <w:ind w:left="0" w:leftChars="0" w:right="0" w:firstLine="643" w:firstLineChars="200"/>
        <w:contextualSpacing/>
        <w:textAlignment w:val="auto"/>
        <w:outlineLvl w:val="9"/>
        <w:rPr>
          <w:rFonts w:hint="eastAsia" w:ascii="仿宋" w:hAnsi="仿宋" w:eastAsia="仿宋" w:cs="仿宋"/>
          <w:color w:val="auto"/>
          <w:sz w:val="32"/>
          <w:szCs w:val="32"/>
          <w:lang w:val="en-US" w:eastAsia="zh-CN"/>
        </w:rPr>
      </w:pPr>
      <w:r>
        <w:rPr>
          <w:rFonts w:hint="default" w:ascii="Times New Roman" w:hAnsi="Times New Roman" w:eastAsia="楷体_GB2312" w:cs="Times New Roman"/>
          <w:b/>
          <w:bCs/>
          <w:color w:val="auto"/>
          <w:sz w:val="32"/>
          <w:szCs w:val="32"/>
          <w:lang w:eastAsia="zh-CN"/>
        </w:rPr>
        <w:t>（三）强业务，</w:t>
      </w:r>
      <w:r>
        <w:rPr>
          <w:rFonts w:hint="default" w:ascii="Times New Roman" w:hAnsi="Times New Roman" w:eastAsia="楷体_GB2312" w:cs="Times New Roman"/>
          <w:b/>
          <w:bCs/>
          <w:color w:val="auto"/>
          <w:sz w:val="32"/>
          <w:szCs w:val="32"/>
        </w:rPr>
        <w:t>持续</w:t>
      </w:r>
      <w:r>
        <w:rPr>
          <w:rFonts w:hint="default" w:ascii="Times New Roman" w:hAnsi="Times New Roman" w:eastAsia="楷体_GB2312" w:cs="Times New Roman"/>
          <w:b/>
          <w:bCs/>
          <w:color w:val="auto"/>
          <w:sz w:val="32"/>
          <w:szCs w:val="32"/>
          <w:lang w:eastAsia="zh-CN"/>
        </w:rPr>
        <w:t>推动全县医疗卫生事业发展</w:t>
      </w:r>
      <w:r>
        <w:rPr>
          <w:rFonts w:hint="default" w:ascii="Times New Roman" w:hAnsi="Times New Roman" w:eastAsia="楷体_GB2312" w:cs="Times New Roman"/>
          <w:b/>
          <w:bCs/>
          <w:color w:val="auto"/>
          <w:sz w:val="32"/>
          <w:szCs w:val="32"/>
        </w:rPr>
        <w:t>。</w:t>
      </w:r>
      <w:r>
        <w:rPr>
          <w:rFonts w:hint="default" w:ascii="Times New Roman" w:hAnsi="Times New Roman" w:eastAsia="仿宋_GB2312" w:cs="Times New Roman"/>
          <w:color w:val="auto"/>
          <w:sz w:val="32"/>
          <w:szCs w:val="32"/>
        </w:rPr>
        <w:t>着力抓好学科能力建设，全力推动县人民医院创建三级医院，切实发挥县级医院龙头作用。</w:t>
      </w:r>
      <w:r>
        <w:rPr>
          <w:rFonts w:hint="eastAsia" w:ascii="仿宋" w:hAnsi="仿宋" w:eastAsia="仿宋" w:cs="仿宋"/>
          <w:color w:val="auto"/>
          <w:sz w:val="32"/>
          <w:szCs w:val="32"/>
        </w:rPr>
        <w:t>加强基层医疗能力建设，通过找差距、补短板</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制定详细发展规划。提高基层整体综合业务能力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加强医务人员规范化、标准化培训管理，提高服务质量，满足患者求医需求和体验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 xml:space="preserve">     </w:t>
      </w:r>
    </w:p>
    <w:p w14:paraId="3C4160BB">
      <w:pPr>
        <w:widowControl w:val="0"/>
        <w:numPr>
          <w:ilvl w:val="0"/>
          <w:numId w:val="0"/>
        </w:numPr>
        <w:pBdr>
          <w:bottom w:val="single" w:color="FFFFFF" w:sz="4" w:space="31"/>
        </w:pBdr>
        <w:tabs>
          <w:tab w:val="left" w:pos="1440"/>
        </w:tabs>
        <w:wordWrap/>
        <w:adjustRightInd w:val="0"/>
        <w:snapToGrid w:val="0"/>
        <w:spacing w:before="0" w:beforeAutospacing="0" w:after="0" w:afterAutospacing="0" w:line="560" w:lineRule="exact"/>
        <w:ind w:left="0" w:leftChars="0" w:right="0" w:firstLine="643" w:firstLineChars="200"/>
        <w:contextualSpacing/>
        <w:textAlignment w:val="auto"/>
        <w:outlineLvl w:val="9"/>
        <w:rPr>
          <w:rFonts w:hint="eastAsia" w:ascii="仿宋" w:hAnsi="仿宋" w:eastAsia="仿宋" w:cs="仿宋"/>
          <w:b w:val="0"/>
          <w:bCs w:val="0"/>
          <w:color w:val="auto"/>
          <w:sz w:val="32"/>
          <w:szCs w:val="32"/>
        </w:rPr>
      </w:pPr>
      <w:r>
        <w:rPr>
          <w:rFonts w:hint="default" w:ascii="Times New Roman" w:hAnsi="Times New Roman" w:eastAsia="楷体_GB2312" w:cs="Times New Roman"/>
          <w:b/>
          <w:bCs/>
          <w:color w:val="auto"/>
          <w:sz w:val="32"/>
          <w:szCs w:val="32"/>
          <w:lang w:eastAsia="zh-CN"/>
        </w:rPr>
        <w:t>（四）</w:t>
      </w:r>
      <w:r>
        <w:rPr>
          <w:rFonts w:hint="eastAsia" w:ascii="Times New Roman" w:hAnsi="Times New Roman" w:eastAsia="楷体_GB2312" w:cs="Times New Roman"/>
          <w:b/>
          <w:bCs/>
          <w:color w:val="auto"/>
          <w:sz w:val="32"/>
          <w:szCs w:val="32"/>
          <w:lang w:eastAsia="zh-CN"/>
        </w:rPr>
        <w:t>优</w:t>
      </w:r>
      <w:r>
        <w:rPr>
          <w:rFonts w:hint="default" w:ascii="Times New Roman" w:hAnsi="Times New Roman" w:eastAsia="楷体_GB2312" w:cs="Times New Roman"/>
          <w:b/>
          <w:bCs/>
          <w:color w:val="auto"/>
          <w:sz w:val="32"/>
          <w:szCs w:val="32"/>
          <w:lang w:eastAsia="zh-CN"/>
        </w:rPr>
        <w:t>资源，持续优化县域内医疗资源配置</w:t>
      </w:r>
      <w:r>
        <w:rPr>
          <w:rFonts w:hint="default" w:ascii="Times New Roman" w:hAnsi="Times New Roman" w:eastAsia="楷体_GB2312" w:cs="Times New Roman"/>
          <w:b/>
          <w:bCs/>
          <w:color w:val="auto"/>
          <w:sz w:val="32"/>
          <w:szCs w:val="32"/>
        </w:rPr>
        <w:t>。</w:t>
      </w:r>
      <w:r>
        <w:rPr>
          <w:rFonts w:hint="eastAsia" w:ascii="仿宋" w:hAnsi="仿宋" w:eastAsia="仿宋" w:cs="仿宋"/>
          <w:b w:val="0"/>
          <w:bCs w:val="0"/>
          <w:color w:val="auto"/>
          <w:sz w:val="32"/>
          <w:szCs w:val="32"/>
          <w:lang w:eastAsia="zh-CN"/>
        </w:rPr>
        <w:t>强力推进县域紧密型医共体建设，完善</w:t>
      </w:r>
      <w:r>
        <w:rPr>
          <w:rFonts w:hint="eastAsia" w:ascii="仿宋" w:hAnsi="仿宋" w:eastAsia="仿宋" w:cs="仿宋"/>
          <w:b w:val="0"/>
          <w:bCs w:val="0"/>
          <w:color w:val="auto"/>
          <w:sz w:val="32"/>
          <w:szCs w:val="32"/>
          <w:lang w:val="en-US" w:eastAsia="zh-CN"/>
        </w:rPr>
        <w:t>工作方案，加强部门协调联动。</w:t>
      </w:r>
      <w:r>
        <w:rPr>
          <w:rFonts w:hint="eastAsia" w:ascii="仿宋" w:hAnsi="仿宋" w:eastAsia="仿宋" w:cs="仿宋"/>
          <w:b w:val="0"/>
          <w:bCs w:val="0"/>
          <w:color w:val="auto"/>
          <w:sz w:val="32"/>
          <w:szCs w:val="32"/>
        </w:rPr>
        <w:t>乡镇卫生院在维持当前布局前提下，</w:t>
      </w:r>
      <w:r>
        <w:rPr>
          <w:rFonts w:hint="eastAsia" w:ascii="仿宋" w:hAnsi="仿宋" w:eastAsia="仿宋" w:cs="仿宋"/>
          <w:b w:val="0"/>
          <w:bCs w:val="0"/>
          <w:color w:val="auto"/>
          <w:sz w:val="32"/>
          <w:szCs w:val="32"/>
          <w:lang w:eastAsia="zh-CN"/>
        </w:rPr>
        <w:t>逐步实现行政后勤、人力资源、财务、业务、用药等统一管理。</w:t>
      </w:r>
      <w:r>
        <w:rPr>
          <w:rFonts w:hint="eastAsia" w:ascii="仿宋" w:hAnsi="仿宋" w:eastAsia="仿宋" w:cs="仿宋"/>
          <w:color w:val="auto"/>
          <w:sz w:val="32"/>
          <w:szCs w:val="32"/>
        </w:rPr>
        <w:t>促进优质医疗资源扩容和下沉，</w:t>
      </w:r>
      <w:r>
        <w:rPr>
          <w:rFonts w:hint="eastAsia" w:ascii="仿宋" w:hAnsi="仿宋" w:eastAsia="仿宋" w:cs="仿宋"/>
          <w:color w:val="auto"/>
          <w:w w:val="100"/>
          <w:sz w:val="32"/>
          <w:szCs w:val="32"/>
        </w:rPr>
        <w:t>落实好县人民医院与寨市、关峡等乡镇卫</w:t>
      </w:r>
      <w:r>
        <w:rPr>
          <w:rFonts w:hint="eastAsia" w:ascii="仿宋" w:hAnsi="仿宋" w:eastAsia="仿宋" w:cs="仿宋"/>
          <w:color w:val="auto"/>
          <w:w w:val="100"/>
          <w:sz w:val="30"/>
          <w:szCs w:val="30"/>
        </w:rPr>
        <w:t>生院的分级诊疗模式</w:t>
      </w:r>
      <w:r>
        <w:rPr>
          <w:rFonts w:hint="eastAsia" w:ascii="仿宋" w:hAnsi="仿宋" w:eastAsia="仿宋" w:cs="仿宋"/>
          <w:color w:val="auto"/>
          <w:w w:val="100"/>
          <w:sz w:val="30"/>
          <w:szCs w:val="30"/>
          <w:lang w:eastAsia="zh-CN"/>
        </w:rPr>
        <w:t>。</w:t>
      </w:r>
      <w:r>
        <w:rPr>
          <w:rFonts w:hint="eastAsia" w:ascii="仿宋" w:hAnsi="仿宋" w:eastAsia="仿宋" w:cs="仿宋"/>
          <w:b w:val="0"/>
          <w:bCs w:val="0"/>
          <w:color w:val="auto"/>
          <w:sz w:val="32"/>
          <w:szCs w:val="32"/>
          <w:lang w:eastAsia="zh-CN"/>
        </w:rPr>
        <w:t>加快</w:t>
      </w:r>
      <w:r>
        <w:rPr>
          <w:rFonts w:hint="eastAsia" w:ascii="仿宋" w:hAnsi="仿宋" w:eastAsia="仿宋" w:cs="仿宋"/>
          <w:b w:val="0"/>
          <w:bCs w:val="0"/>
          <w:color w:val="auto"/>
          <w:sz w:val="32"/>
          <w:szCs w:val="32"/>
        </w:rPr>
        <w:t>推进武阳医疗次中心建设</w:t>
      </w:r>
      <w:r>
        <w:rPr>
          <w:rFonts w:hint="eastAsia" w:ascii="仿宋" w:hAnsi="仿宋" w:eastAsia="仿宋" w:cs="仿宋"/>
          <w:b w:val="0"/>
          <w:bCs w:val="0"/>
          <w:color w:val="auto"/>
          <w:sz w:val="32"/>
          <w:szCs w:val="32"/>
          <w:lang w:eastAsia="zh-CN"/>
        </w:rPr>
        <w:t>，预计</w:t>
      </w:r>
      <w:r>
        <w:rPr>
          <w:rFonts w:hint="eastAsia" w:ascii="仿宋" w:hAnsi="仿宋" w:eastAsia="仿宋" w:cs="仿宋"/>
          <w:b w:val="0"/>
          <w:bCs w:val="0"/>
          <w:color w:val="auto"/>
          <w:spacing w:val="0"/>
          <w:sz w:val="32"/>
          <w:szCs w:val="32"/>
          <w:lang w:val="en-US" w:eastAsia="zh-CN"/>
        </w:rPr>
        <w:t>将于2025年3月份完成</w:t>
      </w:r>
      <w:r>
        <w:rPr>
          <w:rFonts w:hint="eastAsia" w:ascii="仿宋" w:hAnsi="仿宋" w:eastAsia="仿宋" w:cs="仿宋"/>
          <w:b w:val="0"/>
          <w:bCs w:val="0"/>
          <w:color w:val="auto"/>
          <w:sz w:val="32"/>
          <w:szCs w:val="32"/>
        </w:rPr>
        <w:t>。</w:t>
      </w:r>
    </w:p>
    <w:p w14:paraId="6DF55435">
      <w:pPr>
        <w:widowControl w:val="0"/>
        <w:numPr>
          <w:ilvl w:val="0"/>
          <w:numId w:val="0"/>
        </w:numPr>
        <w:pBdr>
          <w:bottom w:val="single" w:color="FFFFFF" w:sz="4" w:space="31"/>
        </w:pBdr>
        <w:tabs>
          <w:tab w:val="left" w:pos="1440"/>
        </w:tabs>
        <w:wordWrap/>
        <w:adjustRightInd w:val="0"/>
        <w:snapToGrid w:val="0"/>
        <w:spacing w:before="0" w:beforeAutospacing="0" w:after="0" w:afterAutospacing="0" w:line="560" w:lineRule="exact"/>
        <w:ind w:left="0" w:leftChars="0" w:right="0" w:firstLine="643" w:firstLineChars="200"/>
        <w:contextualSpacing/>
        <w:textAlignment w:val="auto"/>
        <w:outlineLvl w:val="9"/>
        <w:rPr>
          <w:rFonts w:hint="eastAsia" w:ascii="仿宋" w:hAnsi="仿宋" w:eastAsia="仿宋" w:cs="仿宋"/>
          <w:bCs/>
          <w:color w:val="auto"/>
          <w:sz w:val="32"/>
          <w:szCs w:val="32"/>
        </w:rPr>
      </w:pPr>
      <w:r>
        <w:rPr>
          <w:rFonts w:hint="default" w:ascii="Times New Roman" w:hAnsi="Times New Roman" w:eastAsia="楷体" w:cs="Times New Roman"/>
          <w:b/>
          <w:color w:val="auto"/>
          <w:sz w:val="32"/>
          <w:szCs w:val="32"/>
          <w:lang w:eastAsia="zh-CN"/>
        </w:rPr>
        <w:t>（五）促创新，持续推动</w:t>
      </w:r>
      <w:r>
        <w:rPr>
          <w:rFonts w:hint="default" w:ascii="Times New Roman" w:hAnsi="Times New Roman" w:eastAsia="楷体" w:cs="Times New Roman"/>
          <w:b/>
          <w:color w:val="auto"/>
          <w:sz w:val="32"/>
          <w:szCs w:val="32"/>
        </w:rPr>
        <w:t>中医药传承创新发展。</w:t>
      </w:r>
      <w:r>
        <w:rPr>
          <w:rFonts w:hint="eastAsia" w:ascii="仿宋" w:hAnsi="仿宋" w:eastAsia="仿宋" w:cs="仿宋"/>
          <w:bCs/>
          <w:color w:val="auto"/>
          <w:sz w:val="32"/>
          <w:szCs w:val="32"/>
        </w:rPr>
        <w:t>大力推进中医药重点专科建设</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充分发挥中医药医疗优势。</w:t>
      </w:r>
      <w:r>
        <w:rPr>
          <w:rFonts w:hint="eastAsia" w:ascii="仿宋" w:hAnsi="仿宋" w:eastAsia="仿宋" w:cs="仿宋"/>
          <w:color w:val="auto"/>
          <w:sz w:val="32"/>
          <w:szCs w:val="32"/>
        </w:rPr>
        <w:t>重点打造针灸康复科、骨伤科、肺病科、心血管内科、中医肿瘤科和肛肠科等特色专科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利用国医馆场地有利条件建设“医养结合中心”</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“治未病体检中心”</w:t>
      </w:r>
      <w:r>
        <w:rPr>
          <w:rFonts w:hint="eastAsia" w:ascii="仿宋" w:hAnsi="仿宋" w:eastAsia="仿宋" w:cs="仿宋"/>
          <w:color w:val="auto"/>
          <w:sz w:val="32"/>
          <w:szCs w:val="32"/>
          <w:lang w:eastAsia="zh-CN"/>
        </w:rPr>
        <w:t>。</w:t>
      </w:r>
      <w:r>
        <w:rPr>
          <w:rFonts w:hint="eastAsia" w:ascii="仿宋" w:hAnsi="仿宋" w:eastAsia="仿宋" w:cs="仿宋"/>
          <w:bCs/>
          <w:color w:val="auto"/>
          <w:sz w:val="32"/>
          <w:szCs w:val="32"/>
        </w:rPr>
        <w:t>积极开展中医药人才培养。</w:t>
      </w:r>
    </w:p>
    <w:p w14:paraId="6FFB710D">
      <w:pPr>
        <w:widowControl w:val="0"/>
        <w:numPr>
          <w:ilvl w:val="0"/>
          <w:numId w:val="0"/>
        </w:numPr>
        <w:pBdr>
          <w:bottom w:val="single" w:color="FFFFFF" w:sz="4" w:space="31"/>
        </w:pBdr>
        <w:tabs>
          <w:tab w:val="left" w:pos="1440"/>
        </w:tabs>
        <w:wordWrap/>
        <w:adjustRightInd w:val="0"/>
        <w:snapToGrid w:val="0"/>
        <w:spacing w:before="0" w:beforeAutospacing="0" w:after="0" w:afterAutospacing="0" w:line="560" w:lineRule="exact"/>
        <w:ind w:left="0" w:leftChars="0" w:right="0" w:firstLine="643" w:firstLineChars="200"/>
        <w:contextualSpacing/>
        <w:textAlignment w:val="auto"/>
        <w:outlineLvl w:val="9"/>
        <w:rPr>
          <w:rFonts w:hint="default" w:ascii="Times New Roman" w:hAnsi="Times New Roman" w:eastAsia="仿宋" w:cs="Times New Roman"/>
          <w:bCs/>
          <w:color w:val="auto"/>
          <w:sz w:val="32"/>
          <w:szCs w:val="32"/>
        </w:rPr>
      </w:pPr>
      <w:r>
        <w:rPr>
          <w:rFonts w:hint="default" w:ascii="Times New Roman" w:hAnsi="Times New Roman" w:eastAsia="楷体" w:cs="Times New Roman"/>
          <w:b/>
          <w:color w:val="auto"/>
          <w:sz w:val="32"/>
          <w:szCs w:val="32"/>
          <w:lang w:eastAsia="zh-CN"/>
        </w:rPr>
        <w:t>（六）稳推进，</w:t>
      </w:r>
      <w:r>
        <w:rPr>
          <w:rFonts w:hint="default" w:ascii="Times New Roman" w:hAnsi="Times New Roman" w:eastAsia="楷体" w:cs="Times New Roman"/>
          <w:b/>
          <w:color w:val="auto"/>
          <w:sz w:val="32"/>
          <w:szCs w:val="32"/>
        </w:rPr>
        <w:t>深入</w:t>
      </w:r>
      <w:r>
        <w:rPr>
          <w:rFonts w:hint="default" w:ascii="Times New Roman" w:hAnsi="Times New Roman" w:eastAsia="楷体" w:cs="Times New Roman"/>
          <w:b/>
          <w:color w:val="auto"/>
          <w:sz w:val="32"/>
          <w:szCs w:val="32"/>
          <w:lang w:eastAsia="zh-CN"/>
        </w:rPr>
        <w:t>开展</w:t>
      </w:r>
      <w:r>
        <w:rPr>
          <w:rFonts w:hint="default" w:ascii="Times New Roman" w:hAnsi="Times New Roman" w:eastAsia="楷体" w:cs="Times New Roman"/>
          <w:b/>
          <w:color w:val="auto"/>
          <w:sz w:val="32"/>
          <w:szCs w:val="32"/>
        </w:rPr>
        <w:t>健康绥宁建设。</w:t>
      </w:r>
      <w:r>
        <w:rPr>
          <w:rFonts w:hint="eastAsia" w:ascii="Times New Roman" w:hAnsi="Times New Roman" w:eastAsia="仿宋" w:cs="Times New Roman"/>
          <w:color w:val="auto"/>
          <w:sz w:val="32"/>
          <w:szCs w:val="32"/>
          <w:lang w:eastAsia="zh-CN"/>
        </w:rPr>
        <w:t>积极推进</w:t>
      </w:r>
      <w:r>
        <w:rPr>
          <w:rFonts w:hint="eastAsia" w:ascii="仿宋" w:hAnsi="仿宋" w:eastAsia="仿宋"/>
          <w:color w:val="auto"/>
          <w:sz w:val="32"/>
          <w:szCs w:val="32"/>
          <w:lang w:eastAsia="zh-CN"/>
        </w:rPr>
        <w:t>寨市乡创建国家卫生乡镇、</w:t>
      </w:r>
      <w:r>
        <w:rPr>
          <w:rFonts w:hint="eastAsia" w:ascii="仿宋" w:hAnsi="仿宋" w:eastAsia="仿宋" w:cs="仿宋"/>
          <w:i w:val="0"/>
          <w:iCs w:val="0"/>
          <w:caps w:val="0"/>
          <w:color w:val="auto"/>
          <w:spacing w:val="0"/>
          <w:sz w:val="32"/>
          <w:szCs w:val="32"/>
          <w:lang w:val="en-US" w:eastAsia="zh-CN"/>
        </w:rPr>
        <w:t>乐安铺乡创建省卫生乡镇，完成省爱卫会的抽检工作</w:t>
      </w:r>
      <w:r>
        <w:rPr>
          <w:rFonts w:hint="eastAsia" w:ascii="仿宋" w:hAnsi="仿宋" w:eastAsia="仿宋" w:cs="仿宋"/>
          <w:color w:val="auto"/>
          <w:sz w:val="32"/>
          <w:szCs w:val="32"/>
          <w:lang w:val="en-US" w:eastAsia="zh-CN"/>
        </w:rPr>
        <w:t>。</w:t>
      </w:r>
      <w:r>
        <w:rPr>
          <w:rFonts w:hint="default" w:ascii="Times New Roman" w:hAnsi="Times New Roman" w:eastAsia="仿宋" w:cs="Times New Roman"/>
          <w:color w:val="auto"/>
          <w:sz w:val="32"/>
          <w:szCs w:val="32"/>
        </w:rPr>
        <w:t>积极配合参与城乡环境卫生整洁行动，落实病媒生物防治措施。积极开展健康</w:t>
      </w:r>
      <w:r>
        <w:rPr>
          <w:rFonts w:hint="default" w:ascii="Times New Roman" w:hAnsi="Times New Roman" w:eastAsia="仿宋" w:cs="Times New Roman"/>
          <w:bCs/>
          <w:color w:val="auto"/>
          <w:sz w:val="32"/>
          <w:szCs w:val="32"/>
        </w:rPr>
        <w:t>知识普及、全民健身、控烟等专项行动，</w:t>
      </w:r>
      <w:r>
        <w:rPr>
          <w:rFonts w:hint="default" w:ascii="Times New Roman" w:hAnsi="Times New Roman" w:eastAsia="仿宋" w:cs="Times New Roman"/>
          <w:color w:val="auto"/>
          <w:sz w:val="32"/>
          <w:szCs w:val="32"/>
        </w:rPr>
        <w:t>大力推进无烟党政机关建设</w:t>
      </w:r>
      <w:r>
        <w:rPr>
          <w:rFonts w:hint="default" w:ascii="Times New Roman" w:hAnsi="Times New Roman" w:eastAsia="仿宋" w:cs="Times New Roman"/>
          <w:bCs/>
          <w:color w:val="auto"/>
          <w:sz w:val="32"/>
          <w:szCs w:val="32"/>
        </w:rPr>
        <w:t>。</w:t>
      </w:r>
    </w:p>
    <w:p w14:paraId="5A49E409">
      <w:pPr>
        <w:widowControl w:val="0"/>
        <w:numPr>
          <w:ilvl w:val="0"/>
          <w:numId w:val="0"/>
        </w:numPr>
        <w:pBdr>
          <w:bottom w:val="single" w:color="FFFFFF" w:sz="4" w:space="31"/>
        </w:pBdr>
        <w:tabs>
          <w:tab w:val="left" w:pos="1440"/>
        </w:tabs>
        <w:wordWrap/>
        <w:adjustRightInd w:val="0"/>
        <w:snapToGrid w:val="0"/>
        <w:spacing w:before="0" w:beforeAutospacing="0" w:after="0" w:afterAutospacing="0" w:line="560" w:lineRule="exact"/>
        <w:ind w:left="0" w:leftChars="0" w:right="0" w:firstLine="643" w:firstLineChars="200"/>
        <w:contextualSpacing/>
        <w:textAlignment w:val="auto"/>
        <w:outlineLvl w:val="9"/>
        <w:rPr>
          <w:rFonts w:hint="default" w:ascii="Times New Roman" w:hAnsi="Times New Roman" w:eastAsia="仿宋" w:cs="Times New Roman"/>
          <w:color w:val="auto"/>
          <w:sz w:val="32"/>
          <w:szCs w:val="32"/>
        </w:rPr>
      </w:pPr>
      <w:r>
        <w:rPr>
          <w:rFonts w:hint="default" w:ascii="Times New Roman" w:hAnsi="Times New Roman" w:eastAsia="楷体" w:cs="Times New Roman"/>
          <w:b/>
          <w:color w:val="auto"/>
          <w:sz w:val="32"/>
          <w:szCs w:val="32"/>
          <w:lang w:eastAsia="zh-CN"/>
        </w:rPr>
        <w:t>（七）强保障，</w:t>
      </w:r>
      <w:r>
        <w:rPr>
          <w:rFonts w:hint="default" w:ascii="Times New Roman" w:hAnsi="Times New Roman" w:eastAsia="楷体" w:cs="Times New Roman"/>
          <w:b/>
          <w:color w:val="auto"/>
          <w:sz w:val="32"/>
          <w:szCs w:val="32"/>
        </w:rPr>
        <w:t>统筹推进重点人群健康保障。</w:t>
      </w:r>
      <w:r>
        <w:rPr>
          <w:rFonts w:hint="default" w:ascii="Times New Roman" w:hAnsi="Times New Roman" w:eastAsia="仿宋" w:cs="Times New Roman"/>
          <w:bCs/>
          <w:color w:val="auto"/>
          <w:sz w:val="32"/>
          <w:szCs w:val="32"/>
        </w:rPr>
        <w:t>提升母婴健康保障水平</w:t>
      </w:r>
      <w:r>
        <w:rPr>
          <w:rFonts w:hint="eastAsia" w:ascii="Times New Roman" w:hAnsi="Times New Roman" w:eastAsia="仿宋" w:cs="Times New Roman"/>
          <w:bCs/>
          <w:color w:val="auto"/>
          <w:sz w:val="32"/>
          <w:szCs w:val="32"/>
          <w:lang w:eastAsia="zh-CN"/>
        </w:rPr>
        <w:t>，</w:t>
      </w:r>
      <w:r>
        <w:rPr>
          <w:rFonts w:hint="default" w:ascii="Times New Roman" w:hAnsi="Times New Roman" w:eastAsia="仿宋" w:cs="Times New Roman"/>
          <w:color w:val="auto"/>
          <w:sz w:val="32"/>
          <w:szCs w:val="32"/>
        </w:rPr>
        <w:t>以产前筛查、新生儿疾病筛查服务等妇幼健康促进项目为重点，持续推进适龄妇女</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两癌</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筛查、孕产妇免费产前筛查等妇幼卫生项目。</w:t>
      </w:r>
      <w:r>
        <w:rPr>
          <w:rFonts w:hint="default" w:ascii="Times New Roman" w:hAnsi="Times New Roman" w:eastAsia="仿宋" w:cs="Times New Roman"/>
          <w:bCs/>
          <w:color w:val="auto"/>
          <w:sz w:val="32"/>
          <w:szCs w:val="32"/>
        </w:rPr>
        <w:t>提升人口监测与家庭发展水平</w:t>
      </w:r>
      <w:r>
        <w:rPr>
          <w:rFonts w:hint="eastAsia" w:ascii="Times New Roman" w:hAnsi="Times New Roman" w:eastAsia="仿宋" w:cs="Times New Roman"/>
          <w:bCs/>
          <w:color w:val="auto"/>
          <w:sz w:val="32"/>
          <w:szCs w:val="32"/>
          <w:lang w:eastAsia="zh-CN"/>
        </w:rPr>
        <w:t>，</w:t>
      </w:r>
      <w:r>
        <w:rPr>
          <w:rFonts w:hint="default" w:ascii="Times New Roman" w:hAnsi="Times New Roman" w:eastAsia="仿宋" w:cs="Times New Roman"/>
          <w:color w:val="auto"/>
          <w:sz w:val="32"/>
          <w:szCs w:val="32"/>
        </w:rPr>
        <w:t>全面落实国家生育政策和基层人口监测项目经费。</w:t>
      </w:r>
    </w:p>
    <w:p w14:paraId="3CDDA8F4">
      <w:pPr>
        <w:widowControl w:val="0"/>
        <w:numPr>
          <w:ilvl w:val="0"/>
          <w:numId w:val="0"/>
        </w:numPr>
        <w:pBdr>
          <w:bottom w:val="single" w:color="FFFFFF" w:sz="4" w:space="31"/>
        </w:pBdr>
        <w:tabs>
          <w:tab w:val="left" w:pos="1440"/>
        </w:tabs>
        <w:wordWrap/>
        <w:adjustRightInd w:val="0"/>
        <w:snapToGrid w:val="0"/>
        <w:spacing w:before="0" w:beforeAutospacing="0" w:after="0" w:afterAutospacing="0" w:line="560" w:lineRule="exact"/>
        <w:ind w:right="0"/>
        <w:contextualSpacing/>
        <w:textAlignment w:val="auto"/>
        <w:outlineLvl w:val="9"/>
        <w:rPr>
          <w:rFonts w:hint="default" w:ascii="Times New Roman" w:hAnsi="Times New Roman" w:eastAsia="仿宋" w:cs="Times New Roman"/>
          <w:color w:val="auto"/>
          <w:sz w:val="32"/>
          <w:szCs w:val="32"/>
        </w:rPr>
      </w:pPr>
      <w:r>
        <w:rPr>
          <w:rFonts w:hint="eastAsia" w:ascii="Times New Roman" w:hAnsi="Times New Roman" w:eastAsia="楷体" w:cs="Times New Roman"/>
          <w:b/>
          <w:color w:val="auto"/>
          <w:sz w:val="32"/>
          <w:szCs w:val="32"/>
          <w:lang w:val="en-US" w:eastAsia="zh-CN"/>
        </w:rPr>
        <w:t xml:space="preserve">   </w:t>
      </w:r>
      <w:r>
        <w:rPr>
          <w:rFonts w:hint="default" w:ascii="Times New Roman" w:hAnsi="Times New Roman" w:eastAsia="楷体" w:cs="Times New Roman"/>
          <w:b/>
          <w:color w:val="auto"/>
          <w:sz w:val="32"/>
          <w:szCs w:val="32"/>
          <w:lang w:eastAsia="zh-CN"/>
        </w:rPr>
        <w:t>（八）强党建，进一步抓好</w:t>
      </w:r>
      <w:r>
        <w:rPr>
          <w:rFonts w:hint="default" w:ascii="Times New Roman" w:hAnsi="Times New Roman" w:eastAsia="楷体" w:cs="Times New Roman"/>
          <w:b/>
          <w:color w:val="auto"/>
          <w:sz w:val="32"/>
          <w:szCs w:val="32"/>
        </w:rPr>
        <w:t>党风行风廉政建设。</w:t>
      </w:r>
      <w:r>
        <w:rPr>
          <w:rFonts w:hint="default" w:ascii="Times New Roman" w:hAnsi="Times New Roman" w:eastAsia="仿宋" w:cs="Times New Roman"/>
          <w:color w:val="auto"/>
          <w:sz w:val="32"/>
          <w:szCs w:val="32"/>
        </w:rPr>
        <w:t>强化纪律意识、规矩意识，把纪律挺在前面，把讲政治、守纪律、讲规矩摆在更加重要的位置。认真落实党风廉政建设主体责任、监督责任，加大监督执纪力度，全面落实中央八项规定精神</w:t>
      </w:r>
      <w:r>
        <w:rPr>
          <w:rFonts w:hint="eastAsia" w:ascii="Times New Roman" w:hAnsi="Times New Roman" w:eastAsia="仿宋" w:cs="Times New Roman"/>
          <w:color w:val="auto"/>
          <w:sz w:val="32"/>
          <w:szCs w:val="32"/>
          <w:lang w:eastAsia="zh-CN"/>
        </w:rPr>
        <w:t>和</w:t>
      </w:r>
      <w:r>
        <w:rPr>
          <w:rFonts w:hint="default" w:ascii="Times New Roman" w:hAnsi="Times New Roman" w:eastAsia="仿宋" w:cs="Times New Roman"/>
          <w:color w:val="auto"/>
          <w:sz w:val="32"/>
          <w:szCs w:val="32"/>
        </w:rPr>
        <w:t>落实行风建设</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九不准</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规定</w:t>
      </w:r>
      <w:r>
        <w:rPr>
          <w:rFonts w:hint="default" w:ascii="Times New Roman" w:hAnsi="Times New Roman" w:eastAsia="仿宋_GB2312" w:cs="Times New Roman"/>
          <w:color w:val="auto"/>
          <w:sz w:val="32"/>
          <w:szCs w:val="32"/>
        </w:rPr>
        <w:t>。</w:t>
      </w:r>
    </w:p>
    <w:p w14:paraId="5308CBF6">
      <w:pPr>
        <w:widowControl w:val="0"/>
        <w:pBdr>
          <w:bottom w:val="single" w:color="FFFFFF" w:sz="4" w:space="31"/>
        </w:pBdr>
        <w:tabs>
          <w:tab w:val="left" w:pos="1440"/>
        </w:tabs>
        <w:wordWrap/>
        <w:adjustRightInd w:val="0"/>
        <w:snapToGrid w:val="0"/>
        <w:spacing w:before="0" w:after="0" w:line="560" w:lineRule="exact"/>
        <w:ind w:left="0" w:leftChars="0" w:right="0" w:firstLine="640" w:firstLineChars="200"/>
        <w:contextualSpacing/>
        <w:textAlignment w:val="auto"/>
        <w:outlineLvl w:val="9"/>
        <w:rPr>
          <w:rFonts w:hint="eastAsia" w:ascii="仿宋" w:hAnsi="仿宋" w:eastAsia="仿宋"/>
          <w:color w:val="auto"/>
          <w:sz w:val="32"/>
          <w:szCs w:val="32"/>
        </w:rPr>
      </w:pPr>
    </w:p>
    <w:p w14:paraId="56B7E9E2">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right="0" w:firstLine="320" w:firstLineChars="100"/>
        <w:jc w:val="left"/>
        <w:rPr>
          <w:rFonts w:hint="eastAsia" w:ascii="黑体" w:hAnsi="黑体" w:eastAsia="黑体" w:cs="黑体"/>
          <w:i w:val="0"/>
          <w:iCs w:val="0"/>
          <w:caps w:val="0"/>
          <w:color w:val="000000"/>
          <w:spacing w:val="0"/>
          <w:sz w:val="32"/>
          <w:szCs w:val="32"/>
          <w:shd w:val="clear" w:color="080000" w:fill="FFFFFF"/>
        </w:rPr>
      </w:pPr>
      <w:r>
        <w:rPr>
          <w:rFonts w:hint="eastAsia" w:ascii="黑体" w:hAnsi="黑体" w:eastAsia="黑体" w:cs="黑体"/>
          <w:i w:val="0"/>
          <w:iCs w:val="0"/>
          <w:caps w:val="0"/>
          <w:color w:val="000000"/>
          <w:spacing w:val="0"/>
          <w:sz w:val="32"/>
          <w:szCs w:val="32"/>
          <w:shd w:val="clear" w:color="080000" w:fill="FFFFFF"/>
        </w:rPr>
        <w:t>七、存在的问题及原因分析</w:t>
      </w:r>
    </w:p>
    <w:p w14:paraId="64C9EBE1">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color w:val="010101"/>
          <w:sz w:val="32"/>
          <w:szCs w:val="32"/>
          <w:lang w:eastAsia="zh-CN"/>
        </w:rPr>
      </w:pPr>
      <w:r>
        <w:rPr>
          <w:rFonts w:hint="default" w:ascii="Times New Roman" w:hAnsi="Times New Roman" w:eastAsia="仿宋" w:cs="Times New Roman"/>
          <w:color w:val="010101"/>
          <w:sz w:val="32"/>
          <w:szCs w:val="32"/>
        </w:rPr>
        <w:t>（一）</w:t>
      </w:r>
      <w:r>
        <w:rPr>
          <w:rFonts w:hint="eastAsia" w:eastAsia="仿宋" w:cs="Times New Roman"/>
          <w:color w:val="010101"/>
          <w:sz w:val="32"/>
          <w:szCs w:val="32"/>
          <w:lang w:eastAsia="zh-CN"/>
        </w:rPr>
        <w:t>问题一：</w:t>
      </w:r>
      <w:r>
        <w:rPr>
          <w:rFonts w:hint="default" w:ascii="Times New Roman" w:hAnsi="Times New Roman" w:eastAsia="仿宋" w:cs="Times New Roman"/>
          <w:color w:val="010101"/>
          <w:sz w:val="32"/>
          <w:szCs w:val="32"/>
        </w:rPr>
        <w:t>预算执行</w:t>
      </w:r>
      <w:r>
        <w:rPr>
          <w:rFonts w:hint="eastAsia" w:eastAsia="仿宋" w:cs="Times New Roman"/>
          <w:color w:val="010101"/>
          <w:sz w:val="32"/>
          <w:szCs w:val="32"/>
          <w:lang w:eastAsia="zh-CN"/>
        </w:rPr>
        <w:t>中</w:t>
      </w:r>
      <w:r>
        <w:rPr>
          <w:rFonts w:hint="default" w:ascii="Times New Roman" w:hAnsi="Times New Roman" w:eastAsia="仿宋" w:cs="Times New Roman"/>
          <w:color w:val="010101"/>
          <w:sz w:val="32"/>
          <w:szCs w:val="32"/>
          <w:lang w:eastAsia="zh-CN"/>
        </w:rPr>
        <w:t>预算准确率需进一步提高。</w:t>
      </w:r>
    </w:p>
    <w:p w14:paraId="41942F56">
      <w:pPr>
        <w:widowControl w:val="0"/>
        <w:wordWrap/>
        <w:autoSpaceDN w:val="0"/>
        <w:adjustRightInd/>
        <w:spacing w:before="0" w:after="0" w:line="600" w:lineRule="exact"/>
        <w:ind w:left="0" w:leftChars="0" w:right="0"/>
        <w:textAlignment w:val="auto"/>
        <w:outlineLvl w:val="0"/>
        <w:rPr>
          <w:rFonts w:hint="default" w:ascii="Times New Roman" w:hAnsi="Times New Roman" w:eastAsia="仿宋" w:cs="Times New Roman"/>
          <w:color w:val="010101"/>
          <w:sz w:val="32"/>
          <w:szCs w:val="32"/>
          <w:lang w:eastAsia="zh-CN"/>
        </w:rPr>
      </w:pPr>
      <w:r>
        <w:rPr>
          <w:rFonts w:hint="default" w:ascii="Times New Roman" w:hAnsi="Times New Roman" w:eastAsia="仿宋" w:cs="Times New Roman"/>
          <w:color w:val="010101"/>
          <w:sz w:val="32"/>
          <w:szCs w:val="32"/>
        </w:rPr>
        <w:t>　　（二）</w:t>
      </w:r>
      <w:r>
        <w:rPr>
          <w:rFonts w:hint="eastAsia" w:eastAsia="仿宋" w:cs="Times New Roman"/>
          <w:color w:val="010101"/>
          <w:sz w:val="32"/>
          <w:szCs w:val="32"/>
          <w:lang w:eastAsia="zh-CN"/>
        </w:rPr>
        <w:t>问题二：</w:t>
      </w:r>
      <w:r>
        <w:rPr>
          <w:rFonts w:hint="default" w:ascii="Times New Roman" w:hAnsi="Times New Roman" w:eastAsia="仿宋" w:cs="Times New Roman"/>
          <w:color w:val="010101"/>
          <w:sz w:val="32"/>
          <w:szCs w:val="32"/>
        </w:rPr>
        <w:t>资产核算</w:t>
      </w:r>
      <w:r>
        <w:rPr>
          <w:rFonts w:hint="eastAsia" w:eastAsia="仿宋" w:cs="Times New Roman"/>
          <w:color w:val="010101"/>
          <w:sz w:val="32"/>
          <w:szCs w:val="32"/>
          <w:lang w:eastAsia="zh-CN"/>
        </w:rPr>
        <w:t>中</w:t>
      </w:r>
      <w:r>
        <w:rPr>
          <w:rFonts w:hint="default" w:ascii="Times New Roman" w:hAnsi="Times New Roman" w:eastAsia="仿宋" w:cs="Times New Roman"/>
          <w:color w:val="010101"/>
          <w:sz w:val="32"/>
          <w:szCs w:val="32"/>
          <w:lang w:eastAsia="zh-CN"/>
        </w:rPr>
        <w:t>国有资产没有进行有效管理。</w:t>
      </w:r>
    </w:p>
    <w:p w14:paraId="42BB9BE4">
      <w:pPr>
        <w:widowControl w:val="0"/>
        <w:wordWrap/>
        <w:autoSpaceDN w:val="0"/>
        <w:adjustRightInd/>
        <w:spacing w:before="0" w:after="0" w:line="600" w:lineRule="exact"/>
        <w:ind w:left="0" w:leftChars="0" w:right="0" w:firstLine="630"/>
        <w:textAlignment w:val="auto"/>
        <w:outlineLvl w:val="0"/>
        <w:rPr>
          <w:rFonts w:hint="default" w:ascii="Times New Roman" w:hAnsi="Times New Roman" w:eastAsia="仿宋" w:cs="Times New Roman"/>
          <w:color w:val="010101"/>
          <w:sz w:val="32"/>
          <w:szCs w:val="32"/>
          <w:lang w:val="en-US" w:eastAsia="zh-CN"/>
        </w:rPr>
      </w:pPr>
      <w:r>
        <w:rPr>
          <w:rFonts w:hint="default" w:ascii="Times New Roman" w:hAnsi="Times New Roman" w:eastAsia="仿宋" w:cs="Times New Roman"/>
          <w:color w:val="010101"/>
          <w:sz w:val="32"/>
          <w:szCs w:val="32"/>
        </w:rPr>
        <w:t>（三）</w:t>
      </w:r>
      <w:r>
        <w:rPr>
          <w:rFonts w:hint="eastAsia" w:eastAsia="仿宋" w:cs="Times New Roman"/>
          <w:color w:val="010101"/>
          <w:sz w:val="32"/>
          <w:szCs w:val="32"/>
          <w:lang w:eastAsia="zh-CN"/>
        </w:rPr>
        <w:t>问题三：</w:t>
      </w:r>
      <w:r>
        <w:rPr>
          <w:rFonts w:hint="default" w:ascii="Times New Roman" w:hAnsi="Times New Roman" w:eastAsia="仿宋" w:cs="Times New Roman"/>
          <w:color w:val="010101"/>
          <w:sz w:val="32"/>
          <w:szCs w:val="32"/>
          <w:lang w:eastAsia="zh-CN"/>
        </w:rPr>
        <w:t>内部控制制度不完善。</w:t>
      </w:r>
    </w:p>
    <w:p w14:paraId="20196586">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color w:val="010101"/>
          <w:sz w:val="32"/>
          <w:szCs w:val="32"/>
          <w:lang w:eastAsia="zh-CN"/>
        </w:rPr>
      </w:pPr>
      <w:r>
        <w:rPr>
          <w:rFonts w:hint="default" w:ascii="Times New Roman" w:hAnsi="Times New Roman" w:eastAsia="仿宋" w:cs="Times New Roman"/>
          <w:color w:val="010101"/>
          <w:sz w:val="32"/>
          <w:szCs w:val="32"/>
        </w:rPr>
        <w:t xml:space="preserve">（四）经费保障 </w:t>
      </w:r>
      <w:r>
        <w:rPr>
          <w:rFonts w:hint="default" w:ascii="Times New Roman" w:hAnsi="Times New Roman" w:eastAsia="仿宋" w:cs="Times New Roman"/>
          <w:color w:val="010101"/>
          <w:sz w:val="32"/>
          <w:szCs w:val="32"/>
          <w:lang w:eastAsia="zh-CN"/>
        </w:rPr>
        <w:t>：公用经费、奖金等经费预算不足。</w:t>
      </w:r>
    </w:p>
    <w:p w14:paraId="5AAE2C8D">
      <w:pPr>
        <w:widowControl w:val="0"/>
        <w:wordWrap/>
        <w:autoSpaceDN w:val="0"/>
        <w:adjustRightInd/>
        <w:spacing w:before="0" w:after="0" w:line="600" w:lineRule="exact"/>
        <w:ind w:left="0" w:leftChars="0" w:right="0" w:firstLine="640" w:firstLineChars="200"/>
        <w:textAlignment w:val="auto"/>
        <w:outlineLvl w:val="0"/>
        <w:rPr>
          <w:rFonts w:hint="default" w:ascii="Times New Roman" w:hAnsi="Times New Roman" w:eastAsia="仿宋" w:cs="Times New Roman"/>
          <w:color w:val="010101"/>
          <w:sz w:val="32"/>
          <w:szCs w:val="32"/>
          <w:lang w:eastAsia="zh-CN"/>
        </w:rPr>
      </w:pPr>
      <w:r>
        <w:rPr>
          <w:rFonts w:hint="default" w:ascii="Times New Roman" w:hAnsi="Times New Roman" w:eastAsia="仿宋" w:cs="Times New Roman"/>
          <w:color w:val="010101"/>
          <w:sz w:val="32"/>
          <w:szCs w:val="32"/>
        </w:rPr>
        <w:t>（五）</w:t>
      </w:r>
      <w:r>
        <w:rPr>
          <w:rFonts w:hint="default" w:ascii="Times New Roman" w:hAnsi="Times New Roman" w:eastAsia="仿宋" w:cs="Times New Roman"/>
          <w:color w:val="010101"/>
          <w:sz w:val="32"/>
          <w:szCs w:val="32"/>
          <w:lang w:eastAsia="zh-CN"/>
        </w:rPr>
        <w:t>绩效评价效果有待进一步提高。</w:t>
      </w:r>
    </w:p>
    <w:p w14:paraId="4C14D70C">
      <w:pPr>
        <w:widowControl w:val="0"/>
        <w:wordWrap/>
        <w:autoSpaceDN w:val="0"/>
        <w:adjustRightInd/>
        <w:spacing w:before="0" w:after="0" w:line="600" w:lineRule="exact"/>
        <w:ind w:left="0" w:leftChars="0" w:right="0"/>
        <w:textAlignment w:val="auto"/>
        <w:rPr>
          <w:rFonts w:hint="eastAsia" w:ascii="Times New Roman" w:hAnsi="Times New Roman" w:eastAsia="仿宋" w:cs="Times New Roman"/>
          <w:color w:val="010101"/>
          <w:sz w:val="32"/>
          <w:szCs w:val="32"/>
          <w:lang w:val="en-US" w:eastAsia="zh-CN"/>
        </w:rPr>
      </w:pPr>
      <w:r>
        <w:rPr>
          <w:rFonts w:hint="eastAsia" w:eastAsia="仿宋" w:cs="Times New Roman"/>
          <w:color w:val="010101"/>
          <w:sz w:val="32"/>
          <w:szCs w:val="32"/>
          <w:lang w:val="en-US" w:eastAsia="zh-CN"/>
        </w:rPr>
        <w:t xml:space="preserve">   八、</w:t>
      </w:r>
      <w:r>
        <w:rPr>
          <w:rFonts w:hint="eastAsia" w:ascii="黑体" w:hAnsi="黑体" w:eastAsia="黑体" w:cs="黑体"/>
          <w:color w:val="000000"/>
          <w:sz w:val="32"/>
          <w:szCs w:val="32"/>
          <w:shd w:val="clear" w:color="auto" w:fill="FFFFFF"/>
        </w:rPr>
        <w:t>下一步改进措施</w:t>
      </w:r>
    </w:p>
    <w:p w14:paraId="3D5FCDB9">
      <w:pPr>
        <w:widowControl w:val="0"/>
        <w:wordWrap/>
        <w:autoSpaceDN w:val="0"/>
        <w:adjustRightInd/>
        <w:spacing w:before="0" w:after="0" w:line="600" w:lineRule="exact"/>
        <w:ind w:left="2240" w:leftChars="0" w:right="0" w:hanging="2240" w:hangingChars="700"/>
        <w:textAlignment w:val="auto"/>
        <w:rPr>
          <w:rFonts w:hint="default" w:ascii="Times New Roman" w:hAnsi="Times New Roman" w:eastAsia="仿宋" w:cs="Times New Roman"/>
          <w:color w:val="010101"/>
          <w:sz w:val="32"/>
          <w:szCs w:val="32"/>
          <w:lang w:eastAsia="zh-CN"/>
        </w:rPr>
      </w:pPr>
      <w:r>
        <w:rPr>
          <w:rFonts w:hint="default" w:ascii="Times New Roman" w:hAnsi="Times New Roman" w:eastAsia="仿宋" w:cs="Times New Roman"/>
          <w:color w:val="010101"/>
          <w:sz w:val="32"/>
          <w:szCs w:val="32"/>
        </w:rPr>
        <w:t>　　建议一</w:t>
      </w:r>
      <w:r>
        <w:rPr>
          <w:rFonts w:hint="eastAsia" w:eastAsia="仿宋" w:cs="Times New Roman"/>
          <w:color w:val="010101"/>
          <w:sz w:val="32"/>
          <w:szCs w:val="32"/>
          <w:lang w:eastAsia="zh-CN"/>
        </w:rPr>
        <w:t>：</w:t>
      </w:r>
      <w:r>
        <w:rPr>
          <w:rFonts w:hint="default" w:ascii="Times New Roman" w:hAnsi="Times New Roman" w:eastAsia="仿宋" w:cs="Times New Roman"/>
          <w:color w:val="010101"/>
          <w:sz w:val="32"/>
          <w:szCs w:val="32"/>
        </w:rPr>
        <w:t xml:space="preserve"> </w:t>
      </w:r>
      <w:r>
        <w:rPr>
          <w:rFonts w:hint="eastAsia" w:eastAsia="仿宋" w:cs="Times New Roman"/>
          <w:color w:val="010101"/>
          <w:sz w:val="32"/>
          <w:szCs w:val="32"/>
          <w:lang w:eastAsia="zh-CN"/>
        </w:rPr>
        <w:t>设置细化量化的部门整体支出绩效目标，</w:t>
      </w:r>
      <w:r>
        <w:rPr>
          <w:rFonts w:hint="default" w:ascii="Times New Roman" w:hAnsi="Times New Roman" w:eastAsia="仿宋" w:cs="Times New Roman"/>
          <w:color w:val="010101"/>
          <w:sz w:val="32"/>
          <w:szCs w:val="32"/>
          <w:lang w:eastAsia="zh-CN"/>
        </w:rPr>
        <w:t>科学编制预算，合理安排预算收入支出，提高预算准确率。</w:t>
      </w:r>
    </w:p>
    <w:p w14:paraId="17B7CE94">
      <w:pPr>
        <w:widowControl w:val="0"/>
        <w:wordWrap/>
        <w:autoSpaceDN w:val="0"/>
        <w:adjustRightInd/>
        <w:spacing w:before="0" w:after="0" w:line="600" w:lineRule="exact"/>
        <w:ind w:left="1920" w:leftChars="0" w:right="0" w:hanging="1920" w:hangingChars="600"/>
        <w:textAlignment w:val="auto"/>
        <w:rPr>
          <w:rFonts w:hint="default" w:ascii="Times New Roman" w:hAnsi="Times New Roman" w:eastAsia="仿宋" w:cs="Times New Roman"/>
          <w:color w:val="010101"/>
          <w:sz w:val="32"/>
          <w:szCs w:val="32"/>
          <w:lang w:eastAsia="zh-CN"/>
        </w:rPr>
      </w:pPr>
      <w:r>
        <w:rPr>
          <w:rFonts w:hint="default" w:ascii="Times New Roman" w:hAnsi="Times New Roman" w:eastAsia="仿宋" w:cs="Times New Roman"/>
          <w:color w:val="010101"/>
          <w:sz w:val="32"/>
          <w:szCs w:val="32"/>
        </w:rPr>
        <w:t>　  建议二</w:t>
      </w:r>
      <w:r>
        <w:rPr>
          <w:rFonts w:hint="eastAsia" w:eastAsia="仿宋" w:cs="Times New Roman"/>
          <w:color w:val="010101"/>
          <w:sz w:val="32"/>
          <w:szCs w:val="32"/>
          <w:lang w:eastAsia="zh-CN"/>
        </w:rPr>
        <w:t>：</w:t>
      </w:r>
      <w:r>
        <w:rPr>
          <w:rFonts w:hint="default" w:ascii="Times New Roman" w:hAnsi="Times New Roman" w:eastAsia="仿宋" w:cs="Times New Roman"/>
          <w:color w:val="010101"/>
          <w:sz w:val="32"/>
          <w:szCs w:val="32"/>
          <w:lang w:eastAsia="zh-CN"/>
        </w:rPr>
        <w:t>加强基本支出和项目支出列支科学性和严谨性。</w:t>
      </w:r>
    </w:p>
    <w:p w14:paraId="0CC2634E">
      <w:pPr>
        <w:widowControl w:val="0"/>
        <w:wordWrap/>
        <w:autoSpaceDN w:val="0"/>
        <w:adjustRightInd/>
        <w:spacing w:before="0" w:after="0" w:line="600" w:lineRule="exact"/>
        <w:ind w:left="0" w:leftChars="0" w:right="0"/>
        <w:textAlignment w:val="auto"/>
        <w:rPr>
          <w:rFonts w:hint="default" w:ascii="Times New Roman" w:hAnsi="Times New Roman" w:eastAsia="仿宋" w:cs="Times New Roman"/>
          <w:color w:val="010101"/>
          <w:sz w:val="32"/>
          <w:szCs w:val="32"/>
          <w:lang w:eastAsia="zh-CN"/>
        </w:rPr>
      </w:pPr>
      <w:r>
        <w:rPr>
          <w:rFonts w:hint="default" w:ascii="Times New Roman" w:hAnsi="Times New Roman" w:eastAsia="仿宋" w:cs="Times New Roman"/>
          <w:color w:val="010101"/>
          <w:sz w:val="32"/>
          <w:szCs w:val="32"/>
        </w:rPr>
        <w:t>　　建议三</w:t>
      </w:r>
      <w:r>
        <w:rPr>
          <w:rFonts w:hint="eastAsia" w:eastAsia="仿宋" w:cs="Times New Roman"/>
          <w:color w:val="010101"/>
          <w:sz w:val="32"/>
          <w:szCs w:val="32"/>
          <w:lang w:eastAsia="zh-CN"/>
        </w:rPr>
        <w:t>：</w:t>
      </w:r>
      <w:r>
        <w:rPr>
          <w:rFonts w:hint="default" w:ascii="Times New Roman" w:hAnsi="Times New Roman" w:eastAsia="仿宋" w:cs="Times New Roman"/>
          <w:color w:val="010101"/>
          <w:sz w:val="32"/>
          <w:szCs w:val="32"/>
          <w:lang w:eastAsia="zh-CN"/>
        </w:rPr>
        <w:t>单位领导高度重视财政资金绩效评价工作</w:t>
      </w:r>
      <w:r>
        <w:rPr>
          <w:rFonts w:hint="eastAsia" w:eastAsia="仿宋" w:cs="Times New Roman"/>
          <w:color w:val="010101"/>
          <w:sz w:val="32"/>
          <w:szCs w:val="32"/>
          <w:lang w:eastAsia="zh-CN"/>
        </w:rPr>
        <w:t>。</w:t>
      </w:r>
    </w:p>
    <w:p w14:paraId="10373A3A">
      <w:pPr>
        <w:widowControl w:val="0"/>
        <w:wordWrap/>
        <w:autoSpaceDN w:val="0"/>
        <w:adjustRightInd/>
        <w:spacing w:before="0" w:after="0" w:line="600" w:lineRule="exact"/>
        <w:ind w:left="0" w:leftChars="0" w:right="0" w:firstLine="630"/>
        <w:textAlignment w:val="auto"/>
        <w:rPr>
          <w:rFonts w:hint="default" w:ascii="Times New Roman" w:hAnsi="Times New Roman" w:eastAsia="仿宋" w:cs="Times New Roman"/>
          <w:color w:val="010101"/>
          <w:sz w:val="32"/>
          <w:szCs w:val="32"/>
          <w:lang w:eastAsia="zh-CN"/>
        </w:rPr>
      </w:pPr>
      <w:r>
        <w:rPr>
          <w:rFonts w:hint="default" w:ascii="Times New Roman" w:hAnsi="Times New Roman" w:eastAsia="仿宋" w:cs="Times New Roman"/>
          <w:color w:val="010101"/>
          <w:sz w:val="32"/>
          <w:szCs w:val="32"/>
        </w:rPr>
        <w:t>建议四</w:t>
      </w:r>
      <w:r>
        <w:rPr>
          <w:rFonts w:hint="eastAsia" w:eastAsia="仿宋" w:cs="Times New Roman"/>
          <w:color w:val="010101"/>
          <w:sz w:val="32"/>
          <w:szCs w:val="32"/>
          <w:lang w:eastAsia="zh-CN"/>
        </w:rPr>
        <w:t>：</w:t>
      </w:r>
      <w:r>
        <w:rPr>
          <w:rFonts w:hint="default" w:ascii="Times New Roman" w:hAnsi="Times New Roman" w:eastAsia="仿宋" w:cs="Times New Roman"/>
          <w:color w:val="010101"/>
          <w:sz w:val="32"/>
          <w:szCs w:val="32"/>
          <w:lang w:eastAsia="zh-CN"/>
        </w:rPr>
        <w:t>完</w:t>
      </w:r>
      <w:r>
        <w:rPr>
          <w:rFonts w:hint="eastAsia" w:eastAsia="仿宋" w:cs="Times New Roman"/>
          <w:color w:val="010101"/>
          <w:sz w:val="32"/>
          <w:szCs w:val="32"/>
          <w:lang w:eastAsia="zh-CN"/>
        </w:rPr>
        <w:t>善</w:t>
      </w:r>
      <w:r>
        <w:rPr>
          <w:rFonts w:hint="default" w:ascii="Times New Roman" w:hAnsi="Times New Roman" w:eastAsia="仿宋" w:cs="Times New Roman"/>
          <w:color w:val="010101"/>
          <w:sz w:val="32"/>
          <w:szCs w:val="32"/>
          <w:lang w:eastAsia="zh-CN"/>
        </w:rPr>
        <w:t>单位内部控制制度</w:t>
      </w:r>
      <w:r>
        <w:rPr>
          <w:rFonts w:hint="eastAsia" w:eastAsia="仿宋" w:cs="Times New Roman"/>
          <w:color w:val="010101"/>
          <w:sz w:val="32"/>
          <w:szCs w:val="32"/>
          <w:lang w:eastAsia="zh-CN"/>
        </w:rPr>
        <w:t>。</w:t>
      </w:r>
    </w:p>
    <w:p w14:paraId="1BF8BED1">
      <w:pPr>
        <w:widowControl w:val="0"/>
        <w:wordWrap/>
        <w:autoSpaceDN w:val="0"/>
        <w:adjustRightInd/>
        <w:spacing w:before="0" w:after="0" w:line="600" w:lineRule="exact"/>
        <w:ind w:left="0" w:leftChars="0" w:right="0" w:firstLine="630"/>
        <w:textAlignment w:val="auto"/>
        <w:rPr>
          <w:rFonts w:ascii="仿宋" w:hAnsi="仿宋" w:eastAsia="仿宋" w:cs="仿宋"/>
          <w:color w:val="000000"/>
          <w:sz w:val="32"/>
          <w:szCs w:val="32"/>
        </w:rPr>
      </w:pPr>
      <w:r>
        <w:rPr>
          <w:rFonts w:hint="eastAsia" w:eastAsia="仿宋" w:cs="Times New Roman"/>
          <w:color w:val="010101"/>
          <w:sz w:val="32"/>
          <w:szCs w:val="32"/>
          <w:lang w:val="en-US" w:eastAsia="zh-CN"/>
        </w:rPr>
        <w:t xml:space="preserve">   </w:t>
      </w:r>
    </w:p>
    <w:p w14:paraId="563E2E25">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p>
    <w:p w14:paraId="538F1EE0">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080000" w:fill="FFFFFF"/>
        </w:rPr>
        <w:t>附件：1.部门整体支出绩效评价基础数据表</w:t>
      </w:r>
    </w:p>
    <w:p w14:paraId="0D9F5659">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1609" w:firstLineChars="503"/>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color="080000" w:fill="FFFFFF"/>
        </w:rPr>
        <w:t>2.部门整体支出绩效自评表</w:t>
      </w:r>
    </w:p>
    <w:p w14:paraId="2184E120">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57CC72B3">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27FB14F7">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79492B35">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20A391A3">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37E02374">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0E1DDE06">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1DCC298F">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2979A4F4">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36F13D61">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741296B8">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20CC3F29">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34F65A99">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color="080000" w:fill="FFFFFF"/>
        </w:rPr>
      </w:pPr>
    </w:p>
    <w:p w14:paraId="5FE43DB3">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color="080000" w:fill="FFFFFF"/>
        </w:rPr>
        <w:t>附件</w:t>
      </w:r>
      <w:r>
        <w:rPr>
          <w:rFonts w:hint="eastAsia" w:ascii="黑体" w:hAnsi="黑体" w:eastAsia="黑体" w:cs="黑体"/>
          <w:i w:val="0"/>
          <w:iCs w:val="0"/>
          <w:caps w:val="0"/>
          <w:color w:val="000000"/>
          <w:spacing w:val="0"/>
          <w:sz w:val="32"/>
          <w:szCs w:val="32"/>
          <w:shd w:val="clear" w:color="080000" w:fill="FFFFFF"/>
          <w:lang w:val="en-US" w:eastAsia="zh-CN"/>
        </w:rPr>
        <w:t>1</w:t>
      </w:r>
    </w:p>
    <w:p w14:paraId="358DF0CE">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w:t>
      </w:r>
      <w:r>
        <w:rPr>
          <w:rFonts w:hint="eastAsia" w:ascii="黑体" w:hAnsi="黑体" w:eastAsia="黑体" w:cs="黑体"/>
          <w:spacing w:val="-20"/>
          <w:sz w:val="44"/>
          <w:szCs w:val="44"/>
          <w:lang w:val="en-US" w:eastAsia="zh-CN"/>
        </w:rPr>
        <w:t>4</w:t>
      </w:r>
      <w:r>
        <w:rPr>
          <w:rFonts w:hint="eastAsia" w:ascii="黑体" w:hAnsi="黑体" w:eastAsia="黑体" w:cs="黑体"/>
          <w:spacing w:val="-20"/>
          <w:sz w:val="44"/>
          <w:szCs w:val="44"/>
        </w:rPr>
        <w:t>年度部门整体支出绩效评价基础数据表</w:t>
      </w:r>
    </w:p>
    <w:p w14:paraId="62DF6125">
      <w:pPr>
        <w:widowControl w:val="0"/>
        <w:wordWrap/>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8"/>
        <w:tblW w:w="10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43"/>
        <w:gridCol w:w="1207"/>
        <w:gridCol w:w="930"/>
        <w:gridCol w:w="945"/>
        <w:gridCol w:w="1110"/>
        <w:gridCol w:w="1155"/>
        <w:gridCol w:w="1155"/>
      </w:tblGrid>
      <w:tr w14:paraId="161C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543" w:type="dxa"/>
            <w:vMerge w:val="restart"/>
            <w:tcBorders>
              <w:top w:val="single" w:color="auto" w:sz="4" w:space="0"/>
              <w:left w:val="single" w:color="auto" w:sz="4" w:space="0"/>
              <w:bottom w:val="single" w:color="auto" w:sz="4" w:space="0"/>
              <w:right w:val="single" w:color="auto" w:sz="4" w:space="0"/>
            </w:tcBorders>
            <w:vAlign w:val="center"/>
          </w:tcPr>
          <w:p w14:paraId="045FDAAA">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vAlign w:val="center"/>
          </w:tcPr>
          <w:p w14:paraId="3F282ADC">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vAlign w:val="center"/>
          </w:tcPr>
          <w:p w14:paraId="180BD2CF">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vAlign w:val="center"/>
          </w:tcPr>
          <w:p w14:paraId="3D9578D9">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2D73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vAlign w:val="center"/>
          </w:tcPr>
          <w:p w14:paraId="0D2E6449">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vAlign w:val="center"/>
          </w:tcPr>
          <w:p w14:paraId="102B664E">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44</w:t>
            </w:r>
          </w:p>
        </w:tc>
        <w:tc>
          <w:tcPr>
            <w:tcW w:w="2055" w:type="dxa"/>
            <w:gridSpan w:val="2"/>
            <w:tcBorders>
              <w:top w:val="single" w:color="auto" w:sz="4" w:space="0"/>
              <w:left w:val="nil"/>
              <w:bottom w:val="single" w:color="auto" w:sz="4" w:space="0"/>
              <w:right w:val="single" w:color="auto" w:sz="4" w:space="0"/>
            </w:tcBorders>
            <w:vAlign w:val="center"/>
          </w:tcPr>
          <w:p w14:paraId="6DEB44CF">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42</w:t>
            </w:r>
          </w:p>
        </w:tc>
        <w:tc>
          <w:tcPr>
            <w:tcW w:w="2310" w:type="dxa"/>
            <w:gridSpan w:val="2"/>
            <w:tcBorders>
              <w:top w:val="single" w:color="auto" w:sz="4" w:space="0"/>
              <w:left w:val="nil"/>
              <w:bottom w:val="single" w:color="auto" w:sz="4" w:space="0"/>
              <w:right w:val="single" w:color="auto" w:sz="4" w:space="0"/>
            </w:tcBorders>
            <w:vAlign w:val="center"/>
          </w:tcPr>
          <w:p w14:paraId="1FED06A4">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82%</w:t>
            </w:r>
          </w:p>
        </w:tc>
      </w:tr>
      <w:tr w14:paraId="2923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7B35DDF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vAlign w:val="center"/>
          </w:tcPr>
          <w:p w14:paraId="61672292">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202</w:t>
            </w: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vAlign w:val="center"/>
          </w:tcPr>
          <w:p w14:paraId="3D67A4EA">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vAlign w:val="center"/>
          </w:tcPr>
          <w:p w14:paraId="17A97465">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年决算数</w:t>
            </w:r>
          </w:p>
        </w:tc>
      </w:tr>
      <w:tr w14:paraId="3DD5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52F58CB9">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vAlign w:val="center"/>
          </w:tcPr>
          <w:p w14:paraId="0BCD667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3.47</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777EB17A">
            <w:pPr>
              <w:widowControl/>
              <w:spacing w:line="320" w:lineRule="exact"/>
              <w:ind w:firstLine="630" w:firstLineChars="300"/>
              <w:jc w:val="both"/>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3.34</w:t>
            </w:r>
          </w:p>
        </w:tc>
        <w:tc>
          <w:tcPr>
            <w:tcW w:w="2310" w:type="dxa"/>
            <w:gridSpan w:val="2"/>
            <w:tcBorders>
              <w:top w:val="single" w:color="auto" w:sz="4" w:space="0"/>
              <w:left w:val="nil"/>
              <w:bottom w:val="single" w:color="auto" w:sz="4" w:space="0"/>
              <w:right w:val="single" w:color="000000" w:sz="4" w:space="0"/>
            </w:tcBorders>
            <w:vAlign w:val="center"/>
          </w:tcPr>
          <w:p w14:paraId="0F5E757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3.34</w:t>
            </w:r>
          </w:p>
        </w:tc>
      </w:tr>
      <w:tr w14:paraId="0A9D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19ABD5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vAlign w:val="center"/>
          </w:tcPr>
          <w:p w14:paraId="45BC2957">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14:paraId="5D69561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4D40050B">
            <w:pPr>
              <w:widowControl/>
              <w:spacing w:line="320" w:lineRule="exact"/>
              <w:jc w:val="center"/>
              <w:rPr>
                <w:rFonts w:hint="eastAsia" w:ascii="仿宋" w:hAnsi="仿宋" w:eastAsia="仿宋" w:cs="仿宋"/>
                <w:kern w:val="0"/>
                <w:sz w:val="21"/>
                <w:szCs w:val="21"/>
              </w:rPr>
            </w:pPr>
          </w:p>
        </w:tc>
      </w:tr>
      <w:tr w14:paraId="0681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58802AB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vAlign w:val="center"/>
          </w:tcPr>
          <w:p w14:paraId="34E101D6">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14:paraId="05B94C7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39FB984E">
            <w:pPr>
              <w:widowControl/>
              <w:spacing w:line="320" w:lineRule="exact"/>
              <w:jc w:val="center"/>
              <w:rPr>
                <w:rFonts w:hint="eastAsia" w:ascii="仿宋" w:hAnsi="仿宋" w:eastAsia="仿宋" w:cs="仿宋"/>
                <w:kern w:val="0"/>
                <w:sz w:val="21"/>
                <w:szCs w:val="21"/>
              </w:rPr>
            </w:pPr>
          </w:p>
        </w:tc>
      </w:tr>
      <w:tr w14:paraId="51C5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63459D2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vAlign w:val="center"/>
          </w:tcPr>
          <w:p w14:paraId="1DEFD21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5B76800E">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14:paraId="0BF5AE8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2503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A72F56A">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vAlign w:val="center"/>
          </w:tcPr>
          <w:p w14:paraId="75DF180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3EE5A46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08573A3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0615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3301956">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vAlign w:val="center"/>
          </w:tcPr>
          <w:p w14:paraId="2E1C902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3.47</w:t>
            </w:r>
          </w:p>
        </w:tc>
        <w:tc>
          <w:tcPr>
            <w:tcW w:w="2055" w:type="dxa"/>
            <w:gridSpan w:val="2"/>
            <w:tcBorders>
              <w:top w:val="single" w:color="auto" w:sz="4" w:space="0"/>
              <w:left w:val="nil"/>
              <w:bottom w:val="single" w:color="auto" w:sz="4" w:space="0"/>
              <w:right w:val="single" w:color="000000" w:sz="4" w:space="0"/>
            </w:tcBorders>
            <w:vAlign w:val="center"/>
          </w:tcPr>
          <w:p w14:paraId="156A46D2">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3.34</w:t>
            </w:r>
            <w:bookmarkStart w:id="1" w:name="_GoBack"/>
            <w:bookmarkEnd w:id="1"/>
          </w:p>
        </w:tc>
        <w:tc>
          <w:tcPr>
            <w:tcW w:w="2310" w:type="dxa"/>
            <w:gridSpan w:val="2"/>
            <w:tcBorders>
              <w:top w:val="single" w:color="auto" w:sz="4" w:space="0"/>
              <w:left w:val="nil"/>
              <w:bottom w:val="single" w:color="auto" w:sz="4" w:space="0"/>
              <w:right w:val="single" w:color="000000" w:sz="4" w:space="0"/>
            </w:tcBorders>
            <w:vAlign w:val="center"/>
          </w:tcPr>
          <w:p w14:paraId="1484C45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3.34</w:t>
            </w:r>
            <w:r>
              <w:rPr>
                <w:rFonts w:hint="eastAsia" w:ascii="仿宋" w:hAnsi="仿宋" w:eastAsia="仿宋" w:cs="仿宋"/>
                <w:kern w:val="0"/>
                <w:sz w:val="21"/>
                <w:szCs w:val="21"/>
              </w:rPr>
              <w:t>　</w:t>
            </w:r>
          </w:p>
        </w:tc>
      </w:tr>
      <w:tr w14:paraId="7568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CAD591A">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vAlign w:val="center"/>
          </w:tcPr>
          <w:p w14:paraId="77AEECD0">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947.16</w:t>
            </w:r>
          </w:p>
        </w:tc>
        <w:tc>
          <w:tcPr>
            <w:tcW w:w="2055" w:type="dxa"/>
            <w:gridSpan w:val="2"/>
            <w:tcBorders>
              <w:top w:val="single" w:color="auto" w:sz="4" w:space="0"/>
              <w:left w:val="nil"/>
              <w:bottom w:val="single" w:color="auto" w:sz="4" w:space="0"/>
              <w:right w:val="single" w:color="000000" w:sz="4" w:space="0"/>
            </w:tcBorders>
            <w:vAlign w:val="center"/>
          </w:tcPr>
          <w:p w14:paraId="7CB7AED8">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1106</w:t>
            </w:r>
          </w:p>
        </w:tc>
        <w:tc>
          <w:tcPr>
            <w:tcW w:w="2310" w:type="dxa"/>
            <w:gridSpan w:val="2"/>
            <w:tcBorders>
              <w:top w:val="single" w:color="auto" w:sz="4" w:space="0"/>
              <w:left w:val="nil"/>
              <w:bottom w:val="single" w:color="auto" w:sz="4" w:space="0"/>
              <w:right w:val="single" w:color="000000" w:sz="4" w:space="0"/>
            </w:tcBorders>
            <w:vAlign w:val="center"/>
          </w:tcPr>
          <w:p w14:paraId="01C6AEA6">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930.12</w:t>
            </w:r>
          </w:p>
        </w:tc>
      </w:tr>
      <w:tr w14:paraId="6AB3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635E85EF">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vAlign w:val="center"/>
          </w:tcPr>
          <w:p w14:paraId="4BE4E2EB">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176.23</w:t>
            </w:r>
          </w:p>
        </w:tc>
        <w:tc>
          <w:tcPr>
            <w:tcW w:w="2055" w:type="dxa"/>
            <w:gridSpan w:val="2"/>
            <w:tcBorders>
              <w:top w:val="single" w:color="auto" w:sz="4" w:space="0"/>
              <w:left w:val="nil"/>
              <w:bottom w:val="single" w:color="auto" w:sz="4" w:space="0"/>
              <w:right w:val="single" w:color="000000" w:sz="4" w:space="0"/>
            </w:tcBorders>
            <w:vAlign w:val="center"/>
          </w:tcPr>
          <w:p w14:paraId="07D2C9C9">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255</w:t>
            </w:r>
          </w:p>
        </w:tc>
        <w:tc>
          <w:tcPr>
            <w:tcW w:w="2310" w:type="dxa"/>
            <w:gridSpan w:val="2"/>
            <w:tcBorders>
              <w:top w:val="single" w:color="auto" w:sz="4" w:space="0"/>
              <w:left w:val="nil"/>
              <w:bottom w:val="single" w:color="auto" w:sz="4" w:space="0"/>
              <w:right w:val="single" w:color="000000" w:sz="4" w:space="0"/>
            </w:tcBorders>
            <w:vAlign w:val="center"/>
          </w:tcPr>
          <w:p w14:paraId="2C4A4A75">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73.87</w:t>
            </w:r>
          </w:p>
        </w:tc>
      </w:tr>
      <w:tr w14:paraId="126B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F01617B">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vAlign w:val="center"/>
          </w:tcPr>
          <w:p w14:paraId="770E685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4AA775F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0C68D9E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1AAE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7252481B">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vAlign w:val="center"/>
          </w:tcPr>
          <w:p w14:paraId="2AB4B29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781.76</w:t>
            </w:r>
            <w:r>
              <w:rPr>
                <w:rFonts w:hint="eastAsia" w:ascii="仿宋" w:hAnsi="仿宋" w:eastAsia="仿宋" w:cs="仿宋"/>
                <w:kern w:val="0"/>
                <w:sz w:val="21"/>
                <w:szCs w:val="21"/>
              </w:rPr>
              <w:t>　</w:t>
            </w:r>
          </w:p>
        </w:tc>
        <w:tc>
          <w:tcPr>
            <w:tcW w:w="2055" w:type="dxa"/>
            <w:gridSpan w:val="2"/>
            <w:tcBorders>
              <w:top w:val="single" w:color="auto" w:sz="4" w:space="0"/>
              <w:left w:val="nil"/>
              <w:bottom w:val="single" w:color="auto" w:sz="4" w:space="0"/>
              <w:right w:val="single" w:color="000000" w:sz="4" w:space="0"/>
            </w:tcBorders>
            <w:vAlign w:val="center"/>
          </w:tcPr>
          <w:p w14:paraId="211196C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1143</w:t>
            </w: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0F2A3659">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856.25</w:t>
            </w:r>
          </w:p>
        </w:tc>
      </w:tr>
      <w:tr w14:paraId="28EF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51CE8399">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其中：卫生和计划生育服务专项资金</w:t>
            </w:r>
          </w:p>
        </w:tc>
        <w:tc>
          <w:tcPr>
            <w:tcW w:w="2137" w:type="dxa"/>
            <w:gridSpan w:val="2"/>
            <w:tcBorders>
              <w:top w:val="single" w:color="auto" w:sz="4" w:space="0"/>
              <w:left w:val="nil"/>
              <w:bottom w:val="single" w:color="auto" w:sz="4" w:space="0"/>
              <w:right w:val="single" w:color="000000" w:sz="4" w:space="0"/>
            </w:tcBorders>
            <w:vAlign w:val="center"/>
          </w:tcPr>
          <w:p w14:paraId="7C59C56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351.1</w:t>
            </w:r>
          </w:p>
        </w:tc>
        <w:tc>
          <w:tcPr>
            <w:tcW w:w="2055" w:type="dxa"/>
            <w:gridSpan w:val="2"/>
            <w:tcBorders>
              <w:top w:val="single" w:color="auto" w:sz="4" w:space="0"/>
              <w:left w:val="nil"/>
              <w:bottom w:val="single" w:color="auto" w:sz="4" w:space="0"/>
              <w:right w:val="single" w:color="000000" w:sz="4" w:space="0"/>
            </w:tcBorders>
            <w:vAlign w:val="center"/>
          </w:tcPr>
          <w:p w14:paraId="3E78EA3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815</w:t>
            </w:r>
          </w:p>
        </w:tc>
        <w:tc>
          <w:tcPr>
            <w:tcW w:w="2310" w:type="dxa"/>
            <w:gridSpan w:val="2"/>
            <w:tcBorders>
              <w:top w:val="single" w:color="auto" w:sz="4" w:space="0"/>
              <w:left w:val="nil"/>
              <w:bottom w:val="single" w:color="auto" w:sz="4" w:space="0"/>
              <w:right w:val="single" w:color="000000" w:sz="4" w:space="0"/>
            </w:tcBorders>
            <w:vAlign w:val="center"/>
          </w:tcPr>
          <w:p w14:paraId="1C798C2F">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562.64</w:t>
            </w:r>
          </w:p>
        </w:tc>
      </w:tr>
      <w:tr w14:paraId="42B2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73D7563">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突发公共卫生事件应急处理专项资金</w:t>
            </w:r>
          </w:p>
        </w:tc>
        <w:tc>
          <w:tcPr>
            <w:tcW w:w="2137" w:type="dxa"/>
            <w:gridSpan w:val="2"/>
            <w:tcBorders>
              <w:top w:val="single" w:color="auto" w:sz="4" w:space="0"/>
              <w:left w:val="nil"/>
              <w:bottom w:val="single" w:color="auto" w:sz="4" w:space="0"/>
              <w:right w:val="single" w:color="000000" w:sz="4" w:space="0"/>
            </w:tcBorders>
            <w:vAlign w:val="center"/>
          </w:tcPr>
          <w:p w14:paraId="7738005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91.97</w:t>
            </w:r>
          </w:p>
        </w:tc>
        <w:tc>
          <w:tcPr>
            <w:tcW w:w="2055" w:type="dxa"/>
            <w:gridSpan w:val="2"/>
            <w:tcBorders>
              <w:top w:val="single" w:color="auto" w:sz="4" w:space="0"/>
              <w:left w:val="nil"/>
              <w:bottom w:val="single" w:color="auto" w:sz="4" w:space="0"/>
              <w:right w:val="single" w:color="000000" w:sz="4" w:space="0"/>
            </w:tcBorders>
            <w:vAlign w:val="center"/>
          </w:tcPr>
          <w:p w14:paraId="58E9D22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196214FD">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80.43</w:t>
            </w:r>
          </w:p>
        </w:tc>
      </w:tr>
      <w:tr w14:paraId="2B48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525022DD">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Cs w:val="21"/>
                <w:lang w:eastAsia="zh-CN"/>
              </w:rPr>
              <w:t>医疗服务与保障能力提升补助资金和公立医院改革补助资金</w:t>
            </w:r>
          </w:p>
        </w:tc>
        <w:tc>
          <w:tcPr>
            <w:tcW w:w="2137" w:type="dxa"/>
            <w:gridSpan w:val="2"/>
            <w:tcBorders>
              <w:top w:val="single" w:color="auto" w:sz="4" w:space="0"/>
              <w:left w:val="nil"/>
              <w:bottom w:val="single" w:color="auto" w:sz="4" w:space="0"/>
              <w:right w:val="single" w:color="000000" w:sz="4" w:space="0"/>
            </w:tcBorders>
            <w:vAlign w:val="center"/>
          </w:tcPr>
          <w:p w14:paraId="01E239B8">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304</w:t>
            </w:r>
          </w:p>
        </w:tc>
        <w:tc>
          <w:tcPr>
            <w:tcW w:w="2055" w:type="dxa"/>
            <w:gridSpan w:val="2"/>
            <w:tcBorders>
              <w:top w:val="single" w:color="auto" w:sz="4" w:space="0"/>
              <w:left w:val="nil"/>
              <w:bottom w:val="single" w:color="auto" w:sz="4" w:space="0"/>
              <w:right w:val="single" w:color="000000" w:sz="4" w:space="0"/>
            </w:tcBorders>
            <w:vAlign w:val="center"/>
          </w:tcPr>
          <w:p w14:paraId="28675C02">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14:paraId="166F5CAF">
            <w:pPr>
              <w:widowControl/>
              <w:spacing w:line="320" w:lineRule="exact"/>
              <w:jc w:val="center"/>
              <w:rPr>
                <w:rFonts w:hint="eastAsia" w:ascii="仿宋" w:hAnsi="仿宋" w:eastAsia="仿宋" w:cs="仿宋"/>
                <w:kern w:val="0"/>
                <w:sz w:val="21"/>
                <w:szCs w:val="21"/>
              </w:rPr>
            </w:pPr>
          </w:p>
        </w:tc>
      </w:tr>
      <w:tr w14:paraId="7675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3472FDB">
            <w:pPr>
              <w:widowControl/>
              <w:spacing w:line="320" w:lineRule="exact"/>
              <w:rPr>
                <w:rFonts w:hint="eastAsia" w:ascii="仿宋" w:hAnsi="仿宋" w:eastAsia="仿宋" w:cs="仿宋"/>
                <w:kern w:val="0"/>
                <w:szCs w:val="21"/>
                <w:lang w:eastAsia="zh-CN"/>
              </w:rPr>
            </w:pPr>
            <w:r>
              <w:rPr>
                <w:rFonts w:hint="eastAsia" w:ascii="仿宋" w:hAnsi="仿宋" w:eastAsia="仿宋" w:cs="仿宋"/>
                <w:kern w:val="0"/>
                <w:szCs w:val="21"/>
                <w:lang w:eastAsia="zh-CN"/>
              </w:rPr>
              <w:t>青少年综干预卫生健康项目经费</w:t>
            </w:r>
          </w:p>
        </w:tc>
        <w:tc>
          <w:tcPr>
            <w:tcW w:w="2137" w:type="dxa"/>
            <w:gridSpan w:val="2"/>
            <w:tcBorders>
              <w:top w:val="single" w:color="auto" w:sz="4" w:space="0"/>
              <w:left w:val="nil"/>
              <w:bottom w:val="single" w:color="auto" w:sz="4" w:space="0"/>
              <w:right w:val="single" w:color="000000" w:sz="4" w:space="0"/>
            </w:tcBorders>
            <w:vAlign w:val="center"/>
          </w:tcPr>
          <w:p w14:paraId="022403AB">
            <w:pPr>
              <w:widowControl/>
              <w:spacing w:line="320" w:lineRule="exact"/>
              <w:jc w:val="center"/>
              <w:rPr>
                <w:rFonts w:hint="default" w:ascii="仿宋" w:hAnsi="仿宋" w:eastAsia="仿宋" w:cs="仿宋"/>
                <w:kern w:val="0"/>
                <w:sz w:val="21"/>
                <w:szCs w:val="21"/>
                <w:lang w:val="en-US" w:eastAsia="zh-CN"/>
              </w:rPr>
            </w:pPr>
          </w:p>
        </w:tc>
        <w:tc>
          <w:tcPr>
            <w:tcW w:w="2055" w:type="dxa"/>
            <w:gridSpan w:val="2"/>
            <w:tcBorders>
              <w:top w:val="single" w:color="auto" w:sz="4" w:space="0"/>
              <w:left w:val="nil"/>
              <w:bottom w:val="single" w:color="auto" w:sz="4" w:space="0"/>
              <w:right w:val="single" w:color="000000" w:sz="4" w:space="0"/>
            </w:tcBorders>
            <w:vAlign w:val="center"/>
          </w:tcPr>
          <w:p w14:paraId="1E779DEC">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14:paraId="0AEF772A">
            <w:pPr>
              <w:widowControl/>
              <w:spacing w:line="320" w:lineRule="exact"/>
              <w:jc w:val="center"/>
              <w:rPr>
                <w:rFonts w:hint="eastAsia" w:ascii="仿宋" w:hAnsi="仿宋" w:eastAsia="仿宋" w:cs="仿宋"/>
                <w:kern w:val="0"/>
                <w:sz w:val="21"/>
                <w:szCs w:val="21"/>
                <w:lang w:val="en-US" w:eastAsia="zh-CN"/>
              </w:rPr>
            </w:pPr>
          </w:p>
        </w:tc>
      </w:tr>
      <w:tr w14:paraId="2CA5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436FBE8">
            <w:pPr>
              <w:widowControl/>
              <w:spacing w:line="320" w:lineRule="exact"/>
              <w:rPr>
                <w:rFonts w:hint="eastAsia" w:ascii="仿宋" w:hAnsi="仿宋" w:eastAsia="仿宋" w:cs="仿宋"/>
                <w:kern w:val="0"/>
                <w:szCs w:val="21"/>
                <w:lang w:eastAsia="zh-CN"/>
              </w:rPr>
            </w:pPr>
            <w:r>
              <w:rPr>
                <w:rFonts w:hint="eastAsia" w:ascii="仿宋" w:hAnsi="仿宋" w:eastAsia="仿宋" w:cs="仿宋"/>
                <w:kern w:val="0"/>
                <w:szCs w:val="21"/>
                <w:lang w:eastAsia="zh-CN"/>
              </w:rPr>
              <w:t>用于社会福利的彩票公益金支出</w:t>
            </w:r>
          </w:p>
        </w:tc>
        <w:tc>
          <w:tcPr>
            <w:tcW w:w="2137" w:type="dxa"/>
            <w:gridSpan w:val="2"/>
            <w:tcBorders>
              <w:top w:val="single" w:color="auto" w:sz="4" w:space="0"/>
              <w:left w:val="nil"/>
              <w:bottom w:val="single" w:color="auto" w:sz="4" w:space="0"/>
              <w:right w:val="single" w:color="000000" w:sz="4" w:space="0"/>
            </w:tcBorders>
            <w:vAlign w:val="center"/>
          </w:tcPr>
          <w:p w14:paraId="659304CF">
            <w:pPr>
              <w:widowControl/>
              <w:spacing w:line="320" w:lineRule="exact"/>
              <w:jc w:val="center"/>
              <w:rPr>
                <w:rFonts w:hint="default" w:ascii="仿宋" w:hAnsi="仿宋" w:eastAsia="仿宋" w:cs="仿宋"/>
                <w:kern w:val="0"/>
                <w:sz w:val="21"/>
                <w:szCs w:val="21"/>
                <w:lang w:val="en-US" w:eastAsia="zh-CN"/>
              </w:rPr>
            </w:pPr>
          </w:p>
        </w:tc>
        <w:tc>
          <w:tcPr>
            <w:tcW w:w="2055" w:type="dxa"/>
            <w:gridSpan w:val="2"/>
            <w:tcBorders>
              <w:top w:val="single" w:color="auto" w:sz="4" w:space="0"/>
              <w:left w:val="nil"/>
              <w:bottom w:val="single" w:color="auto" w:sz="4" w:space="0"/>
              <w:right w:val="single" w:color="000000" w:sz="4" w:space="0"/>
            </w:tcBorders>
            <w:vAlign w:val="center"/>
          </w:tcPr>
          <w:p w14:paraId="727327E8">
            <w:pPr>
              <w:widowControl/>
              <w:spacing w:line="320" w:lineRule="exact"/>
              <w:jc w:val="center"/>
              <w:rPr>
                <w:rFonts w:hint="default" w:ascii="仿宋" w:hAnsi="仿宋" w:eastAsia="仿宋" w:cs="仿宋"/>
                <w:kern w:val="0"/>
                <w:sz w:val="21"/>
                <w:szCs w:val="21"/>
                <w:lang w:val="en-US" w:eastAsia="zh-CN"/>
              </w:rPr>
            </w:pPr>
          </w:p>
        </w:tc>
        <w:tc>
          <w:tcPr>
            <w:tcW w:w="2310" w:type="dxa"/>
            <w:gridSpan w:val="2"/>
            <w:tcBorders>
              <w:top w:val="single" w:color="auto" w:sz="4" w:space="0"/>
              <w:left w:val="nil"/>
              <w:bottom w:val="single" w:color="auto" w:sz="4" w:space="0"/>
              <w:right w:val="single" w:color="000000" w:sz="4" w:space="0"/>
            </w:tcBorders>
            <w:vAlign w:val="center"/>
          </w:tcPr>
          <w:p w14:paraId="11BE3C34">
            <w:pPr>
              <w:widowControl/>
              <w:spacing w:line="320" w:lineRule="exact"/>
              <w:jc w:val="center"/>
              <w:rPr>
                <w:rFonts w:hint="default" w:ascii="仿宋" w:hAnsi="仿宋" w:eastAsia="仿宋" w:cs="仿宋"/>
                <w:kern w:val="0"/>
                <w:sz w:val="21"/>
                <w:szCs w:val="21"/>
                <w:lang w:val="en-US" w:eastAsia="zh-CN"/>
              </w:rPr>
            </w:pPr>
          </w:p>
        </w:tc>
      </w:tr>
      <w:tr w14:paraId="41D6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402B2C52">
            <w:pPr>
              <w:widowControl/>
              <w:spacing w:line="320" w:lineRule="exact"/>
              <w:rPr>
                <w:rFonts w:hint="eastAsia" w:ascii="仿宋" w:hAnsi="仿宋" w:eastAsia="仿宋" w:cs="仿宋"/>
                <w:kern w:val="0"/>
                <w:szCs w:val="21"/>
                <w:lang w:eastAsia="zh-CN"/>
              </w:rPr>
            </w:pPr>
            <w:r>
              <w:rPr>
                <w:rFonts w:hint="eastAsia" w:ascii="仿宋" w:hAnsi="仿宋" w:eastAsia="仿宋" w:cs="仿宋"/>
                <w:kern w:val="0"/>
                <w:szCs w:val="21"/>
                <w:lang w:val="en-US" w:eastAsia="zh-CN"/>
              </w:rPr>
              <w:t>疫情防控支出</w:t>
            </w:r>
          </w:p>
        </w:tc>
        <w:tc>
          <w:tcPr>
            <w:tcW w:w="2137" w:type="dxa"/>
            <w:gridSpan w:val="2"/>
            <w:tcBorders>
              <w:top w:val="single" w:color="auto" w:sz="4" w:space="0"/>
              <w:left w:val="nil"/>
              <w:bottom w:val="single" w:color="auto" w:sz="4" w:space="0"/>
              <w:right w:val="single" w:color="000000" w:sz="4" w:space="0"/>
            </w:tcBorders>
            <w:vAlign w:val="center"/>
          </w:tcPr>
          <w:p w14:paraId="4D1711B9">
            <w:pPr>
              <w:widowControl/>
              <w:spacing w:line="320" w:lineRule="exact"/>
              <w:jc w:val="center"/>
              <w:rPr>
                <w:rFonts w:hint="eastAsia" w:ascii="仿宋" w:hAnsi="仿宋" w:eastAsia="仿宋" w:cs="仿宋"/>
                <w:kern w:val="0"/>
                <w:sz w:val="21"/>
                <w:szCs w:val="21"/>
                <w:lang w:val="en-US" w:eastAsia="zh-CN"/>
              </w:rPr>
            </w:pPr>
          </w:p>
        </w:tc>
        <w:tc>
          <w:tcPr>
            <w:tcW w:w="2055" w:type="dxa"/>
            <w:gridSpan w:val="2"/>
            <w:tcBorders>
              <w:top w:val="single" w:color="auto" w:sz="4" w:space="0"/>
              <w:left w:val="nil"/>
              <w:bottom w:val="single" w:color="auto" w:sz="4" w:space="0"/>
              <w:right w:val="single" w:color="000000" w:sz="4" w:space="0"/>
            </w:tcBorders>
            <w:vAlign w:val="center"/>
          </w:tcPr>
          <w:p w14:paraId="3B092C35">
            <w:pPr>
              <w:widowControl/>
              <w:spacing w:line="320" w:lineRule="exact"/>
              <w:jc w:val="center"/>
              <w:rPr>
                <w:rFonts w:hint="default" w:ascii="仿宋" w:hAnsi="仿宋" w:eastAsia="仿宋" w:cs="仿宋"/>
                <w:kern w:val="0"/>
                <w:sz w:val="21"/>
                <w:szCs w:val="21"/>
                <w:lang w:val="en-US" w:eastAsia="zh-CN"/>
              </w:rPr>
            </w:pPr>
          </w:p>
        </w:tc>
        <w:tc>
          <w:tcPr>
            <w:tcW w:w="2310" w:type="dxa"/>
            <w:gridSpan w:val="2"/>
            <w:tcBorders>
              <w:top w:val="single" w:color="auto" w:sz="4" w:space="0"/>
              <w:left w:val="nil"/>
              <w:bottom w:val="single" w:color="auto" w:sz="4" w:space="0"/>
              <w:right w:val="single" w:color="000000" w:sz="4" w:space="0"/>
            </w:tcBorders>
            <w:vAlign w:val="center"/>
          </w:tcPr>
          <w:p w14:paraId="3203D79A">
            <w:pPr>
              <w:widowControl/>
              <w:spacing w:line="320" w:lineRule="exact"/>
              <w:jc w:val="center"/>
              <w:rPr>
                <w:rFonts w:hint="default" w:ascii="仿宋" w:hAnsi="仿宋" w:eastAsia="仿宋" w:cs="仿宋"/>
                <w:kern w:val="0"/>
                <w:sz w:val="21"/>
                <w:szCs w:val="21"/>
                <w:lang w:val="en-US" w:eastAsia="zh-CN"/>
              </w:rPr>
            </w:pPr>
          </w:p>
        </w:tc>
      </w:tr>
      <w:tr w14:paraId="53AD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2F377FE">
            <w:pPr>
              <w:widowControl/>
              <w:spacing w:line="320" w:lineRule="exact"/>
              <w:rPr>
                <w:rFonts w:hint="eastAsia" w:ascii="仿宋" w:hAnsi="仿宋" w:eastAsia="仿宋" w:cs="仿宋"/>
                <w:kern w:val="0"/>
                <w:szCs w:val="21"/>
                <w:lang w:val="en-US" w:eastAsia="zh-CN"/>
              </w:rPr>
            </w:pPr>
            <w:r>
              <w:rPr>
                <w:rFonts w:hint="eastAsia" w:ascii="仿宋" w:hAnsi="仿宋" w:eastAsia="仿宋" w:cs="仿宋"/>
                <w:kern w:val="0"/>
                <w:szCs w:val="21"/>
                <w:lang w:eastAsia="zh-CN"/>
              </w:rPr>
              <w:t>农村最低生活保障金支出</w:t>
            </w:r>
          </w:p>
        </w:tc>
        <w:tc>
          <w:tcPr>
            <w:tcW w:w="2137" w:type="dxa"/>
            <w:gridSpan w:val="2"/>
            <w:tcBorders>
              <w:top w:val="single" w:color="auto" w:sz="4" w:space="0"/>
              <w:left w:val="nil"/>
              <w:bottom w:val="single" w:color="auto" w:sz="4" w:space="0"/>
              <w:right w:val="single" w:color="000000" w:sz="4" w:space="0"/>
            </w:tcBorders>
            <w:vAlign w:val="center"/>
          </w:tcPr>
          <w:p w14:paraId="67826ABB">
            <w:pPr>
              <w:widowControl/>
              <w:spacing w:line="320" w:lineRule="exact"/>
              <w:jc w:val="center"/>
              <w:rPr>
                <w:rFonts w:hint="default" w:ascii="仿宋" w:hAnsi="仿宋" w:eastAsia="仿宋" w:cs="仿宋"/>
                <w:kern w:val="0"/>
                <w:sz w:val="21"/>
                <w:szCs w:val="21"/>
                <w:lang w:val="en-US" w:eastAsia="zh-CN"/>
              </w:rPr>
            </w:pPr>
          </w:p>
        </w:tc>
        <w:tc>
          <w:tcPr>
            <w:tcW w:w="2055" w:type="dxa"/>
            <w:gridSpan w:val="2"/>
            <w:tcBorders>
              <w:top w:val="single" w:color="auto" w:sz="4" w:space="0"/>
              <w:left w:val="nil"/>
              <w:bottom w:val="single" w:color="auto" w:sz="4" w:space="0"/>
              <w:right w:val="single" w:color="000000" w:sz="4" w:space="0"/>
            </w:tcBorders>
            <w:vAlign w:val="center"/>
          </w:tcPr>
          <w:p w14:paraId="102B0A71">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14:paraId="1C5DB4DD">
            <w:pPr>
              <w:widowControl/>
              <w:spacing w:line="320" w:lineRule="exact"/>
              <w:jc w:val="center"/>
              <w:rPr>
                <w:rFonts w:hint="eastAsia" w:ascii="仿宋" w:hAnsi="仿宋" w:eastAsia="仿宋" w:cs="仿宋"/>
                <w:kern w:val="0"/>
                <w:sz w:val="21"/>
                <w:szCs w:val="21"/>
                <w:lang w:val="en-US" w:eastAsia="zh-CN"/>
              </w:rPr>
            </w:pPr>
          </w:p>
        </w:tc>
      </w:tr>
      <w:tr w14:paraId="44A8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16C46C3A">
            <w:pPr>
              <w:widowControl/>
              <w:spacing w:line="320" w:lineRule="exact"/>
              <w:rPr>
                <w:rFonts w:hint="eastAsia" w:ascii="仿宋" w:hAnsi="仿宋" w:eastAsia="仿宋" w:cs="仿宋"/>
                <w:kern w:val="0"/>
                <w:szCs w:val="21"/>
                <w:lang w:eastAsia="zh-CN"/>
              </w:rPr>
            </w:pPr>
            <w:r>
              <w:rPr>
                <w:rFonts w:hint="eastAsia" w:ascii="仿宋" w:hAnsi="仿宋" w:eastAsia="仿宋" w:cs="仿宋"/>
                <w:kern w:val="0"/>
                <w:szCs w:val="21"/>
                <w:lang w:eastAsia="zh-CN"/>
              </w:rPr>
              <w:t>城乡社区公共设施支出（妇计中心整体搬迁项目附属工程）</w:t>
            </w:r>
          </w:p>
        </w:tc>
        <w:tc>
          <w:tcPr>
            <w:tcW w:w="2137" w:type="dxa"/>
            <w:gridSpan w:val="2"/>
            <w:tcBorders>
              <w:top w:val="single" w:color="auto" w:sz="4" w:space="0"/>
              <w:left w:val="nil"/>
              <w:bottom w:val="single" w:color="auto" w:sz="4" w:space="0"/>
              <w:right w:val="single" w:color="000000" w:sz="4" w:space="0"/>
            </w:tcBorders>
            <w:vAlign w:val="center"/>
          </w:tcPr>
          <w:p w14:paraId="5C77D2AC">
            <w:pPr>
              <w:widowControl/>
              <w:spacing w:line="320" w:lineRule="exact"/>
              <w:jc w:val="center"/>
              <w:rPr>
                <w:rFonts w:hint="eastAsia" w:ascii="仿宋" w:hAnsi="仿宋" w:eastAsia="仿宋" w:cs="仿宋"/>
                <w:kern w:val="0"/>
                <w:sz w:val="21"/>
                <w:szCs w:val="21"/>
                <w:lang w:val="en-US" w:eastAsia="zh-CN"/>
              </w:rPr>
            </w:pPr>
          </w:p>
        </w:tc>
        <w:tc>
          <w:tcPr>
            <w:tcW w:w="2055" w:type="dxa"/>
            <w:gridSpan w:val="2"/>
            <w:tcBorders>
              <w:top w:val="single" w:color="auto" w:sz="4" w:space="0"/>
              <w:left w:val="nil"/>
              <w:bottom w:val="single" w:color="auto" w:sz="4" w:space="0"/>
              <w:right w:val="single" w:color="000000" w:sz="4" w:space="0"/>
            </w:tcBorders>
            <w:vAlign w:val="center"/>
          </w:tcPr>
          <w:p w14:paraId="7508254D">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130</w:t>
            </w:r>
          </w:p>
        </w:tc>
        <w:tc>
          <w:tcPr>
            <w:tcW w:w="2310" w:type="dxa"/>
            <w:gridSpan w:val="2"/>
            <w:tcBorders>
              <w:top w:val="single" w:color="auto" w:sz="4" w:space="0"/>
              <w:left w:val="nil"/>
              <w:bottom w:val="single" w:color="auto" w:sz="4" w:space="0"/>
              <w:right w:val="single" w:color="000000" w:sz="4" w:space="0"/>
            </w:tcBorders>
            <w:vAlign w:val="center"/>
          </w:tcPr>
          <w:p w14:paraId="5C73A2E8">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116.47</w:t>
            </w:r>
          </w:p>
        </w:tc>
      </w:tr>
      <w:tr w14:paraId="5D0F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0701C7C5">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vAlign w:val="center"/>
          </w:tcPr>
          <w:p w14:paraId="558956D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Cs w:val="21"/>
                <w:lang w:val="en-US" w:eastAsia="zh-CN"/>
              </w:rPr>
              <w:t>285.84</w:t>
            </w:r>
          </w:p>
        </w:tc>
        <w:tc>
          <w:tcPr>
            <w:tcW w:w="2055" w:type="dxa"/>
            <w:gridSpan w:val="2"/>
            <w:tcBorders>
              <w:top w:val="single" w:color="auto" w:sz="4" w:space="0"/>
              <w:left w:val="nil"/>
              <w:bottom w:val="single" w:color="auto" w:sz="4" w:space="0"/>
              <w:right w:val="single" w:color="000000" w:sz="4" w:space="0"/>
            </w:tcBorders>
            <w:vAlign w:val="center"/>
          </w:tcPr>
          <w:p w14:paraId="36B1237D">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kern w:val="0"/>
                <w:szCs w:val="21"/>
                <w:lang w:val="en-US" w:eastAsia="zh-CN"/>
              </w:rPr>
              <w:t>283</w:t>
            </w:r>
          </w:p>
        </w:tc>
        <w:tc>
          <w:tcPr>
            <w:tcW w:w="2310" w:type="dxa"/>
            <w:gridSpan w:val="2"/>
            <w:tcBorders>
              <w:top w:val="single" w:color="auto" w:sz="4" w:space="0"/>
              <w:left w:val="nil"/>
              <w:bottom w:val="single" w:color="auto" w:sz="4" w:space="0"/>
              <w:right w:val="single" w:color="000000" w:sz="4" w:space="0"/>
            </w:tcBorders>
            <w:vAlign w:val="center"/>
          </w:tcPr>
          <w:p w14:paraId="1DFF031D">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kern w:val="0"/>
                <w:szCs w:val="21"/>
                <w:lang w:val="en-US" w:eastAsia="zh-CN"/>
              </w:rPr>
              <w:t>320.42</w:t>
            </w:r>
          </w:p>
        </w:tc>
      </w:tr>
      <w:tr w14:paraId="5C2B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481D664B">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vAlign w:val="center"/>
          </w:tcPr>
          <w:p w14:paraId="5632D5D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Cs w:val="21"/>
                <w:lang w:val="en-US" w:eastAsia="zh-CN"/>
              </w:rPr>
              <w:t>9.29</w:t>
            </w:r>
          </w:p>
        </w:tc>
        <w:tc>
          <w:tcPr>
            <w:tcW w:w="2055" w:type="dxa"/>
            <w:gridSpan w:val="2"/>
            <w:tcBorders>
              <w:top w:val="single" w:color="auto" w:sz="4" w:space="0"/>
              <w:left w:val="nil"/>
              <w:bottom w:val="single" w:color="auto" w:sz="4" w:space="0"/>
              <w:right w:val="single" w:color="000000" w:sz="4" w:space="0"/>
            </w:tcBorders>
            <w:vAlign w:val="center"/>
          </w:tcPr>
          <w:p w14:paraId="0790CF7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Cs w:val="21"/>
                <w:lang w:val="en-US" w:eastAsia="zh-CN"/>
              </w:rPr>
              <w:t>49.32</w:t>
            </w:r>
          </w:p>
        </w:tc>
        <w:tc>
          <w:tcPr>
            <w:tcW w:w="2310" w:type="dxa"/>
            <w:gridSpan w:val="2"/>
            <w:tcBorders>
              <w:top w:val="single" w:color="auto" w:sz="4" w:space="0"/>
              <w:left w:val="nil"/>
              <w:bottom w:val="single" w:color="auto" w:sz="4" w:space="0"/>
              <w:right w:val="single" w:color="000000" w:sz="4" w:space="0"/>
            </w:tcBorders>
            <w:vAlign w:val="center"/>
          </w:tcPr>
          <w:p w14:paraId="52B832EB">
            <w:pPr>
              <w:widowControl/>
              <w:spacing w:line="320" w:lineRule="exact"/>
              <w:jc w:val="center"/>
              <w:rPr>
                <w:rFonts w:hint="default" w:ascii="仿宋" w:hAnsi="仿宋" w:eastAsia="仿宋" w:cs="仿宋"/>
                <w:kern w:val="0"/>
                <w:sz w:val="21"/>
                <w:szCs w:val="21"/>
                <w:lang w:val="en-US"/>
              </w:rPr>
            </w:pPr>
            <w:r>
              <w:rPr>
                <w:rFonts w:hint="eastAsia" w:ascii="仿宋" w:hAnsi="仿宋" w:eastAsia="仿宋" w:cs="仿宋"/>
                <w:kern w:val="0"/>
                <w:szCs w:val="21"/>
                <w:lang w:val="en-US" w:eastAsia="zh-CN"/>
              </w:rPr>
              <w:t>14.45</w:t>
            </w:r>
          </w:p>
        </w:tc>
      </w:tr>
      <w:tr w14:paraId="2EBB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36654B3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vAlign w:val="center"/>
          </w:tcPr>
          <w:p w14:paraId="54541D6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Cs w:val="21"/>
              </w:rPr>
              <w:t>　</w:t>
            </w:r>
            <w:r>
              <w:rPr>
                <w:rFonts w:hint="eastAsia" w:ascii="仿宋" w:hAnsi="仿宋" w:eastAsia="仿宋" w:cs="仿宋"/>
                <w:kern w:val="0"/>
                <w:szCs w:val="21"/>
                <w:lang w:val="en-US" w:eastAsia="zh-CN"/>
              </w:rPr>
              <w:t>36.55</w:t>
            </w:r>
          </w:p>
        </w:tc>
        <w:tc>
          <w:tcPr>
            <w:tcW w:w="2055" w:type="dxa"/>
            <w:gridSpan w:val="2"/>
            <w:tcBorders>
              <w:top w:val="single" w:color="auto" w:sz="4" w:space="0"/>
              <w:left w:val="nil"/>
              <w:bottom w:val="single" w:color="auto" w:sz="4" w:space="0"/>
              <w:right w:val="single" w:color="000000" w:sz="4" w:space="0"/>
            </w:tcBorders>
            <w:vAlign w:val="center"/>
          </w:tcPr>
          <w:p w14:paraId="0195D74C">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14:paraId="336D062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Cs w:val="21"/>
              </w:rPr>
              <w:t>　</w:t>
            </w:r>
            <w:r>
              <w:rPr>
                <w:rFonts w:hint="eastAsia" w:ascii="仿宋" w:hAnsi="仿宋" w:eastAsia="仿宋" w:cs="仿宋"/>
                <w:kern w:val="0"/>
                <w:szCs w:val="21"/>
                <w:lang w:val="en-US" w:eastAsia="zh-CN"/>
              </w:rPr>
              <w:t>41.36</w:t>
            </w:r>
          </w:p>
        </w:tc>
      </w:tr>
      <w:tr w14:paraId="1317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7622D749">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vAlign w:val="center"/>
          </w:tcPr>
          <w:p w14:paraId="130F223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Cs w:val="21"/>
              </w:rPr>
              <w:t>　</w:t>
            </w:r>
            <w:r>
              <w:rPr>
                <w:rFonts w:hint="eastAsia" w:ascii="仿宋" w:hAnsi="仿宋" w:eastAsia="仿宋" w:cs="仿宋"/>
                <w:kern w:val="0"/>
                <w:szCs w:val="21"/>
                <w:lang w:val="en-US" w:eastAsia="zh-CN"/>
              </w:rPr>
              <w:t>4.5</w:t>
            </w:r>
          </w:p>
        </w:tc>
        <w:tc>
          <w:tcPr>
            <w:tcW w:w="2055" w:type="dxa"/>
            <w:gridSpan w:val="2"/>
            <w:tcBorders>
              <w:top w:val="single" w:color="auto" w:sz="4" w:space="0"/>
              <w:left w:val="nil"/>
              <w:bottom w:val="single" w:color="auto" w:sz="4" w:space="0"/>
              <w:right w:val="single" w:color="000000" w:sz="4" w:space="0"/>
            </w:tcBorders>
            <w:vAlign w:val="center"/>
          </w:tcPr>
          <w:p w14:paraId="2533F5E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50E99E05">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6.98</w:t>
            </w:r>
          </w:p>
        </w:tc>
      </w:tr>
      <w:tr w14:paraId="08FE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3DB35DB">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vAlign w:val="center"/>
          </w:tcPr>
          <w:p w14:paraId="2A3FF3E5">
            <w:pPr>
              <w:widowControl/>
              <w:spacing w:line="320" w:lineRule="exact"/>
              <w:ind w:firstLine="630" w:firstLineChars="300"/>
              <w:jc w:val="both"/>
              <w:rPr>
                <w:rFonts w:hint="eastAsia" w:ascii="仿宋" w:hAnsi="仿宋" w:eastAsia="仿宋" w:cs="仿宋"/>
                <w:kern w:val="0"/>
                <w:sz w:val="21"/>
                <w:szCs w:val="21"/>
              </w:rPr>
            </w:pPr>
            <w:r>
              <w:rPr>
                <w:rFonts w:hint="eastAsia" w:ascii="仿宋" w:hAnsi="仿宋" w:eastAsia="仿宋" w:cs="仿宋"/>
                <w:kern w:val="0"/>
                <w:szCs w:val="21"/>
                <w:lang w:val="en-US" w:eastAsia="zh-CN"/>
              </w:rPr>
              <w:t>408.79</w:t>
            </w:r>
          </w:p>
        </w:tc>
        <w:tc>
          <w:tcPr>
            <w:tcW w:w="2055" w:type="dxa"/>
            <w:gridSpan w:val="2"/>
            <w:tcBorders>
              <w:top w:val="single" w:color="auto" w:sz="4" w:space="0"/>
              <w:left w:val="nil"/>
              <w:bottom w:val="single" w:color="auto" w:sz="4" w:space="0"/>
              <w:right w:val="single" w:color="000000" w:sz="4" w:space="0"/>
            </w:tcBorders>
            <w:vAlign w:val="center"/>
          </w:tcPr>
          <w:p w14:paraId="09DCE92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Cs w:val="21"/>
                <w:lang w:val="en-US" w:eastAsia="zh-CN"/>
              </w:rPr>
              <w:t>958</w:t>
            </w:r>
            <w:r>
              <w:rPr>
                <w:rFonts w:hint="eastAsia" w:ascii="仿宋" w:hAnsi="仿宋" w:eastAsia="仿宋" w:cs="仿宋"/>
                <w:kern w:val="0"/>
                <w:szCs w:val="21"/>
              </w:rPr>
              <w:t>　</w:t>
            </w:r>
          </w:p>
        </w:tc>
        <w:tc>
          <w:tcPr>
            <w:tcW w:w="2310" w:type="dxa"/>
            <w:gridSpan w:val="2"/>
            <w:tcBorders>
              <w:top w:val="single" w:color="auto" w:sz="4" w:space="0"/>
              <w:left w:val="nil"/>
              <w:bottom w:val="single" w:color="auto" w:sz="4" w:space="0"/>
              <w:right w:val="single" w:color="000000" w:sz="4" w:space="0"/>
            </w:tcBorders>
            <w:vAlign w:val="center"/>
          </w:tcPr>
          <w:p w14:paraId="7DFA778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222.19</w:t>
            </w:r>
          </w:p>
        </w:tc>
      </w:tr>
      <w:tr w14:paraId="09C4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14:paraId="27DFB2A2">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vAlign w:val="center"/>
          </w:tcPr>
          <w:p w14:paraId="24CC3F45">
            <w:pPr>
              <w:widowControl/>
              <w:spacing w:line="320" w:lineRule="exact"/>
              <w:jc w:val="both"/>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vAlign w:val="center"/>
          </w:tcPr>
          <w:p w14:paraId="2A79076C">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vAlign w:val="center"/>
          </w:tcPr>
          <w:p w14:paraId="2E76349C">
            <w:pPr>
              <w:widowControl/>
              <w:spacing w:line="320" w:lineRule="exact"/>
              <w:jc w:val="center"/>
              <w:rPr>
                <w:rFonts w:hint="eastAsia" w:ascii="仿宋" w:hAnsi="仿宋" w:eastAsia="仿宋" w:cs="仿宋"/>
                <w:kern w:val="0"/>
                <w:sz w:val="21"/>
                <w:szCs w:val="21"/>
              </w:rPr>
            </w:pPr>
          </w:p>
        </w:tc>
      </w:tr>
      <w:tr w14:paraId="234E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vAlign w:val="center"/>
          </w:tcPr>
          <w:p w14:paraId="178EAFAF">
            <w:pPr>
              <w:widowControl/>
              <w:spacing w:line="320" w:lineRule="exact"/>
              <w:jc w:val="center"/>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rPr>
              <w:t>楼堂馆所控制情况</w:t>
            </w:r>
          </w:p>
          <w:p w14:paraId="7ADD5BA8">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w:t>
            </w:r>
            <w:r>
              <w:rPr>
                <w:rFonts w:hint="eastAsia" w:ascii="仿宋" w:hAnsi="仿宋" w:eastAsia="仿宋" w:cs="仿宋"/>
                <w:b/>
                <w:bCs/>
                <w:kern w:val="0"/>
                <w:sz w:val="21"/>
                <w:szCs w:val="21"/>
                <w:lang w:val="en-US" w:eastAsia="zh-CN"/>
              </w:rPr>
              <w:t>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vAlign w:val="center"/>
          </w:tcPr>
          <w:p w14:paraId="42826B0E">
            <w:pPr>
              <w:widowControl/>
              <w:spacing w:line="320" w:lineRule="exact"/>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批复规模</w:t>
            </w:r>
          </w:p>
          <w:p w14:paraId="74702D4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vAlign w:val="center"/>
          </w:tcPr>
          <w:p w14:paraId="030B95C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vAlign w:val="center"/>
          </w:tcPr>
          <w:p w14:paraId="40A32F6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vAlign w:val="center"/>
          </w:tcPr>
          <w:p w14:paraId="1AC541B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vAlign w:val="center"/>
          </w:tcPr>
          <w:p w14:paraId="2C6C1E6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vAlign w:val="center"/>
          </w:tcPr>
          <w:p w14:paraId="682846F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6FF3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vAlign w:val="center"/>
          </w:tcPr>
          <w:p w14:paraId="60D2A03B">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vAlign w:val="center"/>
          </w:tcPr>
          <w:p w14:paraId="2DE7865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vAlign w:val="center"/>
          </w:tcPr>
          <w:p w14:paraId="72A9C9A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vAlign w:val="center"/>
          </w:tcPr>
          <w:p w14:paraId="0E46F83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vAlign w:val="center"/>
          </w:tcPr>
          <w:p w14:paraId="6FAC8904">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vAlign w:val="center"/>
          </w:tcPr>
          <w:p w14:paraId="55B8A3D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vAlign w:val="center"/>
          </w:tcPr>
          <w:p w14:paraId="619601C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4B225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vAlign w:val="center"/>
          </w:tcPr>
          <w:p w14:paraId="7814EA12">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vAlign w:val="center"/>
          </w:tcPr>
          <w:p w14:paraId="54049A6D">
            <w:pPr>
              <w:numPr>
                <w:ilvl w:val="0"/>
                <w:numId w:val="0"/>
              </w:numPr>
              <w:spacing w:line="240" w:lineRule="exact"/>
              <w:rPr>
                <w:rFonts w:hint="eastAsia"/>
                <w:lang w:val="en-US" w:eastAsia="zh-CN"/>
              </w:rPr>
            </w:pPr>
            <w:r>
              <w:rPr>
                <w:rFonts w:hint="eastAsia"/>
                <w:lang w:val="en-US" w:eastAsia="zh-CN"/>
              </w:rPr>
              <w:t>1、把厉行节约工作纳入工作人员年度考核内容。</w:t>
            </w:r>
          </w:p>
          <w:p w14:paraId="0C991A77">
            <w:pPr>
              <w:pStyle w:val="6"/>
              <w:numPr>
                <w:ilvl w:val="0"/>
                <w:numId w:val="0"/>
              </w:numPr>
              <w:rPr>
                <w:rFonts w:hint="eastAsia"/>
                <w:lang w:val="en-US" w:eastAsia="zh-CN"/>
              </w:rPr>
            </w:pPr>
            <w:r>
              <w:rPr>
                <w:rFonts w:hint="eastAsia"/>
                <w:lang w:val="en-US" w:eastAsia="zh-CN"/>
              </w:rPr>
              <w:t>2、各股室要建立严格的自查自纠制度，及时制止浪费行为。</w:t>
            </w:r>
          </w:p>
          <w:p w14:paraId="3A6DFE2C">
            <w:pPr>
              <w:pStyle w:val="7"/>
              <w:ind w:left="0" w:leftChars="0" w:firstLine="0" w:firstLineChars="0"/>
              <w:rPr>
                <w:rFonts w:hint="eastAsia"/>
                <w:lang w:val="en-US" w:eastAsia="zh-CN"/>
              </w:rPr>
            </w:pPr>
            <w:r>
              <w:rPr>
                <w:rFonts w:hint="eastAsia"/>
                <w:lang w:val="en-US" w:eastAsia="zh-CN"/>
              </w:rPr>
              <w:t>3、局机关加强对该工作制度的督促检查，定期公布各项费用支出情况，对浪费现象严重的及时予以通报批评。</w:t>
            </w:r>
          </w:p>
          <w:p w14:paraId="588A2355">
            <w:pPr>
              <w:spacing w:line="240" w:lineRule="exact"/>
              <w:ind w:firstLine="315" w:firstLineChars="150"/>
              <w:rPr>
                <w:rFonts w:hint="eastAsia" w:ascii="仿宋" w:hAnsi="仿宋" w:eastAsia="仿宋" w:cs="仿宋"/>
                <w:kern w:val="0"/>
                <w:sz w:val="21"/>
                <w:szCs w:val="21"/>
              </w:rPr>
            </w:pPr>
            <w:r>
              <w:rPr>
                <w:rFonts w:hint="eastAsia"/>
                <w:lang w:val="en-US" w:eastAsia="zh-CN"/>
              </w:rPr>
              <w:t>4、各部门领导干部以身作责，严格自侓，带头执行中办国办有关通知要求和外事规章制度。</w:t>
            </w:r>
          </w:p>
        </w:tc>
      </w:tr>
      <w:tr w14:paraId="1D5A5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vAlign w:val="center"/>
          </w:tcPr>
          <w:p w14:paraId="434324CA">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14:paraId="5D46FB8B">
            <w:pPr>
              <w:spacing w:line="240" w:lineRule="exact"/>
              <w:ind w:firstLine="315" w:firstLineChars="150"/>
              <w:rPr>
                <w:rFonts w:hint="eastAsia" w:ascii="仿宋" w:hAnsi="仿宋" w:eastAsia="仿宋" w:cs="仿宋"/>
                <w:kern w:val="0"/>
                <w:sz w:val="21"/>
                <w:szCs w:val="21"/>
              </w:rPr>
            </w:pPr>
          </w:p>
        </w:tc>
      </w:tr>
    </w:tbl>
    <w:p w14:paraId="0C37FD75">
      <w:pPr>
        <w:widowControl/>
        <w:spacing w:line="240" w:lineRule="exact"/>
        <w:jc w:val="left"/>
        <w:rPr>
          <w:rFonts w:hint="default" w:ascii="Times New Roman" w:hAnsi="Times New Roman" w:eastAsia="仿宋_GB2312" w:cs="Times New Roman"/>
          <w:kern w:val="0"/>
          <w:sz w:val="21"/>
          <w:szCs w:val="21"/>
        </w:rPr>
      </w:pPr>
    </w:p>
    <w:p w14:paraId="67813503">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18B0E430">
      <w:pPr>
        <w:pStyle w:val="5"/>
        <w:widowControl/>
        <w:pBdr>
          <w:top w:val="none" w:color="auto" w:sz="0" w:space="0"/>
          <w:left w:val="none" w:color="auto" w:sz="0" w:space="0"/>
          <w:bottom w:val="none" w:color="auto" w:sz="0" w:space="0"/>
          <w:right w:val="none" w:color="auto" w:sz="0" w:space="0"/>
        </w:pBdr>
        <w:shd w:val="clear" w:color="060000" w:fill="FFFFFF"/>
        <w:spacing w:before="62" w:beforeAutospacing="0" w:after="0" w:afterAutospacing="0" w:line="480" w:lineRule="atLeast"/>
        <w:ind w:left="0" w:right="0" w:firstLine="0"/>
        <w:jc w:val="both"/>
        <w:rPr>
          <w:rFonts w:hint="eastAsia" w:ascii="宋体" w:hAnsi="宋体" w:eastAsia="宋体" w:cs="宋体"/>
          <w:i w:val="0"/>
          <w:iCs w:val="0"/>
          <w:caps w:val="0"/>
          <w:color w:val="000000"/>
          <w:spacing w:val="0"/>
          <w:sz w:val="24"/>
          <w:szCs w:val="24"/>
        </w:rPr>
      </w:pPr>
    </w:p>
    <w:p w14:paraId="5076111E">
      <w:pPr>
        <w:spacing w:line="579" w:lineRule="exact"/>
        <w:rPr>
          <w:rFonts w:hint="eastAsia" w:ascii="黑体" w:hAnsi="黑体" w:eastAsia="黑体" w:cs="黑体"/>
          <w:color w:val="000000"/>
          <w:sz w:val="32"/>
          <w:szCs w:val="32"/>
        </w:rPr>
      </w:pPr>
    </w:p>
    <w:p w14:paraId="72B5FD15">
      <w:pPr>
        <w:spacing w:line="579" w:lineRule="exact"/>
        <w:rPr>
          <w:rFonts w:hint="eastAsia" w:ascii="黑体" w:hAnsi="黑体" w:eastAsia="黑体" w:cs="黑体"/>
          <w:color w:val="000000"/>
          <w:sz w:val="32"/>
          <w:szCs w:val="32"/>
        </w:rPr>
      </w:pPr>
    </w:p>
    <w:p w14:paraId="2D7C9D08">
      <w:pPr>
        <w:spacing w:line="579" w:lineRule="exact"/>
        <w:rPr>
          <w:rFonts w:hint="eastAsia" w:ascii="黑体" w:hAnsi="黑体" w:eastAsia="黑体" w:cs="黑体"/>
          <w:color w:val="000000"/>
          <w:sz w:val="32"/>
          <w:szCs w:val="32"/>
        </w:rPr>
      </w:pPr>
    </w:p>
    <w:p w14:paraId="1742314C">
      <w:pPr>
        <w:spacing w:line="579" w:lineRule="exact"/>
        <w:rPr>
          <w:rFonts w:hint="eastAsia" w:ascii="黑体" w:hAnsi="黑体" w:eastAsia="黑体" w:cs="黑体"/>
          <w:color w:val="000000"/>
          <w:sz w:val="32"/>
          <w:szCs w:val="32"/>
        </w:rPr>
      </w:pPr>
    </w:p>
    <w:p w14:paraId="194A5AA0">
      <w:pPr>
        <w:spacing w:line="579" w:lineRule="exact"/>
        <w:rPr>
          <w:rFonts w:hint="eastAsia" w:ascii="黑体" w:hAnsi="黑体" w:eastAsia="黑体" w:cs="黑体"/>
          <w:color w:val="000000"/>
          <w:sz w:val="32"/>
          <w:szCs w:val="32"/>
        </w:rPr>
      </w:pPr>
    </w:p>
    <w:p w14:paraId="2AA92246">
      <w:pPr>
        <w:spacing w:line="579" w:lineRule="exact"/>
        <w:rPr>
          <w:rFonts w:hint="eastAsia" w:ascii="黑体" w:hAnsi="黑体" w:eastAsia="黑体" w:cs="黑体"/>
          <w:color w:val="000000"/>
          <w:sz w:val="32"/>
          <w:szCs w:val="32"/>
        </w:rPr>
      </w:pPr>
    </w:p>
    <w:p w14:paraId="4116F8A9">
      <w:pPr>
        <w:spacing w:line="579" w:lineRule="exact"/>
        <w:rPr>
          <w:rFonts w:hint="eastAsia" w:ascii="黑体" w:hAnsi="黑体" w:eastAsia="黑体" w:cs="黑体"/>
          <w:color w:val="000000"/>
          <w:sz w:val="32"/>
          <w:szCs w:val="32"/>
        </w:rPr>
      </w:pPr>
    </w:p>
    <w:p w14:paraId="2A625684">
      <w:pPr>
        <w:spacing w:line="579" w:lineRule="exact"/>
        <w:rPr>
          <w:rFonts w:hint="eastAsia" w:ascii="黑体" w:hAnsi="黑体" w:eastAsia="黑体" w:cs="黑体"/>
          <w:color w:val="000000"/>
          <w:sz w:val="32"/>
          <w:szCs w:val="32"/>
        </w:rPr>
      </w:pPr>
    </w:p>
    <w:p w14:paraId="386E5A6D">
      <w:pPr>
        <w:spacing w:line="579" w:lineRule="exact"/>
        <w:rPr>
          <w:rFonts w:hint="eastAsia" w:ascii="黑体" w:hAnsi="黑体" w:eastAsia="黑体" w:cs="黑体"/>
          <w:color w:val="000000"/>
          <w:sz w:val="32"/>
          <w:szCs w:val="32"/>
        </w:rPr>
      </w:pPr>
    </w:p>
    <w:p w14:paraId="67EA1C14">
      <w:pPr>
        <w:spacing w:line="579" w:lineRule="exact"/>
        <w:rPr>
          <w:rFonts w:hint="eastAsia" w:ascii="黑体" w:hAnsi="黑体" w:eastAsia="黑体" w:cs="黑体"/>
          <w:color w:val="000000"/>
          <w:sz w:val="32"/>
          <w:szCs w:val="32"/>
        </w:rPr>
      </w:pPr>
    </w:p>
    <w:p w14:paraId="7F1E7C46">
      <w:pPr>
        <w:spacing w:line="579" w:lineRule="exact"/>
        <w:rPr>
          <w:rFonts w:hint="eastAsia" w:ascii="黑体" w:hAnsi="黑体" w:eastAsia="黑体" w:cs="黑体"/>
          <w:color w:val="000000"/>
          <w:sz w:val="32"/>
          <w:szCs w:val="32"/>
        </w:rPr>
      </w:pPr>
    </w:p>
    <w:p w14:paraId="1D6D68DD">
      <w:pPr>
        <w:spacing w:line="579" w:lineRule="exact"/>
        <w:rPr>
          <w:rFonts w:hint="eastAsia" w:ascii="黑体" w:hAnsi="黑体" w:eastAsia="黑体" w:cs="黑体"/>
          <w:color w:val="000000"/>
          <w:sz w:val="32"/>
          <w:szCs w:val="32"/>
        </w:rPr>
      </w:pPr>
    </w:p>
    <w:p w14:paraId="1CB2B6B5">
      <w:pPr>
        <w:spacing w:line="579" w:lineRule="exact"/>
        <w:rPr>
          <w:rFonts w:hint="eastAsia" w:ascii="黑体" w:hAnsi="黑体" w:eastAsia="黑体" w:cs="黑体"/>
          <w:color w:val="000000"/>
          <w:sz w:val="32"/>
          <w:szCs w:val="32"/>
        </w:rPr>
      </w:pPr>
    </w:p>
    <w:p w14:paraId="798A474D">
      <w:pPr>
        <w:spacing w:line="579" w:lineRule="exact"/>
        <w:rPr>
          <w:rFonts w:hint="eastAsia" w:ascii="黑体" w:hAnsi="黑体" w:eastAsia="黑体" w:cs="黑体"/>
          <w:color w:val="000000"/>
          <w:sz w:val="32"/>
          <w:szCs w:val="32"/>
        </w:rPr>
      </w:pPr>
    </w:p>
    <w:p w14:paraId="22ED005C">
      <w:pPr>
        <w:spacing w:line="579" w:lineRule="exact"/>
        <w:rPr>
          <w:rFonts w:hint="eastAsia" w:ascii="黑体" w:hAnsi="黑体" w:eastAsia="黑体" w:cs="黑体"/>
          <w:color w:val="000000"/>
          <w:sz w:val="32"/>
          <w:szCs w:val="32"/>
        </w:rPr>
      </w:pPr>
    </w:p>
    <w:p w14:paraId="65AAFBF3">
      <w:pPr>
        <w:spacing w:line="579" w:lineRule="exact"/>
        <w:rPr>
          <w:rFonts w:hint="eastAsia" w:ascii="黑体" w:hAnsi="黑体" w:eastAsia="黑体" w:cs="黑体"/>
          <w:color w:val="000000"/>
          <w:sz w:val="32"/>
          <w:szCs w:val="32"/>
        </w:rPr>
      </w:pPr>
    </w:p>
    <w:p w14:paraId="37CCDED3">
      <w:pPr>
        <w:spacing w:line="579" w:lineRule="exact"/>
        <w:rPr>
          <w:rFonts w:hint="eastAsia" w:ascii="黑体" w:hAnsi="黑体" w:eastAsia="黑体" w:cs="黑体"/>
          <w:color w:val="000000"/>
          <w:sz w:val="32"/>
          <w:szCs w:val="32"/>
        </w:rPr>
      </w:pPr>
    </w:p>
    <w:p w14:paraId="341A3B76">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附件2</w:t>
      </w:r>
    </w:p>
    <w:p w14:paraId="028707D3">
      <w:pPr>
        <w:widowControl w:val="0"/>
        <w:wordWrap/>
        <w:adjustRightInd/>
        <w:snapToGrid/>
        <w:spacing w:line="300" w:lineRule="exact"/>
        <w:textAlignment w:val="auto"/>
        <w:outlineLvl w:val="9"/>
        <w:rPr>
          <w:rFonts w:hint="default" w:ascii="Times New Roman" w:hAnsi="Times New Roman" w:eastAsia="黑体" w:cs="Times New Roman"/>
          <w:color w:val="000000"/>
          <w:sz w:val="32"/>
          <w:szCs w:val="32"/>
        </w:rPr>
      </w:pPr>
    </w:p>
    <w:p w14:paraId="2393FC45">
      <w:pPr>
        <w:spacing w:line="740" w:lineRule="exact"/>
        <w:jc w:val="center"/>
        <w:rPr>
          <w:rFonts w:hint="eastAsia" w:ascii="黑体" w:hAnsi="黑体" w:eastAsia="黑体" w:cs="黑体"/>
          <w:sz w:val="44"/>
        </w:rPr>
      </w:pPr>
      <w:r>
        <w:rPr>
          <w:rFonts w:hint="eastAsia" w:ascii="黑体" w:hAnsi="黑体" w:eastAsia="黑体" w:cs="黑体"/>
          <w:sz w:val="44"/>
          <w:lang w:eastAsia="zh-CN"/>
        </w:rPr>
        <w:t>202</w:t>
      </w:r>
      <w:r>
        <w:rPr>
          <w:rFonts w:hint="eastAsia" w:ascii="黑体" w:hAnsi="黑体" w:eastAsia="黑体" w:cs="黑体"/>
          <w:sz w:val="44"/>
          <w:lang w:val="en-US" w:eastAsia="zh-CN"/>
        </w:rPr>
        <w:t>4</w:t>
      </w:r>
      <w:r>
        <w:rPr>
          <w:rFonts w:hint="eastAsia" w:ascii="黑体" w:hAnsi="黑体" w:eastAsia="黑体" w:cs="黑体"/>
          <w:sz w:val="44"/>
        </w:rPr>
        <w:t>年度部门整体支出绩效自评表</w:t>
      </w:r>
    </w:p>
    <w:p w14:paraId="73969DF1">
      <w:pPr>
        <w:widowControl w:val="0"/>
        <w:wordWrap/>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8"/>
        <w:tblW w:w="10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19CC9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3F509373">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vAlign w:val="center"/>
          </w:tcPr>
          <w:p w14:paraId="78C348D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eastAsia="zh-CN"/>
              </w:rPr>
              <w:t>绥宁县卫生健康局</w:t>
            </w:r>
            <w:r>
              <w:rPr>
                <w:rFonts w:hint="eastAsia" w:ascii="仿宋" w:hAnsi="仿宋" w:eastAsia="仿宋" w:cs="仿宋"/>
                <w:color w:val="000000"/>
                <w:kern w:val="0"/>
                <w:sz w:val="21"/>
                <w:szCs w:val="21"/>
              </w:rPr>
              <w:t>　</w:t>
            </w:r>
          </w:p>
        </w:tc>
      </w:tr>
      <w:tr w14:paraId="54D7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vAlign w:val="center"/>
          </w:tcPr>
          <w:p w14:paraId="66F1AA57">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vAlign w:val="center"/>
          </w:tcPr>
          <w:p w14:paraId="590AD5AF">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vAlign w:val="center"/>
          </w:tcPr>
          <w:p w14:paraId="09F6CEFC">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vAlign w:val="center"/>
          </w:tcPr>
          <w:p w14:paraId="53B62B58">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vAlign w:val="center"/>
          </w:tcPr>
          <w:p w14:paraId="0C520A46">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vAlign w:val="center"/>
          </w:tcPr>
          <w:p w14:paraId="1036985F">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vAlign w:val="center"/>
          </w:tcPr>
          <w:p w14:paraId="68AE1110">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vAlign w:val="center"/>
          </w:tcPr>
          <w:p w14:paraId="70C32AA6">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75DA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vAlign w:val="center"/>
          </w:tcPr>
          <w:p w14:paraId="61EE4C88">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vAlign w:val="center"/>
          </w:tcPr>
          <w:p w14:paraId="2BDF889C">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vAlign w:val="center"/>
          </w:tcPr>
          <w:p w14:paraId="5A40CEEC">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2031</w:t>
            </w:r>
          </w:p>
        </w:tc>
        <w:tc>
          <w:tcPr>
            <w:tcW w:w="1740" w:type="dxa"/>
            <w:gridSpan w:val="2"/>
            <w:tcBorders>
              <w:top w:val="nil"/>
              <w:left w:val="nil"/>
              <w:bottom w:val="single" w:color="auto" w:sz="4" w:space="0"/>
              <w:right w:val="single" w:color="auto" w:sz="4" w:space="0"/>
            </w:tcBorders>
            <w:vAlign w:val="center"/>
          </w:tcPr>
          <w:p w14:paraId="1C3B1B9D">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1988.84</w:t>
            </w:r>
          </w:p>
        </w:tc>
        <w:tc>
          <w:tcPr>
            <w:tcW w:w="1635" w:type="dxa"/>
            <w:tcBorders>
              <w:top w:val="nil"/>
              <w:left w:val="nil"/>
              <w:bottom w:val="single" w:color="auto" w:sz="4" w:space="0"/>
              <w:right w:val="single" w:color="auto" w:sz="4" w:space="0"/>
            </w:tcBorders>
            <w:vAlign w:val="center"/>
          </w:tcPr>
          <w:p w14:paraId="09CF97D9">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1917.12</w:t>
            </w:r>
          </w:p>
        </w:tc>
        <w:tc>
          <w:tcPr>
            <w:tcW w:w="825" w:type="dxa"/>
            <w:tcBorders>
              <w:top w:val="nil"/>
              <w:left w:val="nil"/>
              <w:bottom w:val="single" w:color="auto" w:sz="4" w:space="0"/>
              <w:right w:val="single" w:color="auto" w:sz="4" w:space="0"/>
            </w:tcBorders>
            <w:vAlign w:val="center"/>
          </w:tcPr>
          <w:p w14:paraId="19F4F001">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vAlign w:val="center"/>
          </w:tcPr>
          <w:p w14:paraId="478CB77F">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96.42%</w:t>
            </w:r>
          </w:p>
        </w:tc>
        <w:tc>
          <w:tcPr>
            <w:tcW w:w="1073" w:type="dxa"/>
            <w:tcBorders>
              <w:top w:val="nil"/>
              <w:left w:val="nil"/>
              <w:bottom w:val="single" w:color="auto" w:sz="4" w:space="0"/>
              <w:right w:val="single" w:color="auto" w:sz="4" w:space="0"/>
            </w:tcBorders>
            <w:vAlign w:val="center"/>
          </w:tcPr>
          <w:p w14:paraId="422A1482">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r>
      <w:tr w14:paraId="32BF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vAlign w:val="center"/>
          </w:tcPr>
          <w:p w14:paraId="78658C5C">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14:paraId="15B43C07">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按收入性质分：</w:t>
            </w:r>
            <w:r>
              <w:rPr>
                <w:rFonts w:hint="eastAsia" w:ascii="仿宋" w:hAnsi="仿宋" w:eastAsia="仿宋" w:cs="仿宋"/>
                <w:color w:val="000000"/>
                <w:kern w:val="0"/>
                <w:sz w:val="21"/>
                <w:szCs w:val="21"/>
                <w:lang w:val="en-US" w:eastAsia="zh-CN"/>
              </w:rPr>
              <w:t>1917.12</w:t>
            </w:r>
          </w:p>
        </w:tc>
        <w:tc>
          <w:tcPr>
            <w:tcW w:w="4988" w:type="dxa"/>
            <w:gridSpan w:val="4"/>
            <w:tcBorders>
              <w:top w:val="nil"/>
              <w:left w:val="nil"/>
              <w:bottom w:val="single" w:color="auto" w:sz="4" w:space="0"/>
              <w:right w:val="single" w:color="auto" w:sz="4" w:space="0"/>
            </w:tcBorders>
            <w:vAlign w:val="center"/>
          </w:tcPr>
          <w:p w14:paraId="023767C9">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按支出性质分：</w:t>
            </w:r>
            <w:r>
              <w:rPr>
                <w:rFonts w:hint="eastAsia" w:ascii="仿宋" w:hAnsi="仿宋" w:eastAsia="仿宋" w:cs="仿宋"/>
                <w:color w:val="000000"/>
                <w:kern w:val="0"/>
                <w:sz w:val="21"/>
                <w:szCs w:val="21"/>
                <w:lang w:val="en-US" w:eastAsia="zh-CN"/>
              </w:rPr>
              <w:t>1917.12</w:t>
            </w:r>
          </w:p>
        </w:tc>
      </w:tr>
      <w:tr w14:paraId="2776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14:paraId="3C5C0F99">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14:paraId="6EBE8C5E">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 w:val="21"/>
                <w:szCs w:val="21"/>
                <w:lang w:val="en-US" w:eastAsia="zh-CN"/>
              </w:rPr>
              <w:t>1869.41</w:t>
            </w:r>
          </w:p>
        </w:tc>
        <w:tc>
          <w:tcPr>
            <w:tcW w:w="4988" w:type="dxa"/>
            <w:gridSpan w:val="4"/>
            <w:tcBorders>
              <w:top w:val="nil"/>
              <w:left w:val="nil"/>
              <w:bottom w:val="single" w:color="auto" w:sz="4" w:space="0"/>
              <w:right w:val="single" w:color="auto" w:sz="4" w:space="0"/>
            </w:tcBorders>
            <w:vAlign w:val="center"/>
          </w:tcPr>
          <w:p w14:paraId="7CC178D1">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 w:val="21"/>
                <w:szCs w:val="21"/>
                <w:lang w:val="en-US" w:eastAsia="zh-CN"/>
              </w:rPr>
              <w:t>987</w:t>
            </w:r>
          </w:p>
        </w:tc>
      </w:tr>
      <w:tr w14:paraId="321E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vAlign w:val="center"/>
          </w:tcPr>
          <w:p w14:paraId="235F9A5A">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14:paraId="6F1BB5A6">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政府性基金拨款：</w:t>
            </w:r>
            <w:r>
              <w:rPr>
                <w:rFonts w:hint="eastAsia" w:ascii="仿宋" w:hAnsi="仿宋" w:eastAsia="仿宋" w:cs="仿宋"/>
                <w:color w:val="000000"/>
                <w:kern w:val="0"/>
                <w:sz w:val="21"/>
                <w:szCs w:val="21"/>
                <w:lang w:val="en-US" w:eastAsia="zh-CN"/>
              </w:rPr>
              <w:t>26</w:t>
            </w:r>
          </w:p>
        </w:tc>
        <w:tc>
          <w:tcPr>
            <w:tcW w:w="4988" w:type="dxa"/>
            <w:gridSpan w:val="4"/>
            <w:tcBorders>
              <w:top w:val="nil"/>
              <w:left w:val="nil"/>
              <w:bottom w:val="single" w:color="auto" w:sz="4" w:space="0"/>
              <w:right w:val="single" w:color="auto" w:sz="4" w:space="0"/>
            </w:tcBorders>
            <w:vAlign w:val="center"/>
          </w:tcPr>
          <w:p w14:paraId="3AC05FE0">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930.12</w:t>
            </w:r>
          </w:p>
        </w:tc>
      </w:tr>
      <w:tr w14:paraId="27D6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14:paraId="0AD7F8D4">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14:paraId="374F2D8C">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988" w:type="dxa"/>
            <w:gridSpan w:val="4"/>
            <w:tcBorders>
              <w:top w:val="nil"/>
              <w:left w:val="nil"/>
              <w:bottom w:val="single" w:color="auto" w:sz="4" w:space="0"/>
              <w:right w:val="single" w:color="auto" w:sz="4" w:space="0"/>
            </w:tcBorders>
            <w:vAlign w:val="center"/>
          </w:tcPr>
          <w:p w14:paraId="45E91AA5">
            <w:pPr>
              <w:widowControl/>
              <w:spacing w:line="220" w:lineRule="exact"/>
              <w:jc w:val="left"/>
              <w:rPr>
                <w:rFonts w:hint="eastAsia" w:ascii="仿宋" w:hAnsi="仿宋" w:eastAsia="仿宋" w:cs="仿宋"/>
                <w:color w:val="000000"/>
                <w:kern w:val="0"/>
                <w:sz w:val="21"/>
                <w:szCs w:val="21"/>
              </w:rPr>
            </w:pPr>
          </w:p>
        </w:tc>
      </w:tr>
      <w:tr w14:paraId="05A6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vAlign w:val="center"/>
          </w:tcPr>
          <w:p w14:paraId="1A795BBB">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vAlign w:val="center"/>
          </w:tcPr>
          <w:p w14:paraId="1B3DBDC1">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21.71</w:t>
            </w:r>
          </w:p>
        </w:tc>
        <w:tc>
          <w:tcPr>
            <w:tcW w:w="4988" w:type="dxa"/>
            <w:gridSpan w:val="4"/>
            <w:tcBorders>
              <w:top w:val="nil"/>
              <w:left w:val="nil"/>
              <w:bottom w:val="single" w:color="auto" w:sz="4" w:space="0"/>
              <w:right w:val="single" w:color="auto" w:sz="4" w:space="0"/>
            </w:tcBorders>
            <w:vAlign w:val="center"/>
          </w:tcPr>
          <w:p w14:paraId="26794486">
            <w:pPr>
              <w:widowControl/>
              <w:spacing w:line="220" w:lineRule="exact"/>
              <w:jc w:val="left"/>
              <w:rPr>
                <w:rFonts w:hint="eastAsia" w:ascii="仿宋" w:hAnsi="仿宋" w:eastAsia="仿宋" w:cs="仿宋"/>
                <w:color w:val="000000"/>
                <w:kern w:val="0"/>
                <w:sz w:val="21"/>
                <w:szCs w:val="21"/>
              </w:rPr>
            </w:pPr>
          </w:p>
        </w:tc>
      </w:tr>
      <w:tr w14:paraId="400E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vAlign w:val="center"/>
          </w:tcPr>
          <w:p w14:paraId="45CE4EC1">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vAlign w:val="center"/>
          </w:tcPr>
          <w:p w14:paraId="539CF0DA">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vAlign w:val="center"/>
          </w:tcPr>
          <w:p w14:paraId="332AD4D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4ABA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vAlign w:val="center"/>
          </w:tcPr>
          <w:p w14:paraId="471F4633">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vAlign w:val="center"/>
          </w:tcPr>
          <w:p w14:paraId="01A8CFB5">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sz w:val="21"/>
                <w:szCs w:val="21"/>
              </w:rPr>
              <w:t>坚持以人民为中心，以健康绥宁建设为统领，以医药卫生体制改革为主线，以巩固新冠疫情防控常态化成果为立足点，筑牢卫生安全屏障，提高卫生健康服务水平和质量，推动中医药传承创新，统筹做好各项重点工作，推动全县卫生健康事业迈向更高质量发展阶段，为全县经济社会高质量发展提供强有力的健康保障。</w:t>
            </w:r>
            <w:r>
              <w:rPr>
                <w:rFonts w:hint="eastAsia" w:ascii="仿宋" w:hAnsi="仿宋" w:eastAsia="仿宋" w:cs="仿宋"/>
                <w:color w:val="000000"/>
                <w:kern w:val="0"/>
                <w:szCs w:val="21"/>
                <w:lang w:eastAsia="zh-CN"/>
              </w:rPr>
              <w:t>保障在职职工工资，社保，住房公积金，老干医疗，局机关的基本运行费用和各医疗项目的建设，做到让老百姓有更好的就医环境和就医条件。</w:t>
            </w:r>
          </w:p>
        </w:tc>
        <w:tc>
          <w:tcPr>
            <w:tcW w:w="4988" w:type="dxa"/>
            <w:gridSpan w:val="4"/>
            <w:tcBorders>
              <w:top w:val="single" w:color="auto" w:sz="4" w:space="0"/>
              <w:left w:val="nil"/>
              <w:bottom w:val="single" w:color="auto" w:sz="4" w:space="0"/>
              <w:right w:val="single" w:color="auto" w:sz="4" w:space="0"/>
            </w:tcBorders>
            <w:vAlign w:val="center"/>
          </w:tcPr>
          <w:p w14:paraId="4521E139">
            <w:pPr>
              <w:spacing w:line="520" w:lineRule="exact"/>
              <w:ind w:firstLine="411" w:firstLineChars="196"/>
              <w:rPr>
                <w:rFonts w:ascii="黑体" w:hAnsi="黑体" w:eastAsia="黑体"/>
                <w:b w:val="0"/>
                <w:bCs w:val="0"/>
                <w:sz w:val="21"/>
                <w:szCs w:val="21"/>
              </w:rPr>
            </w:pPr>
            <w:r>
              <w:rPr>
                <w:rFonts w:hint="eastAsia" w:ascii="黑体" w:hAnsi="黑体" w:eastAsia="黑体"/>
                <w:b w:val="0"/>
                <w:bCs w:val="0"/>
                <w:sz w:val="21"/>
                <w:szCs w:val="21"/>
              </w:rPr>
              <w:t>医疗服务能力水平持续提升</w:t>
            </w:r>
          </w:p>
          <w:p w14:paraId="4B230CBC">
            <w:pPr>
              <w:spacing w:line="520" w:lineRule="exact"/>
              <w:ind w:firstLine="411" w:firstLineChars="196"/>
              <w:rPr>
                <w:rFonts w:ascii="黑体" w:hAnsi="黑体" w:eastAsia="黑体"/>
                <w:b w:val="0"/>
                <w:bCs w:val="0"/>
                <w:sz w:val="21"/>
                <w:szCs w:val="21"/>
              </w:rPr>
            </w:pPr>
            <w:r>
              <w:rPr>
                <w:rFonts w:hint="eastAsia" w:ascii="黑体" w:hAnsi="黑体" w:eastAsia="黑体"/>
                <w:b w:val="0"/>
                <w:bCs w:val="0"/>
                <w:sz w:val="21"/>
                <w:szCs w:val="21"/>
              </w:rPr>
              <w:t>卫生健康重点工作全面完成</w:t>
            </w:r>
          </w:p>
          <w:p w14:paraId="444697D2">
            <w:pPr>
              <w:spacing w:line="520" w:lineRule="exact"/>
              <w:ind w:firstLine="411" w:firstLineChars="196"/>
              <w:rPr>
                <w:rFonts w:hint="eastAsia" w:ascii="黑体" w:hAnsi="黑体" w:eastAsia="黑体"/>
                <w:b w:val="0"/>
                <w:bCs w:val="0"/>
                <w:sz w:val="21"/>
                <w:szCs w:val="21"/>
              </w:rPr>
            </w:pPr>
            <w:r>
              <w:rPr>
                <w:rFonts w:hint="eastAsia" w:ascii="黑体" w:hAnsi="黑体" w:eastAsia="黑体"/>
                <w:b w:val="0"/>
                <w:bCs w:val="0"/>
                <w:sz w:val="21"/>
                <w:szCs w:val="21"/>
              </w:rPr>
              <w:t>人口计生工作稳步推进</w:t>
            </w:r>
          </w:p>
          <w:p w14:paraId="5A29B5C9">
            <w:pPr>
              <w:spacing w:line="240" w:lineRule="exact"/>
              <w:ind w:firstLine="420" w:firstLineChars="200"/>
              <w:rPr>
                <w:rFonts w:hint="eastAsia" w:ascii="仿宋" w:hAnsi="仿宋" w:eastAsia="仿宋" w:cs="仿宋"/>
                <w:color w:val="000000"/>
                <w:kern w:val="0"/>
                <w:sz w:val="21"/>
                <w:szCs w:val="21"/>
              </w:rPr>
            </w:pPr>
          </w:p>
        </w:tc>
      </w:tr>
      <w:tr w14:paraId="372C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14:paraId="347AC8ED">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39F3965E">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vAlign w:val="center"/>
          </w:tcPr>
          <w:p w14:paraId="7F16D7C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vAlign w:val="center"/>
          </w:tcPr>
          <w:p w14:paraId="03D628F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vAlign w:val="center"/>
          </w:tcPr>
          <w:p w14:paraId="37B177B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vAlign w:val="center"/>
          </w:tcPr>
          <w:p w14:paraId="6AFD12D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42423A2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vAlign w:val="center"/>
          </w:tcPr>
          <w:p w14:paraId="012503F5">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vAlign w:val="center"/>
          </w:tcPr>
          <w:p w14:paraId="08EE135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vAlign w:val="center"/>
          </w:tcPr>
          <w:p w14:paraId="0214DB9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vAlign w:val="center"/>
          </w:tcPr>
          <w:p w14:paraId="6AD368B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2BEF6F5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25F1DAD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2408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248623D6">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vAlign w:val="center"/>
          </w:tcPr>
          <w:p w14:paraId="6EE5EB4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vMerge w:val="restart"/>
            <w:tcBorders>
              <w:top w:val="single" w:color="auto" w:sz="4" w:space="0"/>
              <w:left w:val="nil"/>
              <w:bottom w:val="single" w:color="auto" w:sz="4" w:space="0"/>
              <w:right w:val="single" w:color="auto" w:sz="4" w:space="0"/>
            </w:tcBorders>
            <w:vAlign w:val="center"/>
          </w:tcPr>
          <w:p w14:paraId="51078D0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14:paraId="297B08F9">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14:paraId="138272E1">
            <w:pPr>
              <w:spacing w:line="240" w:lineRule="exact"/>
              <w:jc w:val="center"/>
              <w:rPr>
                <w:rFonts w:hint="eastAsia" w:ascii="仿宋" w:hAnsi="仿宋" w:eastAsia="仿宋" w:cs="仿宋"/>
                <w:sz w:val="20"/>
                <w:szCs w:val="20"/>
              </w:rPr>
            </w:pPr>
            <w:r>
              <w:rPr>
                <w:rFonts w:hint="eastAsia" w:ascii="宋体" w:hAnsi="宋体" w:eastAsia="宋体" w:cs="宋体"/>
                <w:sz w:val="21"/>
                <w:szCs w:val="21"/>
                <w:lang w:eastAsia="zh-CN"/>
              </w:rPr>
              <w:t>人员经费：工资，社保，住房公积金等支出。</w:t>
            </w:r>
          </w:p>
        </w:tc>
        <w:tc>
          <w:tcPr>
            <w:tcW w:w="1487" w:type="dxa"/>
            <w:tcBorders>
              <w:top w:val="single" w:color="auto" w:sz="4" w:space="0"/>
              <w:left w:val="nil"/>
              <w:bottom w:val="single" w:color="auto" w:sz="4" w:space="0"/>
              <w:right w:val="single" w:color="auto" w:sz="4" w:space="0"/>
            </w:tcBorders>
            <w:vAlign w:val="center"/>
          </w:tcPr>
          <w:p w14:paraId="6073D868">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649.42万元</w:t>
            </w:r>
          </w:p>
        </w:tc>
        <w:tc>
          <w:tcPr>
            <w:tcW w:w="1635" w:type="dxa"/>
            <w:tcBorders>
              <w:top w:val="single" w:color="auto" w:sz="4" w:space="0"/>
              <w:left w:val="nil"/>
              <w:bottom w:val="single" w:color="auto" w:sz="4" w:space="0"/>
              <w:right w:val="single" w:color="auto" w:sz="4" w:space="0"/>
            </w:tcBorders>
            <w:vAlign w:val="center"/>
          </w:tcPr>
          <w:p w14:paraId="47D89FA7">
            <w:pPr>
              <w:pBdr>
                <w:top w:val="none" w:color="auto" w:sz="0" w:space="1"/>
                <w:left w:val="none" w:color="auto" w:sz="0" w:space="4"/>
                <w:bottom w:val="none" w:color="auto" w:sz="0" w:space="1"/>
                <w:right w:val="none" w:color="auto" w:sz="0" w:space="4"/>
              </w:pBdr>
              <w:snapToGrid w:val="0"/>
              <w:spacing w:line="586" w:lineRule="exact"/>
              <w:rPr>
                <w:rFonts w:hint="eastAsia" w:ascii="宋体" w:hAnsi="宋体" w:eastAsia="宋体" w:cs="宋体"/>
                <w:color w:val="0C0C0C"/>
                <w:sz w:val="21"/>
                <w:szCs w:val="21"/>
              </w:rPr>
            </w:pPr>
            <w:r>
              <w:rPr>
                <w:rFonts w:hint="eastAsia" w:ascii="宋体" w:hAnsi="宋体" w:eastAsia="宋体" w:cs="宋体"/>
                <w:color w:val="0C0C0C"/>
                <w:sz w:val="21"/>
                <w:szCs w:val="21"/>
              </w:rPr>
              <w:t>主要用于在职人员工资津补贴、</w:t>
            </w:r>
            <w:r>
              <w:rPr>
                <w:rFonts w:hint="eastAsia" w:ascii="宋体" w:hAnsi="宋体" w:eastAsia="宋体" w:cs="宋体"/>
                <w:color w:val="0C0C0C"/>
                <w:sz w:val="21"/>
                <w:szCs w:val="21"/>
                <w:lang w:eastAsia="zh-CN"/>
              </w:rPr>
              <w:t>绩效工资</w:t>
            </w:r>
            <w:r>
              <w:rPr>
                <w:rFonts w:hint="eastAsia" w:ascii="宋体" w:hAnsi="宋体" w:eastAsia="宋体" w:cs="宋体"/>
                <w:color w:val="0C0C0C"/>
                <w:sz w:val="21"/>
                <w:szCs w:val="21"/>
              </w:rPr>
              <w:t>、</w:t>
            </w:r>
            <w:r>
              <w:rPr>
                <w:rFonts w:hint="eastAsia" w:ascii="宋体" w:hAnsi="宋体" w:eastAsia="宋体" w:cs="宋体"/>
                <w:color w:val="0C0C0C"/>
                <w:sz w:val="21"/>
                <w:szCs w:val="21"/>
                <w:lang w:eastAsia="zh-CN"/>
              </w:rPr>
              <w:t>五险</w:t>
            </w:r>
            <w:r>
              <w:rPr>
                <w:rFonts w:hint="eastAsia" w:ascii="宋体" w:hAnsi="宋体" w:eastAsia="宋体" w:cs="宋体"/>
                <w:color w:val="0C0C0C"/>
                <w:sz w:val="21"/>
                <w:szCs w:val="21"/>
              </w:rPr>
              <w:t>社保缴费、住房公积金缴费</w:t>
            </w:r>
            <w:r>
              <w:rPr>
                <w:rFonts w:hint="eastAsia" w:ascii="宋体" w:hAnsi="宋体" w:eastAsia="宋体" w:cs="宋体"/>
                <w:color w:val="0C0C0C"/>
                <w:sz w:val="21"/>
                <w:szCs w:val="21"/>
                <w:lang w:eastAsia="zh-CN"/>
              </w:rPr>
              <w:t>及伙食补助费</w:t>
            </w:r>
            <w:r>
              <w:rPr>
                <w:rFonts w:hint="eastAsia" w:ascii="宋体" w:hAnsi="宋体" w:eastAsia="宋体" w:cs="宋体"/>
                <w:color w:val="0C0C0C"/>
                <w:sz w:val="21"/>
                <w:szCs w:val="21"/>
              </w:rPr>
              <w:t>等。人员经费支出严格按照相关政策和标准列支。</w:t>
            </w:r>
          </w:p>
          <w:p w14:paraId="47495F24">
            <w:pPr>
              <w:widowControl/>
              <w:spacing w:line="220" w:lineRule="exact"/>
              <w:jc w:val="left"/>
              <w:rPr>
                <w:rFonts w:hint="eastAsia" w:ascii="仿宋" w:hAnsi="仿宋" w:eastAsia="仿宋" w:cs="仿宋"/>
                <w:color w:val="000000"/>
                <w:kern w:val="0"/>
                <w:sz w:val="21"/>
                <w:szCs w:val="21"/>
              </w:rPr>
            </w:pPr>
          </w:p>
        </w:tc>
        <w:tc>
          <w:tcPr>
            <w:tcW w:w="825" w:type="dxa"/>
            <w:tcBorders>
              <w:top w:val="single" w:color="auto" w:sz="4" w:space="0"/>
              <w:left w:val="nil"/>
              <w:bottom w:val="single" w:color="auto" w:sz="4" w:space="0"/>
              <w:right w:val="single" w:color="auto" w:sz="4" w:space="0"/>
            </w:tcBorders>
            <w:vAlign w:val="center"/>
          </w:tcPr>
          <w:p w14:paraId="7BFFE172">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single" w:color="auto" w:sz="4" w:space="0"/>
              <w:left w:val="nil"/>
              <w:bottom w:val="single" w:color="auto" w:sz="4" w:space="0"/>
              <w:right w:val="single" w:color="auto" w:sz="4" w:space="0"/>
            </w:tcBorders>
            <w:vAlign w:val="center"/>
          </w:tcPr>
          <w:p w14:paraId="6E87F0BB">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w:t>
            </w:r>
          </w:p>
        </w:tc>
        <w:tc>
          <w:tcPr>
            <w:tcW w:w="1073" w:type="dxa"/>
            <w:tcBorders>
              <w:top w:val="single" w:color="auto" w:sz="4" w:space="0"/>
              <w:left w:val="nil"/>
              <w:bottom w:val="single" w:color="auto" w:sz="4" w:space="0"/>
              <w:right w:val="single" w:color="auto" w:sz="4" w:space="0"/>
            </w:tcBorders>
            <w:vAlign w:val="center"/>
          </w:tcPr>
          <w:p w14:paraId="3824C92B">
            <w:pPr>
              <w:widowControl/>
              <w:spacing w:line="220" w:lineRule="exact"/>
              <w:jc w:val="center"/>
              <w:rPr>
                <w:rFonts w:hint="eastAsia" w:ascii="仿宋" w:hAnsi="仿宋" w:eastAsia="仿宋" w:cs="仿宋"/>
                <w:color w:val="000000"/>
                <w:kern w:val="0"/>
                <w:sz w:val="21"/>
                <w:szCs w:val="21"/>
              </w:rPr>
            </w:pPr>
          </w:p>
        </w:tc>
      </w:tr>
      <w:tr w14:paraId="2950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34EA98CA">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vAlign w:val="center"/>
          </w:tcPr>
          <w:p w14:paraId="411D9285">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vAlign w:val="center"/>
          </w:tcPr>
          <w:p w14:paraId="6FEF3A23">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14:paraId="35B6031C">
            <w:pPr>
              <w:spacing w:line="240" w:lineRule="exact"/>
              <w:jc w:val="center"/>
              <w:rPr>
                <w:rFonts w:hint="eastAsia" w:ascii="仿宋" w:hAnsi="仿宋" w:eastAsia="仿宋" w:cs="仿宋"/>
                <w:sz w:val="20"/>
                <w:szCs w:val="20"/>
              </w:rPr>
            </w:pPr>
            <w:r>
              <w:rPr>
                <w:rFonts w:hint="eastAsia"/>
                <w:lang w:eastAsia="zh-CN"/>
              </w:rPr>
              <w:t>公用经费：办公费、印刷费、邮电费、水费、电费、差旅费、会议费、培训费、福利费、交通费、维修费等。</w:t>
            </w:r>
          </w:p>
        </w:tc>
        <w:tc>
          <w:tcPr>
            <w:tcW w:w="1487" w:type="dxa"/>
            <w:tcBorders>
              <w:top w:val="single" w:color="auto" w:sz="4" w:space="0"/>
              <w:left w:val="nil"/>
              <w:bottom w:val="single" w:color="auto" w:sz="4" w:space="0"/>
              <w:right w:val="single" w:color="auto" w:sz="4" w:space="0"/>
            </w:tcBorders>
            <w:vAlign w:val="center"/>
          </w:tcPr>
          <w:p w14:paraId="16FC0327">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178.91万元</w:t>
            </w:r>
          </w:p>
        </w:tc>
        <w:tc>
          <w:tcPr>
            <w:tcW w:w="1635" w:type="dxa"/>
            <w:tcBorders>
              <w:top w:val="single" w:color="auto" w:sz="4" w:space="0"/>
              <w:left w:val="nil"/>
              <w:bottom w:val="single" w:color="auto" w:sz="4" w:space="0"/>
              <w:right w:val="single" w:color="auto" w:sz="4" w:space="0"/>
            </w:tcBorders>
            <w:vAlign w:val="center"/>
          </w:tcPr>
          <w:p w14:paraId="2C7C9B17">
            <w:pPr>
              <w:pBdr>
                <w:top w:val="none" w:color="auto" w:sz="0" w:space="1"/>
                <w:left w:val="none" w:color="auto" w:sz="0" w:space="4"/>
                <w:bottom w:val="none" w:color="auto" w:sz="0" w:space="1"/>
                <w:right w:val="none" w:color="auto" w:sz="0" w:space="4"/>
              </w:pBdr>
              <w:snapToGrid w:val="0"/>
              <w:spacing w:line="586" w:lineRule="exact"/>
              <w:ind w:firstLine="420" w:firstLineChars="200"/>
              <w:rPr>
                <w:rFonts w:hint="eastAsia" w:ascii="宋体" w:hAnsi="宋体" w:eastAsia="宋体" w:cs="宋体"/>
                <w:color w:val="0C0C0C"/>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color w:val="0C0C0C"/>
                <w:sz w:val="21"/>
                <w:szCs w:val="21"/>
              </w:rPr>
              <w:t>主要用于为保障基本运行而发生的办公费、印刷费、邮电费、水费、电费、</w:t>
            </w:r>
            <w:r>
              <w:rPr>
                <w:rFonts w:hint="eastAsia" w:ascii="宋体" w:hAnsi="宋体" w:eastAsia="宋体" w:cs="宋体"/>
                <w:color w:val="0C0C0C"/>
                <w:sz w:val="21"/>
                <w:szCs w:val="21"/>
                <w:lang w:eastAsia="zh-CN"/>
              </w:rPr>
              <w:t>差旅费、公务接待费、会议费、培训费、福利费、交通费、维修费、工会经费和广告宣传费</w:t>
            </w:r>
            <w:r>
              <w:rPr>
                <w:rFonts w:hint="eastAsia" w:ascii="宋体" w:hAnsi="宋体" w:eastAsia="宋体" w:cs="宋体"/>
                <w:color w:val="0C0C0C"/>
                <w:sz w:val="21"/>
                <w:szCs w:val="21"/>
              </w:rPr>
              <w:t>等。公用经费支出严格执行部门预算，厉行节约，控制运行成本。</w:t>
            </w:r>
          </w:p>
          <w:p w14:paraId="0D44F228">
            <w:pPr>
              <w:widowControl/>
              <w:spacing w:line="220" w:lineRule="exact"/>
              <w:jc w:val="left"/>
              <w:rPr>
                <w:rFonts w:hint="eastAsia" w:ascii="仿宋" w:hAnsi="仿宋" w:eastAsia="仿宋" w:cs="仿宋"/>
                <w:color w:val="000000"/>
                <w:kern w:val="0"/>
                <w:sz w:val="21"/>
                <w:szCs w:val="21"/>
              </w:rPr>
            </w:pPr>
          </w:p>
        </w:tc>
        <w:tc>
          <w:tcPr>
            <w:tcW w:w="825" w:type="dxa"/>
            <w:tcBorders>
              <w:top w:val="single" w:color="auto" w:sz="4" w:space="0"/>
              <w:left w:val="nil"/>
              <w:bottom w:val="single" w:color="auto" w:sz="4" w:space="0"/>
              <w:right w:val="single" w:color="auto" w:sz="4" w:space="0"/>
            </w:tcBorders>
            <w:vAlign w:val="center"/>
          </w:tcPr>
          <w:p w14:paraId="5E51E001">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auto" w:sz="4" w:space="0"/>
              <w:left w:val="nil"/>
              <w:bottom w:val="single" w:color="auto" w:sz="4" w:space="0"/>
              <w:right w:val="single" w:color="auto" w:sz="4" w:space="0"/>
            </w:tcBorders>
            <w:vAlign w:val="center"/>
          </w:tcPr>
          <w:p w14:paraId="78882A96">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auto" w:sz="4" w:space="0"/>
              <w:left w:val="nil"/>
              <w:bottom w:val="single" w:color="auto" w:sz="4" w:space="0"/>
              <w:right w:val="single" w:color="auto" w:sz="4" w:space="0"/>
            </w:tcBorders>
            <w:vAlign w:val="center"/>
          </w:tcPr>
          <w:p w14:paraId="411DCD35">
            <w:pPr>
              <w:widowControl/>
              <w:spacing w:line="220" w:lineRule="exact"/>
              <w:jc w:val="center"/>
              <w:rPr>
                <w:rFonts w:hint="eastAsia" w:ascii="仿宋" w:hAnsi="仿宋" w:eastAsia="仿宋" w:cs="仿宋"/>
                <w:color w:val="000000"/>
                <w:kern w:val="0"/>
                <w:sz w:val="21"/>
                <w:szCs w:val="21"/>
              </w:rPr>
            </w:pPr>
          </w:p>
        </w:tc>
      </w:tr>
      <w:tr w14:paraId="6761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14:paraId="18ACD3D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vAlign w:val="center"/>
          </w:tcPr>
          <w:p w14:paraId="6A53D10A">
            <w:pPr>
              <w:widowControl/>
              <w:spacing w:line="220" w:lineRule="exact"/>
              <w:jc w:val="center"/>
              <w:rPr>
                <w:rFonts w:hint="eastAsia" w:ascii="仿宋" w:hAnsi="仿宋" w:eastAsia="仿宋" w:cs="仿宋"/>
                <w:color w:val="000000"/>
                <w:kern w:val="0"/>
                <w:sz w:val="21"/>
                <w:szCs w:val="21"/>
              </w:rPr>
            </w:pPr>
          </w:p>
        </w:tc>
        <w:tc>
          <w:tcPr>
            <w:tcW w:w="770" w:type="dxa"/>
            <w:tcBorders>
              <w:top w:val="single" w:color="auto" w:sz="4" w:space="0"/>
              <w:left w:val="nil"/>
              <w:bottom w:val="single" w:color="auto" w:sz="4" w:space="0"/>
              <w:right w:val="single" w:color="auto" w:sz="4" w:space="0"/>
            </w:tcBorders>
            <w:vAlign w:val="center"/>
          </w:tcPr>
          <w:p w14:paraId="456C9E36">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14:paraId="5F8E86A7">
            <w:pPr>
              <w:spacing w:line="240" w:lineRule="exact"/>
              <w:jc w:val="center"/>
              <w:rPr>
                <w:rFonts w:hint="eastAsia"/>
                <w:lang w:eastAsia="zh-CN"/>
              </w:rPr>
            </w:pPr>
            <w:r>
              <w:rPr>
                <w:rFonts w:hint="eastAsia"/>
                <w:lang w:eastAsia="zh-CN"/>
              </w:rPr>
              <w:t>项目支出：</w:t>
            </w:r>
            <w:bookmarkStart w:id="0" w:name="OLE_LINK1"/>
            <w:r>
              <w:rPr>
                <w:rFonts w:hint="eastAsia"/>
                <w:lang w:eastAsia="zh-CN"/>
              </w:rPr>
              <w:t>妇幼保健机构补助支出、基本公共卫生服务支出</w:t>
            </w:r>
            <w:bookmarkEnd w:id="0"/>
            <w:r>
              <w:rPr>
                <w:rFonts w:hint="eastAsia"/>
                <w:lang w:eastAsia="zh-CN"/>
              </w:rPr>
              <w:t>，计划生育服务支出、特殊家庭专项经费、卫生和计划生育专项经费、乡村医生困难补助、全科医生津贴、医疗废物处置费，计划生育奖扶，四城同创及病虫害专项，乡镇卫生院保障性住房改建项目，老年人意外伤害保险。</w:t>
            </w:r>
          </w:p>
        </w:tc>
        <w:tc>
          <w:tcPr>
            <w:tcW w:w="1487" w:type="dxa"/>
            <w:tcBorders>
              <w:top w:val="single" w:color="auto" w:sz="4" w:space="0"/>
              <w:left w:val="nil"/>
              <w:bottom w:val="single" w:color="auto" w:sz="4" w:space="0"/>
              <w:right w:val="single" w:color="auto" w:sz="4" w:space="0"/>
            </w:tcBorders>
            <w:vAlign w:val="center"/>
          </w:tcPr>
          <w:p w14:paraId="7205F89D">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967.8万元</w:t>
            </w:r>
          </w:p>
        </w:tc>
        <w:tc>
          <w:tcPr>
            <w:tcW w:w="1635" w:type="dxa"/>
            <w:tcBorders>
              <w:top w:val="single" w:color="auto" w:sz="4" w:space="0"/>
              <w:left w:val="nil"/>
              <w:bottom w:val="single" w:color="auto" w:sz="4" w:space="0"/>
              <w:right w:val="single" w:color="auto" w:sz="4" w:space="0"/>
            </w:tcBorders>
            <w:vAlign w:val="center"/>
          </w:tcPr>
          <w:p w14:paraId="07999523">
            <w:pPr>
              <w:widowControl/>
              <w:numPr>
                <w:ilvl w:val="0"/>
                <w:numId w:val="2"/>
              </w:numPr>
              <w:spacing w:line="220" w:lineRule="exact"/>
              <w:jc w:val="left"/>
              <w:rPr>
                <w:rFonts w:hint="eastAsia"/>
                <w:lang w:val="en-US" w:eastAsia="zh-CN"/>
              </w:rPr>
            </w:pPr>
            <w:r>
              <w:rPr>
                <w:rFonts w:hint="eastAsia"/>
                <w:lang w:eastAsia="zh-CN"/>
              </w:rPr>
              <w:t>创国卫健康乡镇、健康细胞建设宣传资料费</w:t>
            </w:r>
            <w:r>
              <w:rPr>
                <w:rFonts w:hint="eastAsia"/>
                <w:lang w:val="en-US" w:eastAsia="zh-CN"/>
              </w:rPr>
              <w:t>7.24万元。</w:t>
            </w:r>
          </w:p>
          <w:p w14:paraId="70B98ACF">
            <w:pPr>
              <w:pStyle w:val="7"/>
              <w:numPr>
                <w:ilvl w:val="0"/>
                <w:numId w:val="2"/>
              </w:numPr>
              <w:ind w:left="0" w:leftChars="0" w:firstLine="0" w:firstLineChars="0"/>
              <w:rPr>
                <w:rFonts w:hint="eastAsia"/>
                <w:lang w:val="en-US" w:eastAsia="zh-CN"/>
              </w:rPr>
            </w:pPr>
            <w:r>
              <w:rPr>
                <w:rFonts w:hint="eastAsia"/>
                <w:lang w:val="en-US" w:eastAsia="zh-CN"/>
              </w:rPr>
              <w:t>2024年医疗服务与保障能力提升资金111.45。</w:t>
            </w:r>
          </w:p>
          <w:p w14:paraId="0129B2B1">
            <w:pPr>
              <w:numPr>
                <w:ilvl w:val="0"/>
                <w:numId w:val="2"/>
              </w:numPr>
              <w:ind w:left="0" w:leftChars="0" w:firstLine="0" w:firstLineChars="0"/>
              <w:rPr>
                <w:rFonts w:hint="default"/>
                <w:lang w:val="en-US" w:eastAsia="zh-CN"/>
              </w:rPr>
            </w:pPr>
            <w:r>
              <w:rPr>
                <w:rFonts w:hint="eastAsia"/>
                <w:lang w:eastAsia="zh-CN"/>
              </w:rPr>
              <w:t>妇幼保健院整体搬迁项目附属工程款</w:t>
            </w:r>
            <w:r>
              <w:rPr>
                <w:rFonts w:hint="eastAsia"/>
                <w:lang w:val="en-US" w:eastAsia="zh-CN"/>
              </w:rPr>
              <w:t>46万元。</w:t>
            </w:r>
          </w:p>
          <w:p w14:paraId="6C2353B3">
            <w:pPr>
              <w:numPr>
                <w:ilvl w:val="0"/>
                <w:numId w:val="2"/>
              </w:numPr>
              <w:ind w:left="0" w:leftChars="0" w:firstLine="0" w:firstLineChars="0"/>
              <w:rPr>
                <w:rFonts w:hint="default"/>
                <w:lang w:val="en-US" w:eastAsia="zh-CN"/>
              </w:rPr>
            </w:pPr>
            <w:r>
              <w:rPr>
                <w:rFonts w:hint="eastAsia"/>
                <w:lang w:val="en-US" w:eastAsia="zh-CN"/>
              </w:rPr>
              <w:t>医疗废物处置费61万。</w:t>
            </w:r>
          </w:p>
          <w:p w14:paraId="19AB013A">
            <w:pPr>
              <w:pStyle w:val="7"/>
              <w:numPr>
                <w:ilvl w:val="0"/>
                <w:numId w:val="2"/>
              </w:numPr>
              <w:ind w:left="0" w:leftChars="0" w:firstLine="0" w:firstLineChars="0"/>
              <w:rPr>
                <w:rFonts w:hint="eastAsia" w:ascii="仿宋" w:hAnsi="仿宋" w:eastAsia="仿宋" w:cs="仿宋"/>
                <w:sz w:val="21"/>
                <w:szCs w:val="21"/>
                <w:lang w:val="en-US" w:eastAsia="zh-CN"/>
              </w:rPr>
            </w:pPr>
            <w:r>
              <w:rPr>
                <w:rFonts w:hint="eastAsia"/>
                <w:lang w:val="en-US" w:eastAsia="zh-CN"/>
              </w:rPr>
              <w:t>计划生育服务及计划生育项目专项资金562.64万元：</w:t>
            </w:r>
            <w:r>
              <w:rPr>
                <w:rFonts w:hint="eastAsia" w:ascii="仿宋" w:hAnsi="仿宋" w:eastAsia="仿宋" w:cs="仿宋"/>
                <w:color w:val="0C0C0C"/>
                <w:sz w:val="21"/>
                <w:szCs w:val="21"/>
                <w:lang w:eastAsia="zh-CN"/>
              </w:rPr>
              <w:t>计划生育特殊家庭特别扶助、奖励扶助、手术并发症补助、住院护理补贴、体检费、春节端午节中秋节慰问费、缴纳医疗健康保险意外害险等支出。发放标准</w:t>
            </w:r>
            <w:r>
              <w:rPr>
                <w:rFonts w:hint="eastAsia" w:ascii="仿宋" w:hAnsi="仿宋" w:eastAsia="仿宋" w:cs="仿宋"/>
                <w:sz w:val="21"/>
                <w:szCs w:val="21"/>
                <w:lang w:val="en-US" w:eastAsia="zh-CN"/>
              </w:rPr>
              <w:t>奖标准分别是失独9600元/每人每年伤残6960元/每人每年手术并发症三级3240/每人每年.二级级4440/每人每年，奖扶960/每人每年等。</w:t>
            </w:r>
          </w:p>
          <w:p w14:paraId="10792D77">
            <w:pPr>
              <w:numPr>
                <w:ilvl w:val="0"/>
                <w:numId w:val="2"/>
              </w:numPr>
              <w:ind w:left="0" w:leftChars="0" w:firstLine="0" w:firstLineChars="0"/>
              <w:rPr>
                <w:rFonts w:hint="eastAsia"/>
                <w:lang w:val="en-US" w:eastAsia="zh-CN"/>
              </w:rPr>
            </w:pPr>
            <w:r>
              <w:rPr>
                <w:rFonts w:hint="eastAsia"/>
                <w:lang w:val="en-US" w:eastAsia="zh-CN"/>
              </w:rPr>
              <w:t>缴纳全县特殊困难老年人18569人意外伤害保险22.57万元。</w:t>
            </w:r>
          </w:p>
          <w:p w14:paraId="525949B6">
            <w:pPr>
              <w:pStyle w:val="6"/>
              <w:numPr>
                <w:ilvl w:val="0"/>
                <w:numId w:val="3"/>
              </w:numPr>
              <w:rPr>
                <w:rFonts w:hint="eastAsia"/>
                <w:lang w:val="en-US" w:eastAsia="zh-CN"/>
              </w:rPr>
            </w:pPr>
            <w:r>
              <w:rPr>
                <w:rFonts w:hint="eastAsia"/>
                <w:lang w:val="en-US" w:eastAsia="zh-CN"/>
              </w:rPr>
              <w:t>乡村振兴工作经费及后盾村帮扶32万元      8、24年度卫健系统公开招聘支出31.07万元。</w:t>
            </w:r>
          </w:p>
          <w:p w14:paraId="39077898">
            <w:pPr>
              <w:pStyle w:val="7"/>
              <w:numPr>
                <w:ilvl w:val="0"/>
                <w:numId w:val="3"/>
              </w:numPr>
              <w:rPr>
                <w:rFonts w:hint="default"/>
                <w:lang w:val="en-US" w:eastAsia="zh-CN"/>
              </w:rPr>
            </w:pPr>
          </w:p>
          <w:p w14:paraId="6AE97396">
            <w:pPr>
              <w:pStyle w:val="6"/>
              <w:ind w:left="420" w:leftChars="200" w:firstLine="420" w:firstLineChars="200"/>
              <w:rPr>
                <w:rFonts w:hint="eastAsia" w:ascii="Times New Roman" w:hAnsi="Times New Roman" w:eastAsia="宋体" w:cs="Times New Roman"/>
                <w:kern w:val="2"/>
                <w:sz w:val="21"/>
                <w:szCs w:val="24"/>
                <w:lang w:val="en-US" w:eastAsia="zh-CN" w:bidi="ar-SA"/>
              </w:rPr>
            </w:pPr>
          </w:p>
        </w:tc>
        <w:tc>
          <w:tcPr>
            <w:tcW w:w="825" w:type="dxa"/>
            <w:tcBorders>
              <w:top w:val="single" w:color="auto" w:sz="4" w:space="0"/>
              <w:left w:val="nil"/>
              <w:bottom w:val="single" w:color="auto" w:sz="4" w:space="0"/>
              <w:right w:val="single" w:color="auto" w:sz="4" w:space="0"/>
            </w:tcBorders>
            <w:vAlign w:val="center"/>
          </w:tcPr>
          <w:p w14:paraId="6E768E66">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single" w:color="auto" w:sz="4" w:space="0"/>
              <w:left w:val="nil"/>
              <w:bottom w:val="single" w:color="auto" w:sz="4" w:space="0"/>
              <w:right w:val="single" w:color="auto" w:sz="4" w:space="0"/>
            </w:tcBorders>
            <w:vAlign w:val="center"/>
          </w:tcPr>
          <w:p w14:paraId="27C64554">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w:t>
            </w:r>
          </w:p>
        </w:tc>
        <w:tc>
          <w:tcPr>
            <w:tcW w:w="1073" w:type="dxa"/>
            <w:tcBorders>
              <w:top w:val="single" w:color="auto" w:sz="4" w:space="0"/>
              <w:left w:val="nil"/>
              <w:bottom w:val="single" w:color="auto" w:sz="4" w:space="0"/>
              <w:right w:val="single" w:color="auto" w:sz="4" w:space="0"/>
            </w:tcBorders>
            <w:vAlign w:val="center"/>
          </w:tcPr>
          <w:p w14:paraId="1D98F62D">
            <w:pPr>
              <w:widowControl/>
              <w:spacing w:line="220" w:lineRule="exact"/>
              <w:jc w:val="center"/>
              <w:rPr>
                <w:rFonts w:hint="eastAsia" w:ascii="仿宋" w:hAnsi="仿宋" w:eastAsia="仿宋" w:cs="仿宋"/>
                <w:color w:val="000000"/>
                <w:kern w:val="0"/>
                <w:sz w:val="21"/>
                <w:szCs w:val="21"/>
              </w:rPr>
            </w:pPr>
          </w:p>
        </w:tc>
      </w:tr>
      <w:tr w14:paraId="798B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14:paraId="00E0AA9E">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vAlign w:val="center"/>
          </w:tcPr>
          <w:p w14:paraId="15EC7AA1">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000000" w:sz="4" w:space="0"/>
              <w:right w:val="single" w:color="auto" w:sz="4" w:space="0"/>
            </w:tcBorders>
            <w:vAlign w:val="center"/>
          </w:tcPr>
          <w:p w14:paraId="1363C6C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vAlign w:val="center"/>
          </w:tcPr>
          <w:p w14:paraId="5E208595">
            <w:pPr>
              <w:widowControl/>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资金到位率</w:t>
            </w:r>
          </w:p>
        </w:tc>
        <w:tc>
          <w:tcPr>
            <w:tcW w:w="1487" w:type="dxa"/>
            <w:tcBorders>
              <w:top w:val="single" w:color="auto" w:sz="4" w:space="0"/>
              <w:left w:val="nil"/>
              <w:bottom w:val="single" w:color="auto" w:sz="4" w:space="0"/>
              <w:right w:val="single" w:color="auto" w:sz="4" w:space="0"/>
            </w:tcBorders>
            <w:vAlign w:val="center"/>
          </w:tcPr>
          <w:p w14:paraId="14928178">
            <w:pPr>
              <w:widowControl/>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635" w:type="dxa"/>
            <w:tcBorders>
              <w:top w:val="single" w:color="auto" w:sz="4" w:space="0"/>
              <w:left w:val="nil"/>
              <w:bottom w:val="single" w:color="auto" w:sz="4" w:space="0"/>
              <w:right w:val="single" w:color="auto" w:sz="4" w:space="0"/>
            </w:tcBorders>
            <w:vAlign w:val="center"/>
          </w:tcPr>
          <w:p w14:paraId="4CC98C2C">
            <w:pPr>
              <w:widowControl/>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825" w:type="dxa"/>
            <w:tcBorders>
              <w:top w:val="single" w:color="auto" w:sz="4" w:space="0"/>
              <w:left w:val="nil"/>
              <w:bottom w:val="single" w:color="auto" w:sz="4" w:space="0"/>
              <w:right w:val="single" w:color="auto" w:sz="4" w:space="0"/>
            </w:tcBorders>
            <w:vAlign w:val="center"/>
          </w:tcPr>
          <w:p w14:paraId="34ECAE36">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single" w:color="auto" w:sz="4" w:space="0"/>
              <w:left w:val="nil"/>
              <w:bottom w:val="single" w:color="auto" w:sz="4" w:space="0"/>
              <w:right w:val="single" w:color="auto" w:sz="4" w:space="0"/>
            </w:tcBorders>
            <w:vAlign w:val="center"/>
          </w:tcPr>
          <w:p w14:paraId="788FBD7B">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073" w:type="dxa"/>
            <w:tcBorders>
              <w:top w:val="single" w:color="auto" w:sz="4" w:space="0"/>
              <w:left w:val="nil"/>
              <w:bottom w:val="single" w:color="auto" w:sz="4" w:space="0"/>
              <w:right w:val="single" w:color="auto" w:sz="4" w:space="0"/>
            </w:tcBorders>
            <w:vAlign w:val="center"/>
          </w:tcPr>
          <w:p w14:paraId="5DCA4EEE">
            <w:pPr>
              <w:widowControl/>
              <w:jc w:val="center"/>
              <w:textAlignment w:val="center"/>
              <w:rPr>
                <w:rFonts w:hint="eastAsia" w:ascii="仿宋" w:hAnsi="仿宋" w:eastAsia="仿宋" w:cs="仿宋"/>
                <w:color w:val="000000"/>
                <w:kern w:val="0"/>
                <w:sz w:val="21"/>
                <w:szCs w:val="21"/>
              </w:rPr>
            </w:pPr>
          </w:p>
        </w:tc>
      </w:tr>
      <w:tr w14:paraId="2DC3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0406682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vAlign w:val="center"/>
          </w:tcPr>
          <w:p w14:paraId="7A8708C3">
            <w:pPr>
              <w:widowControl/>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nil"/>
              <w:bottom w:val="single" w:color="000000" w:sz="4" w:space="0"/>
              <w:right w:val="single" w:color="auto" w:sz="4" w:space="0"/>
            </w:tcBorders>
            <w:vAlign w:val="center"/>
          </w:tcPr>
          <w:p w14:paraId="32B9EB85">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vAlign w:val="center"/>
          </w:tcPr>
          <w:p w14:paraId="42E32231">
            <w:pPr>
              <w:spacing w:line="240" w:lineRule="exact"/>
              <w:jc w:val="center"/>
              <w:rPr>
                <w:rFonts w:hint="eastAsia" w:ascii="仿宋" w:hAnsi="仿宋" w:eastAsia="仿宋" w:cs="仿宋"/>
                <w:color w:val="000000"/>
                <w:kern w:val="0"/>
                <w:sz w:val="21"/>
                <w:szCs w:val="21"/>
              </w:rPr>
            </w:pPr>
          </w:p>
        </w:tc>
        <w:tc>
          <w:tcPr>
            <w:tcW w:w="1487" w:type="dxa"/>
            <w:tcBorders>
              <w:top w:val="single" w:color="auto" w:sz="4" w:space="0"/>
              <w:left w:val="nil"/>
              <w:bottom w:val="single" w:color="auto" w:sz="4" w:space="0"/>
              <w:right w:val="single" w:color="auto" w:sz="4" w:space="0"/>
            </w:tcBorders>
            <w:vAlign w:val="center"/>
          </w:tcPr>
          <w:p w14:paraId="744C0177">
            <w:pPr>
              <w:spacing w:line="240" w:lineRule="exact"/>
              <w:rPr>
                <w:rFonts w:hint="eastAsia" w:ascii="仿宋" w:hAnsi="仿宋" w:eastAsia="仿宋" w:cs="仿宋"/>
                <w:color w:val="000000"/>
                <w:kern w:val="0"/>
                <w:sz w:val="21"/>
                <w:szCs w:val="21"/>
              </w:rPr>
            </w:pPr>
          </w:p>
        </w:tc>
        <w:tc>
          <w:tcPr>
            <w:tcW w:w="1635" w:type="dxa"/>
            <w:tcBorders>
              <w:top w:val="single" w:color="auto" w:sz="4" w:space="0"/>
              <w:left w:val="nil"/>
              <w:bottom w:val="single" w:color="auto" w:sz="4" w:space="0"/>
              <w:right w:val="single" w:color="auto" w:sz="4" w:space="0"/>
            </w:tcBorders>
            <w:vAlign w:val="center"/>
          </w:tcPr>
          <w:p w14:paraId="6BE6B226">
            <w:pPr>
              <w:widowControl/>
              <w:spacing w:line="220" w:lineRule="exact"/>
              <w:jc w:val="left"/>
              <w:rPr>
                <w:rFonts w:hint="eastAsia" w:ascii="仿宋" w:hAnsi="仿宋" w:eastAsia="仿宋" w:cs="仿宋"/>
                <w:color w:val="000000"/>
                <w:kern w:val="0"/>
                <w:sz w:val="21"/>
                <w:szCs w:val="21"/>
              </w:rPr>
            </w:pPr>
          </w:p>
        </w:tc>
        <w:tc>
          <w:tcPr>
            <w:tcW w:w="825" w:type="dxa"/>
            <w:tcBorders>
              <w:top w:val="single" w:color="auto" w:sz="4" w:space="0"/>
              <w:left w:val="nil"/>
              <w:bottom w:val="single" w:color="auto" w:sz="4" w:space="0"/>
              <w:right w:val="single" w:color="auto" w:sz="4" w:space="0"/>
            </w:tcBorders>
            <w:vAlign w:val="center"/>
          </w:tcPr>
          <w:p w14:paraId="7D76A797">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auto" w:sz="4" w:space="0"/>
              <w:left w:val="nil"/>
              <w:bottom w:val="single" w:color="auto" w:sz="4" w:space="0"/>
              <w:right w:val="single" w:color="auto" w:sz="4" w:space="0"/>
            </w:tcBorders>
            <w:vAlign w:val="center"/>
          </w:tcPr>
          <w:p w14:paraId="4C553CE1">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auto" w:sz="4" w:space="0"/>
              <w:left w:val="nil"/>
              <w:bottom w:val="single" w:color="auto" w:sz="4" w:space="0"/>
              <w:right w:val="single" w:color="auto" w:sz="4" w:space="0"/>
            </w:tcBorders>
            <w:vAlign w:val="center"/>
          </w:tcPr>
          <w:p w14:paraId="19402DF3">
            <w:pPr>
              <w:widowControl/>
              <w:spacing w:line="220" w:lineRule="exact"/>
              <w:jc w:val="center"/>
              <w:rPr>
                <w:rFonts w:hint="eastAsia" w:ascii="仿宋" w:hAnsi="仿宋" w:eastAsia="仿宋" w:cs="仿宋"/>
                <w:color w:val="000000"/>
                <w:kern w:val="0"/>
                <w:sz w:val="21"/>
                <w:szCs w:val="21"/>
              </w:rPr>
            </w:pPr>
          </w:p>
        </w:tc>
      </w:tr>
      <w:tr w14:paraId="74CD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2FD74366">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vAlign w:val="center"/>
          </w:tcPr>
          <w:p w14:paraId="63F37AAB">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nil"/>
              <w:right w:val="single" w:color="auto" w:sz="4" w:space="0"/>
            </w:tcBorders>
            <w:vAlign w:val="center"/>
          </w:tcPr>
          <w:p w14:paraId="01C30DE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vAlign w:val="center"/>
          </w:tcPr>
          <w:p w14:paraId="22365C8D">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资金拨付</w:t>
            </w:r>
          </w:p>
        </w:tc>
        <w:tc>
          <w:tcPr>
            <w:tcW w:w="1487" w:type="dxa"/>
            <w:tcBorders>
              <w:top w:val="nil"/>
              <w:left w:val="nil"/>
              <w:bottom w:val="single" w:color="auto" w:sz="4" w:space="0"/>
              <w:right w:val="single" w:color="auto" w:sz="4" w:space="0"/>
            </w:tcBorders>
            <w:vAlign w:val="center"/>
          </w:tcPr>
          <w:p w14:paraId="540543C5">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及时</w:t>
            </w:r>
          </w:p>
        </w:tc>
        <w:tc>
          <w:tcPr>
            <w:tcW w:w="1635" w:type="dxa"/>
            <w:tcBorders>
              <w:top w:val="nil"/>
              <w:left w:val="nil"/>
              <w:bottom w:val="single" w:color="auto" w:sz="4" w:space="0"/>
              <w:right w:val="single" w:color="auto" w:sz="4" w:space="0"/>
            </w:tcBorders>
            <w:vAlign w:val="center"/>
          </w:tcPr>
          <w:p w14:paraId="6DA658BD">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及时</w:t>
            </w:r>
          </w:p>
        </w:tc>
        <w:tc>
          <w:tcPr>
            <w:tcW w:w="825" w:type="dxa"/>
            <w:tcBorders>
              <w:top w:val="nil"/>
              <w:left w:val="nil"/>
              <w:bottom w:val="single" w:color="auto" w:sz="4" w:space="0"/>
              <w:right w:val="single" w:color="auto" w:sz="4" w:space="0"/>
            </w:tcBorders>
            <w:vAlign w:val="center"/>
          </w:tcPr>
          <w:p w14:paraId="652C5CF1">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nil"/>
              <w:left w:val="nil"/>
              <w:bottom w:val="single" w:color="auto" w:sz="4" w:space="0"/>
              <w:right w:val="single" w:color="auto" w:sz="4" w:space="0"/>
            </w:tcBorders>
            <w:vAlign w:val="center"/>
          </w:tcPr>
          <w:p w14:paraId="3CF27BCE">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nil"/>
              <w:left w:val="nil"/>
              <w:bottom w:val="single" w:color="auto" w:sz="4" w:space="0"/>
              <w:right w:val="single" w:color="auto" w:sz="4" w:space="0"/>
            </w:tcBorders>
            <w:vAlign w:val="center"/>
          </w:tcPr>
          <w:p w14:paraId="3C7AA041">
            <w:pPr>
              <w:widowControl/>
              <w:spacing w:line="220" w:lineRule="exact"/>
              <w:jc w:val="center"/>
              <w:rPr>
                <w:rFonts w:hint="eastAsia" w:ascii="仿宋" w:hAnsi="仿宋" w:eastAsia="仿宋" w:cs="仿宋"/>
                <w:color w:val="000000"/>
                <w:kern w:val="0"/>
                <w:sz w:val="21"/>
                <w:szCs w:val="21"/>
                <w:lang w:val="en-US" w:eastAsia="zh-CN" w:bidi="ar-SA"/>
              </w:rPr>
            </w:pPr>
          </w:p>
        </w:tc>
      </w:tr>
      <w:tr w14:paraId="736E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14:paraId="4C7FBF4A">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vAlign w:val="center"/>
          </w:tcPr>
          <w:p w14:paraId="1F20B2C2">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auto" w:sz="4" w:space="0"/>
              <w:right w:val="single" w:color="auto" w:sz="4" w:space="0"/>
            </w:tcBorders>
            <w:vAlign w:val="center"/>
          </w:tcPr>
          <w:p w14:paraId="50AA78ED">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vAlign w:val="center"/>
          </w:tcPr>
          <w:p w14:paraId="515D83C9">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nil"/>
              <w:left w:val="nil"/>
              <w:bottom w:val="single" w:color="auto" w:sz="4" w:space="0"/>
              <w:right w:val="single" w:color="auto" w:sz="4" w:space="0"/>
            </w:tcBorders>
            <w:vAlign w:val="center"/>
          </w:tcPr>
          <w:p w14:paraId="76175770">
            <w:pPr>
              <w:spacing w:line="240" w:lineRule="exact"/>
              <w:rPr>
                <w:rFonts w:hint="eastAsia" w:ascii="仿宋" w:hAnsi="仿宋" w:eastAsia="仿宋" w:cs="仿宋"/>
                <w:color w:val="000000"/>
                <w:kern w:val="0"/>
                <w:sz w:val="21"/>
                <w:szCs w:val="21"/>
                <w:lang w:val="en-US" w:eastAsia="zh-CN" w:bidi="ar-SA"/>
              </w:rPr>
            </w:pPr>
          </w:p>
        </w:tc>
        <w:tc>
          <w:tcPr>
            <w:tcW w:w="1635" w:type="dxa"/>
            <w:tcBorders>
              <w:top w:val="nil"/>
              <w:left w:val="nil"/>
              <w:bottom w:val="single" w:color="auto" w:sz="4" w:space="0"/>
              <w:right w:val="single" w:color="auto" w:sz="4" w:space="0"/>
            </w:tcBorders>
            <w:vAlign w:val="center"/>
          </w:tcPr>
          <w:p w14:paraId="48A501CE">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nil"/>
              <w:left w:val="nil"/>
              <w:bottom w:val="single" w:color="auto" w:sz="4" w:space="0"/>
              <w:right w:val="single" w:color="auto" w:sz="4" w:space="0"/>
            </w:tcBorders>
            <w:vAlign w:val="center"/>
          </w:tcPr>
          <w:p w14:paraId="256D8C3B">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nil"/>
              <w:left w:val="nil"/>
              <w:bottom w:val="single" w:color="auto" w:sz="4" w:space="0"/>
              <w:right w:val="single" w:color="auto" w:sz="4" w:space="0"/>
            </w:tcBorders>
            <w:vAlign w:val="center"/>
          </w:tcPr>
          <w:p w14:paraId="4529C5EA">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nil"/>
              <w:left w:val="nil"/>
              <w:bottom w:val="single" w:color="auto" w:sz="4" w:space="0"/>
              <w:right w:val="single" w:color="auto" w:sz="4" w:space="0"/>
            </w:tcBorders>
            <w:vAlign w:val="center"/>
          </w:tcPr>
          <w:p w14:paraId="4EA5971B">
            <w:pPr>
              <w:widowControl/>
              <w:spacing w:line="220" w:lineRule="exact"/>
              <w:jc w:val="center"/>
              <w:rPr>
                <w:rFonts w:hint="eastAsia" w:ascii="仿宋" w:hAnsi="仿宋" w:eastAsia="仿宋" w:cs="仿宋"/>
                <w:color w:val="000000"/>
                <w:kern w:val="0"/>
                <w:sz w:val="21"/>
                <w:szCs w:val="21"/>
                <w:lang w:val="en-US" w:eastAsia="zh-CN" w:bidi="ar-SA"/>
              </w:rPr>
            </w:pPr>
          </w:p>
        </w:tc>
      </w:tr>
      <w:tr w14:paraId="5317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vAlign w:val="center"/>
          </w:tcPr>
          <w:p w14:paraId="4279FEC6">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auto" w:sz="4" w:space="0"/>
              <w:right w:val="single" w:color="auto" w:sz="4" w:space="0"/>
            </w:tcBorders>
            <w:vAlign w:val="center"/>
          </w:tcPr>
          <w:p w14:paraId="4B344675">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auto" w:sz="4" w:space="0"/>
              <w:right w:val="single" w:color="auto" w:sz="4" w:space="0"/>
            </w:tcBorders>
            <w:vAlign w:val="center"/>
          </w:tcPr>
          <w:p w14:paraId="59D4C7A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603" w:type="dxa"/>
            <w:gridSpan w:val="2"/>
            <w:tcBorders>
              <w:top w:val="nil"/>
              <w:left w:val="nil"/>
              <w:bottom w:val="single" w:color="auto" w:sz="4" w:space="0"/>
              <w:right w:val="single" w:color="auto" w:sz="4" w:space="0"/>
            </w:tcBorders>
            <w:vAlign w:val="center"/>
          </w:tcPr>
          <w:p w14:paraId="3C2B6274">
            <w:pPr>
              <w:spacing w:line="240" w:lineRule="exact"/>
              <w:jc w:val="center"/>
              <w:rPr>
                <w:rFonts w:hint="eastAsia" w:ascii="仿宋" w:hAnsi="仿宋" w:eastAsia="仿宋" w:cs="仿宋"/>
                <w:sz w:val="20"/>
                <w:szCs w:val="20"/>
              </w:rPr>
            </w:pPr>
            <w:r>
              <w:rPr>
                <w:rFonts w:hint="eastAsia" w:ascii="仿宋" w:hAnsi="仿宋" w:eastAsia="仿宋" w:cs="仿宋"/>
                <w:sz w:val="20"/>
                <w:szCs w:val="20"/>
                <w:lang w:eastAsia="zh-CN"/>
              </w:rPr>
              <w:t>预算执行数</w:t>
            </w:r>
          </w:p>
        </w:tc>
        <w:tc>
          <w:tcPr>
            <w:tcW w:w="1487" w:type="dxa"/>
            <w:tcBorders>
              <w:top w:val="nil"/>
              <w:left w:val="nil"/>
              <w:bottom w:val="single" w:color="auto" w:sz="4" w:space="0"/>
              <w:right w:val="single" w:color="auto" w:sz="4" w:space="0"/>
            </w:tcBorders>
            <w:vAlign w:val="center"/>
          </w:tcPr>
          <w:p w14:paraId="335710C1">
            <w:pPr>
              <w:spacing w:line="240" w:lineRule="exact"/>
              <w:rPr>
                <w:rFonts w:hint="eastAsia" w:ascii="仿宋" w:hAnsi="仿宋" w:eastAsia="仿宋" w:cs="仿宋"/>
                <w:sz w:val="20"/>
                <w:szCs w:val="20"/>
              </w:rPr>
            </w:pPr>
            <w:r>
              <w:rPr>
                <w:rFonts w:hint="eastAsia" w:ascii="仿宋" w:hAnsi="仿宋" w:eastAsia="仿宋" w:cs="仿宋"/>
                <w:sz w:val="20"/>
                <w:szCs w:val="20"/>
              </w:rPr>
              <w:t>100%</w:t>
            </w:r>
          </w:p>
        </w:tc>
        <w:tc>
          <w:tcPr>
            <w:tcW w:w="1635" w:type="dxa"/>
            <w:tcBorders>
              <w:top w:val="nil"/>
              <w:left w:val="nil"/>
              <w:bottom w:val="single" w:color="auto" w:sz="4" w:space="0"/>
              <w:right w:val="single" w:color="auto" w:sz="4" w:space="0"/>
            </w:tcBorders>
            <w:vAlign w:val="center"/>
          </w:tcPr>
          <w:p w14:paraId="1AB84225">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Cs w:val="21"/>
              </w:rPr>
              <w:t>100%</w:t>
            </w:r>
          </w:p>
        </w:tc>
        <w:tc>
          <w:tcPr>
            <w:tcW w:w="825" w:type="dxa"/>
            <w:tcBorders>
              <w:top w:val="nil"/>
              <w:left w:val="nil"/>
              <w:bottom w:val="single" w:color="auto" w:sz="4" w:space="0"/>
              <w:right w:val="single" w:color="auto" w:sz="4" w:space="0"/>
            </w:tcBorders>
            <w:vAlign w:val="center"/>
          </w:tcPr>
          <w:p w14:paraId="6F58DB0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nil"/>
              <w:left w:val="nil"/>
              <w:bottom w:val="single" w:color="auto" w:sz="4" w:space="0"/>
              <w:right w:val="single" w:color="auto" w:sz="4" w:space="0"/>
            </w:tcBorders>
            <w:vAlign w:val="center"/>
          </w:tcPr>
          <w:p w14:paraId="465042C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073" w:type="dxa"/>
            <w:tcBorders>
              <w:top w:val="nil"/>
              <w:left w:val="nil"/>
              <w:bottom w:val="single" w:color="auto" w:sz="4" w:space="0"/>
              <w:right w:val="single" w:color="auto" w:sz="4" w:space="0"/>
            </w:tcBorders>
            <w:vAlign w:val="center"/>
          </w:tcPr>
          <w:p w14:paraId="3E44410C">
            <w:pPr>
              <w:widowControl/>
              <w:spacing w:line="220" w:lineRule="exact"/>
              <w:jc w:val="center"/>
              <w:rPr>
                <w:rFonts w:hint="eastAsia" w:ascii="仿宋" w:hAnsi="仿宋" w:eastAsia="仿宋" w:cs="仿宋"/>
                <w:color w:val="000000"/>
                <w:kern w:val="0"/>
                <w:sz w:val="21"/>
                <w:szCs w:val="21"/>
              </w:rPr>
            </w:pPr>
          </w:p>
        </w:tc>
      </w:tr>
      <w:tr w14:paraId="0180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vAlign w:val="center"/>
          </w:tcPr>
          <w:p w14:paraId="648FCF56">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000000" w:sz="4" w:space="0"/>
              <w:right w:val="single" w:color="auto" w:sz="4" w:space="0"/>
            </w:tcBorders>
            <w:vAlign w:val="center"/>
          </w:tcPr>
          <w:p w14:paraId="322BC2E2">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000000" w:sz="4" w:space="0"/>
              <w:right w:val="single" w:color="auto" w:sz="4" w:space="0"/>
            </w:tcBorders>
            <w:vAlign w:val="center"/>
          </w:tcPr>
          <w:p w14:paraId="3ED19EF4">
            <w:pPr>
              <w:widowControl/>
              <w:spacing w:line="220" w:lineRule="exact"/>
              <w:jc w:val="left"/>
              <w:rPr>
                <w:rFonts w:hint="eastAsia" w:ascii="仿宋" w:hAnsi="仿宋" w:eastAsia="仿宋" w:cs="仿宋"/>
                <w:color w:val="000000"/>
                <w:kern w:val="0"/>
                <w:sz w:val="21"/>
                <w:szCs w:val="21"/>
              </w:rPr>
            </w:pPr>
          </w:p>
        </w:tc>
        <w:tc>
          <w:tcPr>
            <w:tcW w:w="1603" w:type="dxa"/>
            <w:gridSpan w:val="2"/>
            <w:tcBorders>
              <w:top w:val="nil"/>
              <w:left w:val="nil"/>
              <w:bottom w:val="single" w:color="000000" w:sz="4" w:space="0"/>
              <w:right w:val="single" w:color="auto" w:sz="4" w:space="0"/>
            </w:tcBorders>
            <w:vAlign w:val="center"/>
          </w:tcPr>
          <w:p w14:paraId="4DA7B134">
            <w:pPr>
              <w:spacing w:line="240" w:lineRule="exact"/>
              <w:jc w:val="center"/>
              <w:rPr>
                <w:rFonts w:hint="eastAsia" w:ascii="仿宋" w:hAnsi="仿宋" w:eastAsia="仿宋" w:cs="仿宋"/>
                <w:sz w:val="20"/>
                <w:szCs w:val="20"/>
              </w:rPr>
            </w:pPr>
          </w:p>
        </w:tc>
        <w:tc>
          <w:tcPr>
            <w:tcW w:w="1487" w:type="dxa"/>
            <w:tcBorders>
              <w:top w:val="nil"/>
              <w:left w:val="nil"/>
              <w:bottom w:val="single" w:color="000000" w:sz="4" w:space="0"/>
              <w:right w:val="single" w:color="auto" w:sz="4" w:space="0"/>
            </w:tcBorders>
            <w:vAlign w:val="center"/>
          </w:tcPr>
          <w:p w14:paraId="53BC44EE">
            <w:pPr>
              <w:spacing w:line="240" w:lineRule="exact"/>
              <w:rPr>
                <w:rFonts w:hint="eastAsia" w:ascii="仿宋" w:hAnsi="仿宋" w:eastAsia="仿宋" w:cs="仿宋"/>
                <w:sz w:val="20"/>
                <w:szCs w:val="20"/>
              </w:rPr>
            </w:pPr>
          </w:p>
        </w:tc>
        <w:tc>
          <w:tcPr>
            <w:tcW w:w="1635" w:type="dxa"/>
            <w:tcBorders>
              <w:top w:val="nil"/>
              <w:left w:val="nil"/>
              <w:bottom w:val="single" w:color="000000" w:sz="4" w:space="0"/>
              <w:right w:val="single" w:color="auto" w:sz="4" w:space="0"/>
            </w:tcBorders>
            <w:vAlign w:val="center"/>
          </w:tcPr>
          <w:p w14:paraId="5209FEDA">
            <w:pPr>
              <w:widowControl/>
              <w:spacing w:line="220" w:lineRule="exact"/>
              <w:jc w:val="left"/>
              <w:rPr>
                <w:rFonts w:hint="eastAsia" w:ascii="仿宋" w:hAnsi="仿宋" w:eastAsia="仿宋" w:cs="仿宋"/>
                <w:sz w:val="20"/>
                <w:szCs w:val="20"/>
              </w:rPr>
            </w:pPr>
          </w:p>
        </w:tc>
        <w:tc>
          <w:tcPr>
            <w:tcW w:w="825" w:type="dxa"/>
            <w:tcBorders>
              <w:top w:val="nil"/>
              <w:left w:val="nil"/>
              <w:bottom w:val="single" w:color="000000" w:sz="4" w:space="0"/>
              <w:right w:val="single" w:color="auto" w:sz="4" w:space="0"/>
            </w:tcBorders>
            <w:vAlign w:val="center"/>
          </w:tcPr>
          <w:p w14:paraId="49D9DF56">
            <w:pPr>
              <w:widowControl/>
              <w:spacing w:line="220" w:lineRule="exact"/>
              <w:jc w:val="center"/>
              <w:rPr>
                <w:rFonts w:hint="eastAsia" w:ascii="仿宋" w:hAnsi="仿宋" w:eastAsia="仿宋" w:cs="仿宋"/>
                <w:color w:val="000000"/>
                <w:kern w:val="0"/>
                <w:sz w:val="21"/>
                <w:szCs w:val="21"/>
              </w:rPr>
            </w:pPr>
          </w:p>
        </w:tc>
        <w:tc>
          <w:tcPr>
            <w:tcW w:w="1455" w:type="dxa"/>
            <w:tcBorders>
              <w:top w:val="nil"/>
              <w:left w:val="nil"/>
              <w:bottom w:val="single" w:color="000000" w:sz="4" w:space="0"/>
              <w:right w:val="single" w:color="auto" w:sz="4" w:space="0"/>
            </w:tcBorders>
            <w:vAlign w:val="center"/>
          </w:tcPr>
          <w:p w14:paraId="0E5472CF">
            <w:pPr>
              <w:widowControl/>
              <w:spacing w:line="220" w:lineRule="exact"/>
              <w:jc w:val="center"/>
              <w:rPr>
                <w:rFonts w:hint="eastAsia" w:ascii="仿宋" w:hAnsi="仿宋" w:eastAsia="仿宋" w:cs="仿宋"/>
                <w:color w:val="000000"/>
                <w:kern w:val="0"/>
                <w:sz w:val="21"/>
                <w:szCs w:val="21"/>
              </w:rPr>
            </w:pPr>
          </w:p>
        </w:tc>
        <w:tc>
          <w:tcPr>
            <w:tcW w:w="1073" w:type="dxa"/>
            <w:tcBorders>
              <w:top w:val="nil"/>
              <w:left w:val="nil"/>
              <w:bottom w:val="single" w:color="000000" w:sz="4" w:space="0"/>
              <w:right w:val="single" w:color="auto" w:sz="4" w:space="0"/>
            </w:tcBorders>
            <w:vAlign w:val="center"/>
          </w:tcPr>
          <w:p w14:paraId="575D80DB">
            <w:pPr>
              <w:widowControl/>
              <w:spacing w:line="220" w:lineRule="exact"/>
              <w:jc w:val="center"/>
              <w:rPr>
                <w:rFonts w:hint="eastAsia" w:ascii="仿宋" w:hAnsi="仿宋" w:eastAsia="仿宋" w:cs="仿宋"/>
                <w:color w:val="000000"/>
                <w:kern w:val="0"/>
                <w:sz w:val="21"/>
                <w:szCs w:val="21"/>
              </w:rPr>
            </w:pPr>
          </w:p>
        </w:tc>
      </w:tr>
      <w:tr w14:paraId="4AB0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14:paraId="45AFC889">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vAlign w:val="center"/>
          </w:tcPr>
          <w:p w14:paraId="2067A14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14:paraId="285C3B34">
            <w:pPr>
              <w:widowControl/>
              <w:spacing w:line="220" w:lineRule="exact"/>
              <w:jc w:val="left"/>
              <w:rPr>
                <w:rFonts w:hint="eastAsia" w:ascii="仿宋" w:hAnsi="仿宋" w:eastAsia="仿宋" w:cs="仿宋"/>
                <w:color w:val="000000"/>
                <w:kern w:val="0"/>
                <w:sz w:val="21"/>
                <w:szCs w:val="21"/>
              </w:rPr>
            </w:pPr>
          </w:p>
          <w:p w14:paraId="32D7A0CD">
            <w:pPr>
              <w:widowControl/>
              <w:spacing w:line="220" w:lineRule="exact"/>
              <w:jc w:val="left"/>
              <w:rPr>
                <w:rFonts w:hint="eastAsia" w:ascii="仿宋" w:hAnsi="仿宋" w:eastAsia="仿宋" w:cs="仿宋"/>
                <w:color w:val="000000"/>
                <w:kern w:val="0"/>
                <w:sz w:val="21"/>
                <w:szCs w:val="21"/>
              </w:rPr>
            </w:pPr>
          </w:p>
          <w:p w14:paraId="6B23BF34">
            <w:pPr>
              <w:widowControl/>
              <w:spacing w:line="220" w:lineRule="exact"/>
              <w:jc w:val="left"/>
              <w:rPr>
                <w:rFonts w:hint="eastAsia" w:ascii="仿宋" w:hAnsi="仿宋" w:eastAsia="仿宋" w:cs="仿宋"/>
                <w:color w:val="000000"/>
                <w:kern w:val="0"/>
                <w:sz w:val="21"/>
                <w:szCs w:val="21"/>
              </w:rPr>
            </w:pPr>
          </w:p>
          <w:p w14:paraId="48DBC9BA">
            <w:pPr>
              <w:widowControl/>
              <w:spacing w:line="220" w:lineRule="exact"/>
              <w:jc w:val="left"/>
              <w:rPr>
                <w:rFonts w:hint="eastAsia" w:ascii="仿宋" w:hAnsi="仿宋" w:eastAsia="仿宋" w:cs="仿宋"/>
                <w:color w:val="000000"/>
                <w:kern w:val="0"/>
                <w:sz w:val="21"/>
                <w:szCs w:val="21"/>
              </w:rPr>
            </w:pPr>
          </w:p>
          <w:p w14:paraId="08F96E1C">
            <w:pPr>
              <w:widowControl/>
              <w:spacing w:line="220" w:lineRule="exact"/>
              <w:jc w:val="left"/>
              <w:rPr>
                <w:rFonts w:hint="eastAsia" w:ascii="仿宋" w:hAnsi="仿宋" w:eastAsia="仿宋" w:cs="仿宋"/>
                <w:color w:val="000000"/>
                <w:kern w:val="0"/>
                <w:sz w:val="21"/>
                <w:szCs w:val="21"/>
              </w:rPr>
            </w:pPr>
          </w:p>
          <w:p w14:paraId="113797DF">
            <w:pPr>
              <w:widowControl/>
              <w:spacing w:line="220" w:lineRule="exact"/>
              <w:jc w:val="left"/>
              <w:rPr>
                <w:rFonts w:hint="eastAsia" w:ascii="仿宋" w:hAnsi="仿宋" w:eastAsia="仿宋" w:cs="仿宋"/>
                <w:color w:val="000000"/>
                <w:kern w:val="0"/>
                <w:sz w:val="21"/>
                <w:szCs w:val="21"/>
              </w:rPr>
            </w:pPr>
          </w:p>
          <w:p w14:paraId="4EB8270F">
            <w:pPr>
              <w:widowControl/>
              <w:spacing w:line="220" w:lineRule="exact"/>
              <w:jc w:val="left"/>
              <w:rPr>
                <w:rFonts w:hint="eastAsia" w:ascii="仿宋" w:hAnsi="仿宋" w:eastAsia="仿宋" w:cs="仿宋"/>
                <w:color w:val="000000"/>
                <w:kern w:val="0"/>
                <w:sz w:val="21"/>
                <w:szCs w:val="21"/>
              </w:rPr>
            </w:pPr>
          </w:p>
          <w:p w14:paraId="004BAC99">
            <w:pPr>
              <w:widowControl/>
              <w:spacing w:line="220" w:lineRule="exact"/>
              <w:jc w:val="left"/>
              <w:rPr>
                <w:rFonts w:hint="eastAsia" w:ascii="仿宋" w:hAnsi="仿宋" w:eastAsia="仿宋" w:cs="仿宋"/>
                <w:color w:val="000000"/>
                <w:kern w:val="0"/>
                <w:sz w:val="21"/>
                <w:szCs w:val="21"/>
              </w:rPr>
            </w:pPr>
          </w:p>
          <w:p w14:paraId="75AD8B91">
            <w:pPr>
              <w:widowControl/>
              <w:spacing w:line="220" w:lineRule="exact"/>
              <w:jc w:val="left"/>
              <w:rPr>
                <w:rFonts w:hint="eastAsia" w:ascii="仿宋" w:hAnsi="仿宋" w:eastAsia="仿宋" w:cs="仿宋"/>
                <w:color w:val="000000"/>
                <w:kern w:val="0"/>
                <w:sz w:val="21"/>
                <w:szCs w:val="21"/>
              </w:rPr>
            </w:pPr>
          </w:p>
          <w:p w14:paraId="7158530F">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bottom w:val="single" w:color="000000" w:sz="4" w:space="0"/>
              <w:right w:val="single" w:color="auto" w:sz="4" w:space="0"/>
            </w:tcBorders>
            <w:vAlign w:val="center"/>
          </w:tcPr>
          <w:p w14:paraId="36EDC337">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vAlign w:val="center"/>
          </w:tcPr>
          <w:p w14:paraId="251AE85D">
            <w:pPr>
              <w:spacing w:line="520" w:lineRule="exact"/>
              <w:ind w:firstLine="411" w:firstLineChars="196"/>
              <w:rPr>
                <w:rFonts w:hint="eastAsia" w:ascii="仿宋" w:hAnsi="仿宋" w:eastAsia="仿宋" w:cs="仿宋"/>
                <w:b w:val="0"/>
                <w:bCs w:val="0"/>
                <w:sz w:val="21"/>
                <w:szCs w:val="21"/>
              </w:rPr>
            </w:pPr>
            <w:r>
              <w:rPr>
                <w:rFonts w:hint="eastAsia" w:ascii="仿宋" w:hAnsi="仿宋" w:eastAsia="仿宋" w:cs="仿宋"/>
                <w:b w:val="0"/>
                <w:bCs w:val="0"/>
                <w:sz w:val="21"/>
                <w:szCs w:val="21"/>
              </w:rPr>
              <w:t>医疗服务能力水平持续提升</w:t>
            </w:r>
          </w:p>
          <w:p w14:paraId="777BB05A">
            <w:pPr>
              <w:spacing w:line="240" w:lineRule="exact"/>
              <w:jc w:val="center"/>
              <w:rPr>
                <w:rFonts w:hint="eastAsia" w:ascii="仿宋" w:hAnsi="仿宋" w:eastAsia="仿宋" w:cs="仿宋"/>
                <w:sz w:val="20"/>
                <w:szCs w:val="20"/>
              </w:rPr>
            </w:pPr>
          </w:p>
        </w:tc>
        <w:tc>
          <w:tcPr>
            <w:tcW w:w="1487" w:type="dxa"/>
            <w:tcBorders>
              <w:top w:val="single" w:color="000000" w:sz="4" w:space="0"/>
              <w:left w:val="nil"/>
              <w:bottom w:val="single" w:color="000000" w:sz="4" w:space="0"/>
              <w:right w:val="single" w:color="auto" w:sz="4" w:space="0"/>
            </w:tcBorders>
            <w:vAlign w:val="center"/>
          </w:tcPr>
          <w:p w14:paraId="395941B2">
            <w:pPr>
              <w:spacing w:line="520" w:lineRule="exact"/>
              <w:ind w:firstLine="411" w:firstLineChars="196"/>
              <w:rPr>
                <w:rFonts w:hint="eastAsia" w:ascii="仿宋" w:hAnsi="仿宋" w:eastAsia="仿宋" w:cs="仿宋"/>
                <w:b w:val="0"/>
                <w:bCs w:val="0"/>
                <w:sz w:val="21"/>
                <w:szCs w:val="21"/>
              </w:rPr>
            </w:pPr>
            <w:r>
              <w:rPr>
                <w:rFonts w:hint="eastAsia" w:ascii="仿宋" w:hAnsi="仿宋" w:eastAsia="仿宋" w:cs="仿宋"/>
                <w:b w:val="0"/>
                <w:bCs w:val="0"/>
                <w:sz w:val="21"/>
                <w:szCs w:val="21"/>
              </w:rPr>
              <w:t>医疗服务能力水平持续提升</w:t>
            </w:r>
          </w:p>
          <w:p w14:paraId="6A04FDC4">
            <w:pPr>
              <w:spacing w:line="240" w:lineRule="exact"/>
              <w:rPr>
                <w:rFonts w:hint="eastAsia" w:ascii="仿宋" w:hAnsi="仿宋" w:eastAsia="仿宋" w:cs="仿宋"/>
                <w:sz w:val="20"/>
                <w:szCs w:val="20"/>
              </w:rPr>
            </w:pPr>
          </w:p>
        </w:tc>
        <w:tc>
          <w:tcPr>
            <w:tcW w:w="1635" w:type="dxa"/>
            <w:tcBorders>
              <w:top w:val="single" w:color="000000" w:sz="4" w:space="0"/>
              <w:left w:val="nil"/>
              <w:bottom w:val="single" w:color="000000" w:sz="4" w:space="0"/>
              <w:right w:val="single" w:color="auto" w:sz="4" w:space="0"/>
            </w:tcBorders>
            <w:vAlign w:val="center"/>
          </w:tcPr>
          <w:p w14:paraId="058B96B7">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100%</w:t>
            </w:r>
          </w:p>
        </w:tc>
        <w:tc>
          <w:tcPr>
            <w:tcW w:w="825" w:type="dxa"/>
            <w:tcBorders>
              <w:top w:val="single" w:color="000000" w:sz="4" w:space="0"/>
              <w:left w:val="nil"/>
              <w:bottom w:val="single" w:color="000000" w:sz="4" w:space="0"/>
              <w:right w:val="single" w:color="auto" w:sz="4" w:space="0"/>
            </w:tcBorders>
            <w:vAlign w:val="center"/>
          </w:tcPr>
          <w:p w14:paraId="367B43A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8</w:t>
            </w:r>
          </w:p>
        </w:tc>
        <w:tc>
          <w:tcPr>
            <w:tcW w:w="1455" w:type="dxa"/>
            <w:tcBorders>
              <w:top w:val="single" w:color="000000" w:sz="4" w:space="0"/>
              <w:left w:val="nil"/>
              <w:bottom w:val="single" w:color="000000" w:sz="4" w:space="0"/>
              <w:right w:val="single" w:color="auto" w:sz="4" w:space="0"/>
            </w:tcBorders>
            <w:vAlign w:val="center"/>
          </w:tcPr>
          <w:p w14:paraId="1B996C7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6</w:t>
            </w:r>
          </w:p>
        </w:tc>
        <w:tc>
          <w:tcPr>
            <w:tcW w:w="1073" w:type="dxa"/>
            <w:tcBorders>
              <w:top w:val="single" w:color="000000" w:sz="4" w:space="0"/>
              <w:left w:val="nil"/>
              <w:bottom w:val="single" w:color="000000" w:sz="4" w:space="0"/>
              <w:right w:val="single" w:color="auto" w:sz="4" w:space="0"/>
            </w:tcBorders>
            <w:vAlign w:val="center"/>
          </w:tcPr>
          <w:p w14:paraId="6889BC0F">
            <w:pPr>
              <w:widowControl/>
              <w:spacing w:line="220" w:lineRule="exact"/>
              <w:jc w:val="center"/>
              <w:rPr>
                <w:rFonts w:hint="eastAsia" w:ascii="仿宋" w:hAnsi="仿宋" w:eastAsia="仿宋" w:cs="仿宋"/>
                <w:color w:val="000000"/>
                <w:kern w:val="0"/>
                <w:sz w:val="21"/>
                <w:szCs w:val="21"/>
              </w:rPr>
            </w:pPr>
          </w:p>
        </w:tc>
      </w:tr>
      <w:tr w14:paraId="7652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5F3677E8">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693F3CC4">
            <w:pPr>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single" w:color="auto" w:sz="4" w:space="0"/>
              <w:bottom w:val="single" w:color="auto" w:sz="4" w:space="0"/>
              <w:right w:val="single" w:color="auto" w:sz="4" w:space="0"/>
            </w:tcBorders>
            <w:vAlign w:val="center"/>
          </w:tcPr>
          <w:p w14:paraId="61A3A833">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14:paraId="4E7C7D92">
            <w:pPr>
              <w:spacing w:line="240" w:lineRule="exact"/>
              <w:jc w:val="center"/>
              <w:rPr>
                <w:rFonts w:hint="eastAsia" w:ascii="仿宋" w:hAnsi="仿宋" w:eastAsia="仿宋" w:cs="仿宋"/>
                <w:color w:val="000000"/>
                <w:kern w:val="0"/>
                <w:sz w:val="21"/>
                <w:szCs w:val="21"/>
              </w:rPr>
            </w:pPr>
          </w:p>
        </w:tc>
        <w:tc>
          <w:tcPr>
            <w:tcW w:w="1487" w:type="dxa"/>
            <w:tcBorders>
              <w:top w:val="single" w:color="000000" w:sz="4" w:space="0"/>
              <w:left w:val="nil"/>
              <w:bottom w:val="single" w:color="auto" w:sz="4" w:space="0"/>
              <w:right w:val="single" w:color="auto" w:sz="4" w:space="0"/>
            </w:tcBorders>
            <w:vAlign w:val="center"/>
          </w:tcPr>
          <w:p w14:paraId="39AF0A78">
            <w:pPr>
              <w:spacing w:line="240" w:lineRule="exact"/>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vAlign w:val="center"/>
          </w:tcPr>
          <w:p w14:paraId="09988BB2">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vAlign w:val="center"/>
          </w:tcPr>
          <w:p w14:paraId="447DDCC9">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vAlign w:val="center"/>
          </w:tcPr>
          <w:p w14:paraId="024631C7">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vAlign w:val="center"/>
          </w:tcPr>
          <w:p w14:paraId="31BF44E9">
            <w:pPr>
              <w:widowControl/>
              <w:spacing w:line="220" w:lineRule="exact"/>
              <w:jc w:val="center"/>
              <w:rPr>
                <w:rFonts w:hint="eastAsia" w:ascii="仿宋" w:hAnsi="仿宋" w:eastAsia="仿宋" w:cs="仿宋"/>
                <w:color w:val="000000"/>
                <w:kern w:val="0"/>
                <w:sz w:val="21"/>
                <w:szCs w:val="21"/>
              </w:rPr>
            </w:pPr>
          </w:p>
        </w:tc>
      </w:tr>
      <w:tr w14:paraId="3B46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vAlign w:val="center"/>
          </w:tcPr>
          <w:p w14:paraId="426B4458">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37579E2A">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vAlign w:val="center"/>
          </w:tcPr>
          <w:p w14:paraId="4EA13CDA">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社会效益指标</w:t>
            </w:r>
          </w:p>
        </w:tc>
        <w:tc>
          <w:tcPr>
            <w:tcW w:w="1603" w:type="dxa"/>
            <w:gridSpan w:val="2"/>
            <w:tcBorders>
              <w:top w:val="single" w:color="000000" w:sz="4" w:space="0"/>
              <w:left w:val="nil"/>
              <w:bottom w:val="single" w:color="auto" w:sz="4" w:space="0"/>
              <w:right w:val="single" w:color="auto" w:sz="4" w:space="0"/>
            </w:tcBorders>
            <w:vAlign w:val="center"/>
          </w:tcPr>
          <w:p w14:paraId="6EAE15A7">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给全县人民创造一个良好的就医环境。</w:t>
            </w:r>
          </w:p>
        </w:tc>
        <w:tc>
          <w:tcPr>
            <w:tcW w:w="1487" w:type="dxa"/>
            <w:tcBorders>
              <w:top w:val="single" w:color="000000" w:sz="4" w:space="0"/>
              <w:left w:val="nil"/>
              <w:bottom w:val="single" w:color="auto" w:sz="4" w:space="0"/>
              <w:right w:val="single" w:color="auto" w:sz="4" w:space="0"/>
            </w:tcBorders>
            <w:vAlign w:val="center"/>
          </w:tcPr>
          <w:p w14:paraId="08C519FA">
            <w:pPr>
              <w:spacing w:line="240" w:lineRule="exact"/>
              <w:rPr>
                <w:rFonts w:hint="eastAsia" w:ascii="仿宋" w:hAnsi="仿宋" w:eastAsia="仿宋" w:cs="仿宋"/>
                <w:color w:val="000000"/>
                <w:kern w:val="0"/>
                <w:sz w:val="21"/>
                <w:szCs w:val="21"/>
              </w:rPr>
            </w:pPr>
            <w:r>
              <w:rPr>
                <w:rFonts w:hint="eastAsia" w:ascii="仿宋" w:hAnsi="仿宋" w:eastAsia="仿宋" w:cs="仿宋"/>
                <w:color w:val="000000"/>
                <w:kern w:val="0"/>
                <w:szCs w:val="21"/>
              </w:rPr>
              <w:t>有效提高</w:t>
            </w:r>
          </w:p>
        </w:tc>
        <w:tc>
          <w:tcPr>
            <w:tcW w:w="1635" w:type="dxa"/>
            <w:tcBorders>
              <w:top w:val="single" w:color="000000" w:sz="4" w:space="0"/>
              <w:left w:val="nil"/>
              <w:bottom w:val="single" w:color="auto" w:sz="4" w:space="0"/>
              <w:right w:val="single" w:color="auto" w:sz="4" w:space="0"/>
            </w:tcBorders>
            <w:vAlign w:val="center"/>
          </w:tcPr>
          <w:p w14:paraId="60B7F9A2">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Cs w:val="21"/>
                <w:lang w:eastAsia="zh-CN"/>
              </w:rPr>
              <w:t>按时间节点完成</w:t>
            </w:r>
          </w:p>
        </w:tc>
        <w:tc>
          <w:tcPr>
            <w:tcW w:w="825" w:type="dxa"/>
            <w:tcBorders>
              <w:top w:val="single" w:color="000000" w:sz="4" w:space="0"/>
              <w:left w:val="nil"/>
              <w:bottom w:val="single" w:color="auto" w:sz="4" w:space="0"/>
              <w:right w:val="single" w:color="auto" w:sz="4" w:space="0"/>
            </w:tcBorders>
            <w:vAlign w:val="center"/>
          </w:tcPr>
          <w:p w14:paraId="1E7D195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8</w:t>
            </w:r>
          </w:p>
        </w:tc>
        <w:tc>
          <w:tcPr>
            <w:tcW w:w="1455" w:type="dxa"/>
            <w:tcBorders>
              <w:top w:val="single" w:color="000000" w:sz="4" w:space="0"/>
              <w:left w:val="nil"/>
              <w:bottom w:val="single" w:color="auto" w:sz="4" w:space="0"/>
              <w:right w:val="single" w:color="auto" w:sz="4" w:space="0"/>
            </w:tcBorders>
            <w:vAlign w:val="center"/>
          </w:tcPr>
          <w:p w14:paraId="5540F8D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6</w:t>
            </w:r>
          </w:p>
        </w:tc>
        <w:tc>
          <w:tcPr>
            <w:tcW w:w="1073" w:type="dxa"/>
            <w:tcBorders>
              <w:top w:val="single" w:color="000000" w:sz="4" w:space="0"/>
              <w:left w:val="nil"/>
              <w:bottom w:val="single" w:color="auto" w:sz="4" w:space="0"/>
              <w:right w:val="single" w:color="auto" w:sz="4" w:space="0"/>
            </w:tcBorders>
            <w:vAlign w:val="center"/>
          </w:tcPr>
          <w:p w14:paraId="3D1B7D1F">
            <w:pPr>
              <w:widowControl/>
              <w:spacing w:line="220" w:lineRule="exact"/>
              <w:jc w:val="center"/>
              <w:rPr>
                <w:rFonts w:hint="eastAsia" w:ascii="仿宋" w:hAnsi="仿宋" w:eastAsia="仿宋" w:cs="仿宋"/>
                <w:color w:val="000000"/>
                <w:kern w:val="0"/>
                <w:sz w:val="21"/>
                <w:szCs w:val="21"/>
              </w:rPr>
            </w:pPr>
          </w:p>
        </w:tc>
      </w:tr>
      <w:tr w14:paraId="2698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right w:val="single" w:color="auto" w:sz="4" w:space="0"/>
            </w:tcBorders>
            <w:vAlign w:val="center"/>
          </w:tcPr>
          <w:p w14:paraId="66B9398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4CE1DA1A">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vAlign w:val="center"/>
          </w:tcPr>
          <w:p w14:paraId="0FA1AF2E">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14:paraId="7D05CAD9">
            <w:pPr>
              <w:spacing w:line="240" w:lineRule="exact"/>
              <w:jc w:val="center"/>
              <w:rPr>
                <w:rFonts w:hint="eastAsia" w:ascii="仿宋" w:hAnsi="仿宋" w:eastAsia="仿宋" w:cs="仿宋"/>
                <w:color w:val="000000"/>
                <w:kern w:val="0"/>
                <w:sz w:val="21"/>
                <w:szCs w:val="21"/>
              </w:rPr>
            </w:pPr>
          </w:p>
        </w:tc>
        <w:tc>
          <w:tcPr>
            <w:tcW w:w="1487" w:type="dxa"/>
            <w:tcBorders>
              <w:top w:val="single" w:color="000000" w:sz="4" w:space="0"/>
              <w:left w:val="nil"/>
              <w:bottom w:val="single" w:color="auto" w:sz="4" w:space="0"/>
              <w:right w:val="single" w:color="auto" w:sz="4" w:space="0"/>
            </w:tcBorders>
            <w:vAlign w:val="center"/>
          </w:tcPr>
          <w:p w14:paraId="4794BCCE">
            <w:pPr>
              <w:spacing w:line="240" w:lineRule="exact"/>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vAlign w:val="center"/>
          </w:tcPr>
          <w:p w14:paraId="5B861DAF">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vAlign w:val="center"/>
          </w:tcPr>
          <w:p w14:paraId="4878916A">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vAlign w:val="center"/>
          </w:tcPr>
          <w:p w14:paraId="2E94F4FF">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vAlign w:val="center"/>
          </w:tcPr>
          <w:p w14:paraId="0EA0C8B7">
            <w:pPr>
              <w:widowControl/>
              <w:spacing w:line="220" w:lineRule="exact"/>
              <w:jc w:val="center"/>
              <w:rPr>
                <w:rFonts w:hint="eastAsia" w:ascii="仿宋" w:hAnsi="仿宋" w:eastAsia="仿宋" w:cs="仿宋"/>
                <w:color w:val="000000"/>
                <w:kern w:val="0"/>
                <w:sz w:val="21"/>
                <w:szCs w:val="21"/>
              </w:rPr>
            </w:pPr>
          </w:p>
        </w:tc>
      </w:tr>
      <w:tr w14:paraId="66A3A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vAlign w:val="center"/>
          </w:tcPr>
          <w:p w14:paraId="65A5FBB9">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766A4889">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vAlign w:val="center"/>
          </w:tcPr>
          <w:p w14:paraId="1188A265">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生态效益指标</w:t>
            </w:r>
          </w:p>
        </w:tc>
        <w:tc>
          <w:tcPr>
            <w:tcW w:w="1603" w:type="dxa"/>
            <w:gridSpan w:val="2"/>
            <w:tcBorders>
              <w:top w:val="single" w:color="000000" w:sz="4" w:space="0"/>
              <w:left w:val="nil"/>
              <w:bottom w:val="single" w:color="auto" w:sz="4" w:space="0"/>
              <w:right w:val="single" w:color="auto" w:sz="4" w:space="0"/>
            </w:tcBorders>
            <w:vAlign w:val="center"/>
          </w:tcPr>
          <w:p w14:paraId="6F3B0CC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创造一个良好的的生态环境</w:t>
            </w:r>
          </w:p>
        </w:tc>
        <w:tc>
          <w:tcPr>
            <w:tcW w:w="1487" w:type="dxa"/>
            <w:tcBorders>
              <w:top w:val="single" w:color="000000" w:sz="4" w:space="0"/>
              <w:left w:val="nil"/>
              <w:bottom w:val="single" w:color="auto" w:sz="4" w:space="0"/>
              <w:right w:val="single" w:color="auto" w:sz="4" w:space="0"/>
            </w:tcBorders>
            <w:vAlign w:val="center"/>
          </w:tcPr>
          <w:p w14:paraId="35DB529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创造一个良好的的生态环境</w:t>
            </w:r>
          </w:p>
        </w:tc>
        <w:tc>
          <w:tcPr>
            <w:tcW w:w="1635" w:type="dxa"/>
            <w:tcBorders>
              <w:top w:val="single" w:color="000000" w:sz="4" w:space="0"/>
              <w:left w:val="nil"/>
              <w:bottom w:val="single" w:color="auto" w:sz="4" w:space="0"/>
              <w:right w:val="single" w:color="auto" w:sz="4" w:space="0"/>
            </w:tcBorders>
            <w:vAlign w:val="center"/>
          </w:tcPr>
          <w:p w14:paraId="2CDF5435">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825" w:type="dxa"/>
            <w:tcBorders>
              <w:top w:val="single" w:color="000000" w:sz="4" w:space="0"/>
              <w:left w:val="nil"/>
              <w:bottom w:val="single" w:color="auto" w:sz="4" w:space="0"/>
              <w:right w:val="single" w:color="auto" w:sz="4" w:space="0"/>
            </w:tcBorders>
            <w:vAlign w:val="center"/>
          </w:tcPr>
          <w:p w14:paraId="34CB60B4">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w:t>
            </w:r>
          </w:p>
        </w:tc>
        <w:tc>
          <w:tcPr>
            <w:tcW w:w="1455" w:type="dxa"/>
            <w:tcBorders>
              <w:top w:val="single" w:color="000000" w:sz="4" w:space="0"/>
              <w:left w:val="nil"/>
              <w:bottom w:val="single" w:color="auto" w:sz="4" w:space="0"/>
              <w:right w:val="single" w:color="auto" w:sz="4" w:space="0"/>
            </w:tcBorders>
            <w:vAlign w:val="center"/>
          </w:tcPr>
          <w:p w14:paraId="2C5478B5">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6</w:t>
            </w:r>
          </w:p>
        </w:tc>
        <w:tc>
          <w:tcPr>
            <w:tcW w:w="1073" w:type="dxa"/>
            <w:tcBorders>
              <w:top w:val="single" w:color="000000" w:sz="4" w:space="0"/>
              <w:left w:val="nil"/>
              <w:bottom w:val="single" w:color="auto" w:sz="4" w:space="0"/>
              <w:right w:val="single" w:color="auto" w:sz="4" w:space="0"/>
            </w:tcBorders>
            <w:vAlign w:val="center"/>
          </w:tcPr>
          <w:p w14:paraId="7928A61F">
            <w:pPr>
              <w:widowControl/>
              <w:spacing w:line="220" w:lineRule="exact"/>
              <w:jc w:val="center"/>
              <w:rPr>
                <w:rFonts w:hint="eastAsia" w:ascii="仿宋" w:hAnsi="仿宋" w:eastAsia="仿宋" w:cs="仿宋"/>
                <w:color w:val="000000"/>
                <w:kern w:val="0"/>
                <w:sz w:val="21"/>
                <w:szCs w:val="21"/>
              </w:rPr>
            </w:pPr>
          </w:p>
        </w:tc>
      </w:tr>
      <w:tr w14:paraId="5626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16" w:type="dxa"/>
            <w:vMerge w:val="continue"/>
            <w:tcBorders>
              <w:top w:val="single" w:color="000000" w:sz="4" w:space="0"/>
              <w:left w:val="single" w:color="auto" w:sz="4" w:space="0"/>
              <w:right w:val="single" w:color="auto" w:sz="4" w:space="0"/>
            </w:tcBorders>
            <w:vAlign w:val="center"/>
          </w:tcPr>
          <w:p w14:paraId="0DA3FD19">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6C2293AA">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vAlign w:val="center"/>
          </w:tcPr>
          <w:p w14:paraId="4E6E00E9">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14:paraId="482FFF92">
            <w:pPr>
              <w:spacing w:line="240" w:lineRule="exact"/>
              <w:jc w:val="center"/>
              <w:rPr>
                <w:rFonts w:hint="eastAsia" w:ascii="仿宋" w:hAnsi="仿宋" w:eastAsia="仿宋" w:cs="仿宋"/>
                <w:color w:val="000000"/>
                <w:kern w:val="0"/>
                <w:sz w:val="21"/>
                <w:szCs w:val="21"/>
              </w:rPr>
            </w:pPr>
          </w:p>
        </w:tc>
        <w:tc>
          <w:tcPr>
            <w:tcW w:w="1487" w:type="dxa"/>
            <w:tcBorders>
              <w:top w:val="single" w:color="000000" w:sz="4" w:space="0"/>
              <w:left w:val="nil"/>
              <w:bottom w:val="single" w:color="auto" w:sz="4" w:space="0"/>
              <w:right w:val="single" w:color="auto" w:sz="4" w:space="0"/>
            </w:tcBorders>
            <w:vAlign w:val="center"/>
          </w:tcPr>
          <w:p w14:paraId="513EA40D">
            <w:pPr>
              <w:spacing w:line="240" w:lineRule="exact"/>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vAlign w:val="center"/>
          </w:tcPr>
          <w:p w14:paraId="46BB5893">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vAlign w:val="center"/>
          </w:tcPr>
          <w:p w14:paraId="436FD5C9">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vAlign w:val="center"/>
          </w:tcPr>
          <w:p w14:paraId="26260951">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vAlign w:val="center"/>
          </w:tcPr>
          <w:p w14:paraId="00A51A58">
            <w:pPr>
              <w:widowControl/>
              <w:spacing w:line="220" w:lineRule="exact"/>
              <w:jc w:val="center"/>
              <w:rPr>
                <w:rFonts w:hint="eastAsia" w:ascii="仿宋" w:hAnsi="仿宋" w:eastAsia="仿宋" w:cs="仿宋"/>
                <w:color w:val="000000"/>
                <w:kern w:val="0"/>
                <w:sz w:val="21"/>
                <w:szCs w:val="21"/>
              </w:rPr>
            </w:pPr>
          </w:p>
        </w:tc>
      </w:tr>
      <w:tr w14:paraId="651D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14:paraId="75E4B980">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14:paraId="6C808AF5">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vAlign w:val="center"/>
          </w:tcPr>
          <w:p w14:paraId="4794218A">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可持续影响指标</w:t>
            </w:r>
          </w:p>
          <w:p w14:paraId="514D5AB0">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vAlign w:val="center"/>
          </w:tcPr>
          <w:p w14:paraId="355A2501">
            <w:pPr>
              <w:spacing w:line="240" w:lineRule="exact"/>
              <w:jc w:val="center"/>
              <w:rPr>
                <w:rFonts w:hint="eastAsia" w:ascii="仿宋" w:hAnsi="仿宋" w:eastAsia="仿宋" w:cs="仿宋"/>
                <w:color w:val="000000"/>
                <w:kern w:val="0"/>
                <w:sz w:val="21"/>
                <w:szCs w:val="21"/>
              </w:rPr>
            </w:pPr>
            <w:r>
              <w:rPr>
                <w:rFonts w:hint="eastAsia" w:ascii="宋体" w:hAnsi="宋体" w:eastAsia="宋体" w:cs="宋体"/>
                <w:sz w:val="21"/>
                <w:szCs w:val="21"/>
              </w:rPr>
              <w:t>推动实施健康绥宁战略，把以治病为中心转变到以人民健康为中心，为人民群众提供全方位全周期健康服务</w:t>
            </w:r>
          </w:p>
        </w:tc>
        <w:tc>
          <w:tcPr>
            <w:tcW w:w="1487" w:type="dxa"/>
            <w:tcBorders>
              <w:top w:val="single" w:color="000000" w:sz="4" w:space="0"/>
              <w:left w:val="nil"/>
              <w:bottom w:val="single" w:color="auto" w:sz="4" w:space="0"/>
              <w:right w:val="single" w:color="auto" w:sz="4" w:space="0"/>
            </w:tcBorders>
            <w:vAlign w:val="center"/>
          </w:tcPr>
          <w:p w14:paraId="29B55B22">
            <w:pPr>
              <w:spacing w:line="240" w:lineRule="exact"/>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健康大绥宁</w:t>
            </w:r>
          </w:p>
        </w:tc>
        <w:tc>
          <w:tcPr>
            <w:tcW w:w="1635" w:type="dxa"/>
            <w:tcBorders>
              <w:top w:val="single" w:color="000000" w:sz="4" w:space="0"/>
              <w:left w:val="nil"/>
              <w:bottom w:val="single" w:color="auto" w:sz="4" w:space="0"/>
              <w:right w:val="single" w:color="auto" w:sz="4" w:space="0"/>
            </w:tcBorders>
            <w:vAlign w:val="center"/>
          </w:tcPr>
          <w:p w14:paraId="64BE5F6F">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825" w:type="dxa"/>
            <w:tcBorders>
              <w:top w:val="single" w:color="000000" w:sz="4" w:space="0"/>
              <w:left w:val="nil"/>
              <w:bottom w:val="single" w:color="auto" w:sz="4" w:space="0"/>
              <w:right w:val="single" w:color="auto" w:sz="4" w:space="0"/>
            </w:tcBorders>
            <w:vAlign w:val="center"/>
          </w:tcPr>
          <w:p w14:paraId="4E2FC106">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7</w:t>
            </w:r>
          </w:p>
        </w:tc>
        <w:tc>
          <w:tcPr>
            <w:tcW w:w="1455" w:type="dxa"/>
            <w:tcBorders>
              <w:top w:val="single" w:color="000000" w:sz="4" w:space="0"/>
              <w:left w:val="nil"/>
              <w:bottom w:val="single" w:color="auto" w:sz="4" w:space="0"/>
              <w:right w:val="single" w:color="auto" w:sz="4" w:space="0"/>
            </w:tcBorders>
            <w:vAlign w:val="center"/>
          </w:tcPr>
          <w:p w14:paraId="6D99991D">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5</w:t>
            </w:r>
          </w:p>
        </w:tc>
        <w:tc>
          <w:tcPr>
            <w:tcW w:w="1073" w:type="dxa"/>
            <w:tcBorders>
              <w:top w:val="single" w:color="000000" w:sz="4" w:space="0"/>
              <w:left w:val="nil"/>
              <w:bottom w:val="single" w:color="auto" w:sz="4" w:space="0"/>
              <w:right w:val="single" w:color="auto" w:sz="4" w:space="0"/>
            </w:tcBorders>
            <w:vAlign w:val="center"/>
          </w:tcPr>
          <w:p w14:paraId="408CF8AF">
            <w:pPr>
              <w:widowControl/>
              <w:spacing w:line="220" w:lineRule="exact"/>
              <w:jc w:val="center"/>
              <w:rPr>
                <w:rFonts w:hint="eastAsia" w:ascii="仿宋" w:hAnsi="仿宋" w:eastAsia="仿宋" w:cs="仿宋"/>
                <w:color w:val="000000"/>
                <w:kern w:val="0"/>
                <w:sz w:val="21"/>
                <w:szCs w:val="21"/>
              </w:rPr>
            </w:pPr>
          </w:p>
        </w:tc>
      </w:tr>
      <w:tr w14:paraId="48276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716" w:type="dxa"/>
            <w:vMerge w:val="continue"/>
            <w:tcBorders>
              <w:left w:val="single" w:color="auto" w:sz="4" w:space="0"/>
              <w:right w:val="single" w:color="auto" w:sz="4" w:space="0"/>
            </w:tcBorders>
            <w:vAlign w:val="center"/>
          </w:tcPr>
          <w:p w14:paraId="65EB8116">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787E4ED">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vAlign w:val="center"/>
          </w:tcPr>
          <w:p w14:paraId="62072779">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vAlign w:val="center"/>
          </w:tcPr>
          <w:p w14:paraId="61A0F080">
            <w:pPr>
              <w:spacing w:line="240" w:lineRule="exact"/>
              <w:jc w:val="center"/>
              <w:rPr>
                <w:rFonts w:hint="eastAsia" w:ascii="仿宋" w:hAnsi="仿宋" w:eastAsia="仿宋" w:cs="仿宋"/>
                <w:color w:val="000000"/>
                <w:kern w:val="0"/>
                <w:sz w:val="21"/>
                <w:szCs w:val="21"/>
              </w:rPr>
            </w:pPr>
          </w:p>
        </w:tc>
        <w:tc>
          <w:tcPr>
            <w:tcW w:w="1487" w:type="dxa"/>
            <w:tcBorders>
              <w:top w:val="nil"/>
              <w:left w:val="nil"/>
              <w:bottom w:val="single" w:color="auto" w:sz="4" w:space="0"/>
              <w:right w:val="single" w:color="auto" w:sz="4" w:space="0"/>
            </w:tcBorders>
            <w:vAlign w:val="center"/>
          </w:tcPr>
          <w:p w14:paraId="2832689C">
            <w:pPr>
              <w:spacing w:line="240" w:lineRule="exact"/>
              <w:rPr>
                <w:rFonts w:hint="eastAsia" w:ascii="仿宋" w:hAnsi="仿宋" w:eastAsia="仿宋" w:cs="仿宋"/>
                <w:color w:val="000000"/>
                <w:kern w:val="0"/>
                <w:sz w:val="21"/>
                <w:szCs w:val="21"/>
              </w:rPr>
            </w:pPr>
          </w:p>
        </w:tc>
        <w:tc>
          <w:tcPr>
            <w:tcW w:w="1635" w:type="dxa"/>
            <w:tcBorders>
              <w:top w:val="nil"/>
              <w:left w:val="nil"/>
              <w:bottom w:val="single" w:color="auto" w:sz="4" w:space="0"/>
              <w:right w:val="single" w:color="auto" w:sz="4" w:space="0"/>
            </w:tcBorders>
            <w:vAlign w:val="center"/>
          </w:tcPr>
          <w:p w14:paraId="27458F82">
            <w:pPr>
              <w:widowControl/>
              <w:spacing w:line="220" w:lineRule="exact"/>
              <w:jc w:val="left"/>
              <w:rPr>
                <w:rFonts w:hint="eastAsia" w:ascii="仿宋" w:hAnsi="仿宋" w:eastAsia="仿宋" w:cs="仿宋"/>
                <w:color w:val="000000"/>
                <w:kern w:val="0"/>
                <w:sz w:val="21"/>
                <w:szCs w:val="21"/>
              </w:rPr>
            </w:pPr>
          </w:p>
        </w:tc>
        <w:tc>
          <w:tcPr>
            <w:tcW w:w="825" w:type="dxa"/>
            <w:tcBorders>
              <w:top w:val="nil"/>
              <w:left w:val="nil"/>
              <w:bottom w:val="single" w:color="auto" w:sz="4" w:space="0"/>
              <w:right w:val="single" w:color="auto" w:sz="4" w:space="0"/>
            </w:tcBorders>
            <w:vAlign w:val="center"/>
          </w:tcPr>
          <w:p w14:paraId="7482C131">
            <w:pPr>
              <w:widowControl/>
              <w:spacing w:line="220" w:lineRule="exact"/>
              <w:jc w:val="center"/>
              <w:rPr>
                <w:rFonts w:hint="eastAsia" w:ascii="仿宋" w:hAnsi="仿宋" w:eastAsia="仿宋" w:cs="仿宋"/>
                <w:color w:val="000000"/>
                <w:kern w:val="0"/>
                <w:sz w:val="21"/>
                <w:szCs w:val="21"/>
              </w:rPr>
            </w:pPr>
          </w:p>
        </w:tc>
        <w:tc>
          <w:tcPr>
            <w:tcW w:w="1455" w:type="dxa"/>
            <w:tcBorders>
              <w:top w:val="nil"/>
              <w:left w:val="nil"/>
              <w:bottom w:val="single" w:color="auto" w:sz="4" w:space="0"/>
              <w:right w:val="single" w:color="auto" w:sz="4" w:space="0"/>
            </w:tcBorders>
            <w:vAlign w:val="center"/>
          </w:tcPr>
          <w:p w14:paraId="69A87DF0">
            <w:pPr>
              <w:widowControl/>
              <w:spacing w:line="220" w:lineRule="exact"/>
              <w:jc w:val="center"/>
              <w:rPr>
                <w:rFonts w:hint="eastAsia" w:ascii="仿宋" w:hAnsi="仿宋" w:eastAsia="仿宋" w:cs="仿宋"/>
                <w:color w:val="000000"/>
                <w:kern w:val="0"/>
                <w:sz w:val="21"/>
                <w:szCs w:val="21"/>
              </w:rPr>
            </w:pPr>
          </w:p>
        </w:tc>
        <w:tc>
          <w:tcPr>
            <w:tcW w:w="1073" w:type="dxa"/>
            <w:tcBorders>
              <w:top w:val="nil"/>
              <w:left w:val="nil"/>
              <w:bottom w:val="single" w:color="auto" w:sz="4" w:space="0"/>
              <w:right w:val="single" w:color="auto" w:sz="4" w:space="0"/>
            </w:tcBorders>
            <w:vAlign w:val="center"/>
          </w:tcPr>
          <w:p w14:paraId="11A1D06B">
            <w:pPr>
              <w:widowControl/>
              <w:spacing w:line="220" w:lineRule="exact"/>
              <w:jc w:val="center"/>
              <w:rPr>
                <w:rFonts w:hint="eastAsia" w:ascii="仿宋" w:hAnsi="仿宋" w:eastAsia="仿宋" w:cs="仿宋"/>
                <w:color w:val="000000"/>
                <w:kern w:val="0"/>
                <w:sz w:val="21"/>
                <w:szCs w:val="21"/>
              </w:rPr>
            </w:pPr>
          </w:p>
        </w:tc>
      </w:tr>
      <w:tr w14:paraId="00C1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vAlign w:val="center"/>
          </w:tcPr>
          <w:p w14:paraId="5394F6EF">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single" w:color="auto" w:sz="4" w:space="0"/>
              <w:right w:val="single" w:color="auto" w:sz="4" w:space="0"/>
            </w:tcBorders>
            <w:vAlign w:val="center"/>
          </w:tcPr>
          <w:p w14:paraId="63141CC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vMerge w:val="restart"/>
            <w:tcBorders>
              <w:top w:val="single" w:color="000000" w:sz="6" w:space="0"/>
              <w:left w:val="single" w:color="auto" w:sz="4" w:space="0"/>
              <w:right w:val="single" w:color="auto" w:sz="4" w:space="0"/>
            </w:tcBorders>
            <w:vAlign w:val="center"/>
          </w:tcPr>
          <w:p w14:paraId="691B8B35">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vAlign w:val="center"/>
          </w:tcPr>
          <w:p w14:paraId="54568ADB">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群众满意度</w:t>
            </w:r>
          </w:p>
        </w:tc>
        <w:tc>
          <w:tcPr>
            <w:tcW w:w="1487" w:type="dxa"/>
            <w:tcBorders>
              <w:top w:val="single" w:color="auto" w:sz="4" w:space="0"/>
              <w:left w:val="nil"/>
              <w:bottom w:val="single" w:color="auto" w:sz="4" w:space="0"/>
              <w:right w:val="single" w:color="auto" w:sz="4" w:space="0"/>
            </w:tcBorders>
            <w:vAlign w:val="center"/>
          </w:tcPr>
          <w:p w14:paraId="14762912">
            <w:pPr>
              <w:spacing w:line="240" w:lineRule="exact"/>
              <w:rPr>
                <w:rFonts w:hint="eastAsia" w:ascii="仿宋" w:hAnsi="仿宋" w:eastAsia="仿宋" w:cs="仿宋"/>
                <w:sz w:val="20"/>
                <w:szCs w:val="20"/>
              </w:rPr>
            </w:pPr>
            <w:r>
              <w:rPr>
                <w:rFonts w:hint="eastAsia" w:ascii="仿宋" w:hAnsi="仿宋" w:eastAsia="仿宋" w:cs="仿宋"/>
                <w:sz w:val="20"/>
                <w:szCs w:val="20"/>
              </w:rPr>
              <w:t>≥9</w:t>
            </w:r>
            <w:r>
              <w:rPr>
                <w:rFonts w:hint="eastAsia" w:ascii="仿宋" w:hAnsi="仿宋" w:eastAsia="仿宋" w:cs="仿宋"/>
                <w:sz w:val="20"/>
                <w:szCs w:val="20"/>
                <w:lang w:val="en-US" w:eastAsia="zh-CN"/>
              </w:rPr>
              <w:t>6</w:t>
            </w:r>
            <w:r>
              <w:rPr>
                <w:rFonts w:hint="eastAsia" w:ascii="仿宋" w:hAnsi="仿宋" w:eastAsia="仿宋" w:cs="仿宋"/>
                <w:sz w:val="20"/>
                <w:szCs w:val="20"/>
              </w:rPr>
              <w:t>%</w:t>
            </w:r>
          </w:p>
        </w:tc>
        <w:tc>
          <w:tcPr>
            <w:tcW w:w="1635" w:type="dxa"/>
            <w:tcBorders>
              <w:top w:val="single" w:color="auto" w:sz="4" w:space="0"/>
              <w:left w:val="nil"/>
              <w:bottom w:val="single" w:color="auto" w:sz="4" w:space="0"/>
              <w:right w:val="single" w:color="auto" w:sz="4" w:space="0"/>
            </w:tcBorders>
            <w:vAlign w:val="center"/>
          </w:tcPr>
          <w:p w14:paraId="592F26EF">
            <w:pPr>
              <w:widowControl/>
              <w:jc w:val="left"/>
              <w:textAlignment w:val="center"/>
              <w:rPr>
                <w:rFonts w:hint="eastAsia" w:ascii="仿宋" w:hAnsi="仿宋" w:eastAsia="仿宋" w:cs="仿宋"/>
                <w:color w:val="000000"/>
                <w:kern w:val="0"/>
                <w:sz w:val="21"/>
                <w:szCs w:val="21"/>
              </w:rPr>
            </w:pPr>
            <w:r>
              <w:rPr>
                <w:rFonts w:hint="default" w:ascii="仿宋_GB2312" w:hAnsi="宋体" w:eastAsia="仿宋_GB2312" w:cs="仿宋_GB2312"/>
                <w:i w:val="0"/>
                <w:iCs w:val="0"/>
                <w:color w:val="000000"/>
                <w:kern w:val="0"/>
                <w:sz w:val="20"/>
                <w:szCs w:val="20"/>
                <w:u w:val="none"/>
                <w:lang w:val="en-US" w:eastAsia="zh-CN"/>
              </w:rPr>
              <w:t>9</w:t>
            </w:r>
            <w:r>
              <w:rPr>
                <w:rFonts w:hint="eastAsia" w:ascii="仿宋_GB2312" w:hAnsi="宋体" w:eastAsia="仿宋_GB2312" w:cs="仿宋_GB2312"/>
                <w:i w:val="0"/>
                <w:iCs w:val="0"/>
                <w:color w:val="000000"/>
                <w:kern w:val="0"/>
                <w:sz w:val="20"/>
                <w:szCs w:val="20"/>
                <w:u w:val="none"/>
                <w:lang w:val="en-US" w:eastAsia="zh-CN"/>
              </w:rPr>
              <w:t>7</w:t>
            </w:r>
            <w:r>
              <w:rPr>
                <w:rFonts w:hint="default" w:ascii="仿宋_GB2312" w:hAnsi="宋体" w:eastAsia="仿宋_GB2312" w:cs="仿宋_GB2312"/>
                <w:i w:val="0"/>
                <w:iCs w:val="0"/>
                <w:color w:val="000000"/>
                <w:kern w:val="0"/>
                <w:sz w:val="20"/>
                <w:szCs w:val="20"/>
                <w:u w:val="none"/>
                <w:lang w:val="en-US" w:eastAsia="zh-CN"/>
              </w:rPr>
              <w:t>%</w:t>
            </w:r>
          </w:p>
        </w:tc>
        <w:tc>
          <w:tcPr>
            <w:tcW w:w="825" w:type="dxa"/>
            <w:tcBorders>
              <w:top w:val="single" w:color="auto" w:sz="4" w:space="0"/>
              <w:left w:val="nil"/>
              <w:bottom w:val="single" w:color="auto" w:sz="4" w:space="0"/>
              <w:right w:val="single" w:color="auto" w:sz="4" w:space="0"/>
            </w:tcBorders>
            <w:vAlign w:val="center"/>
          </w:tcPr>
          <w:p w14:paraId="36DC772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single" w:color="auto" w:sz="4" w:space="0"/>
              <w:left w:val="nil"/>
              <w:bottom w:val="single" w:color="auto" w:sz="4" w:space="0"/>
              <w:right w:val="single" w:color="auto" w:sz="4" w:space="0"/>
            </w:tcBorders>
            <w:vAlign w:val="center"/>
          </w:tcPr>
          <w:p w14:paraId="373942C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8</w:t>
            </w:r>
          </w:p>
        </w:tc>
        <w:tc>
          <w:tcPr>
            <w:tcW w:w="1073" w:type="dxa"/>
            <w:tcBorders>
              <w:top w:val="single" w:color="auto" w:sz="4" w:space="0"/>
              <w:left w:val="nil"/>
              <w:bottom w:val="single" w:color="auto" w:sz="4" w:space="0"/>
              <w:right w:val="single" w:color="auto" w:sz="4" w:space="0"/>
            </w:tcBorders>
            <w:vAlign w:val="center"/>
          </w:tcPr>
          <w:p w14:paraId="54F752BF">
            <w:pPr>
              <w:widowControl/>
              <w:spacing w:line="220" w:lineRule="exact"/>
              <w:jc w:val="center"/>
              <w:rPr>
                <w:rFonts w:hint="eastAsia" w:ascii="仿宋" w:hAnsi="仿宋" w:eastAsia="仿宋" w:cs="仿宋"/>
                <w:color w:val="000000"/>
                <w:kern w:val="0"/>
                <w:sz w:val="21"/>
                <w:szCs w:val="21"/>
              </w:rPr>
            </w:pPr>
          </w:p>
        </w:tc>
      </w:tr>
      <w:tr w14:paraId="232C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vAlign w:val="center"/>
          </w:tcPr>
          <w:p w14:paraId="3F3AAC0C">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single" w:color="auto" w:sz="4" w:space="0"/>
              <w:bottom w:val="single" w:color="auto" w:sz="4" w:space="0"/>
              <w:right w:val="single" w:color="auto" w:sz="4" w:space="0"/>
            </w:tcBorders>
            <w:vAlign w:val="center"/>
          </w:tcPr>
          <w:p w14:paraId="42038091">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vAlign w:val="center"/>
          </w:tcPr>
          <w:p w14:paraId="7D4F4876">
            <w:pPr>
              <w:widowControl/>
              <w:spacing w:line="220" w:lineRule="exact"/>
              <w:jc w:val="left"/>
              <w:rPr>
                <w:rFonts w:hint="eastAsia" w:ascii="仿宋" w:hAnsi="仿宋" w:eastAsia="仿宋" w:cs="仿宋"/>
                <w:sz w:val="20"/>
                <w:szCs w:val="20"/>
              </w:rPr>
            </w:pPr>
          </w:p>
        </w:tc>
        <w:tc>
          <w:tcPr>
            <w:tcW w:w="1603" w:type="dxa"/>
            <w:gridSpan w:val="2"/>
            <w:tcBorders>
              <w:top w:val="single" w:color="auto" w:sz="4" w:space="0"/>
              <w:left w:val="nil"/>
              <w:bottom w:val="single" w:color="auto" w:sz="4" w:space="0"/>
              <w:right w:val="single" w:color="auto" w:sz="4" w:space="0"/>
            </w:tcBorders>
            <w:vAlign w:val="center"/>
          </w:tcPr>
          <w:p w14:paraId="0B683F1E">
            <w:pPr>
              <w:spacing w:line="240" w:lineRule="exact"/>
              <w:jc w:val="center"/>
              <w:rPr>
                <w:rFonts w:hint="eastAsia" w:ascii="仿宋" w:hAnsi="仿宋" w:eastAsia="仿宋" w:cs="仿宋"/>
                <w:sz w:val="20"/>
                <w:szCs w:val="20"/>
              </w:rPr>
            </w:pPr>
          </w:p>
        </w:tc>
        <w:tc>
          <w:tcPr>
            <w:tcW w:w="1487" w:type="dxa"/>
            <w:tcBorders>
              <w:top w:val="single" w:color="auto" w:sz="4" w:space="0"/>
              <w:left w:val="nil"/>
              <w:bottom w:val="single" w:color="auto" w:sz="4" w:space="0"/>
              <w:right w:val="single" w:color="auto" w:sz="4" w:space="0"/>
            </w:tcBorders>
            <w:vAlign w:val="center"/>
          </w:tcPr>
          <w:p w14:paraId="175EF93D">
            <w:pPr>
              <w:spacing w:line="240" w:lineRule="exact"/>
              <w:rPr>
                <w:rFonts w:hint="eastAsia" w:ascii="仿宋" w:hAnsi="仿宋" w:eastAsia="仿宋" w:cs="仿宋"/>
                <w:sz w:val="20"/>
                <w:szCs w:val="20"/>
              </w:rPr>
            </w:pPr>
          </w:p>
        </w:tc>
        <w:tc>
          <w:tcPr>
            <w:tcW w:w="1635" w:type="dxa"/>
            <w:tcBorders>
              <w:top w:val="single" w:color="auto" w:sz="4" w:space="0"/>
              <w:left w:val="nil"/>
              <w:bottom w:val="single" w:color="auto" w:sz="4" w:space="0"/>
              <w:right w:val="single" w:color="auto" w:sz="4" w:space="0"/>
            </w:tcBorders>
            <w:vAlign w:val="center"/>
          </w:tcPr>
          <w:p w14:paraId="22F217C3">
            <w:pPr>
              <w:widowControl/>
              <w:spacing w:line="220" w:lineRule="exact"/>
              <w:jc w:val="left"/>
              <w:rPr>
                <w:rFonts w:hint="eastAsia" w:ascii="仿宋" w:hAnsi="仿宋" w:eastAsia="仿宋" w:cs="仿宋"/>
                <w:color w:val="000000"/>
                <w:kern w:val="0"/>
                <w:sz w:val="21"/>
                <w:szCs w:val="21"/>
              </w:rPr>
            </w:pPr>
          </w:p>
        </w:tc>
        <w:tc>
          <w:tcPr>
            <w:tcW w:w="825" w:type="dxa"/>
            <w:tcBorders>
              <w:top w:val="single" w:color="auto" w:sz="4" w:space="0"/>
              <w:left w:val="nil"/>
              <w:bottom w:val="single" w:color="auto" w:sz="4" w:space="0"/>
              <w:right w:val="single" w:color="auto" w:sz="4" w:space="0"/>
            </w:tcBorders>
            <w:vAlign w:val="center"/>
          </w:tcPr>
          <w:p w14:paraId="70B93E21">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auto" w:sz="4" w:space="0"/>
              <w:left w:val="nil"/>
              <w:bottom w:val="single" w:color="auto" w:sz="4" w:space="0"/>
              <w:right w:val="single" w:color="auto" w:sz="4" w:space="0"/>
            </w:tcBorders>
            <w:vAlign w:val="center"/>
          </w:tcPr>
          <w:p w14:paraId="2D8F6B6F">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auto" w:sz="4" w:space="0"/>
              <w:left w:val="nil"/>
              <w:bottom w:val="single" w:color="auto" w:sz="4" w:space="0"/>
              <w:right w:val="single" w:color="auto" w:sz="4" w:space="0"/>
            </w:tcBorders>
            <w:vAlign w:val="center"/>
          </w:tcPr>
          <w:p w14:paraId="50E8E756">
            <w:pPr>
              <w:widowControl/>
              <w:spacing w:line="220" w:lineRule="exact"/>
              <w:jc w:val="center"/>
              <w:rPr>
                <w:rFonts w:hint="eastAsia" w:ascii="仿宋" w:hAnsi="仿宋" w:eastAsia="仿宋" w:cs="仿宋"/>
                <w:color w:val="000000"/>
                <w:kern w:val="0"/>
                <w:sz w:val="21"/>
                <w:szCs w:val="21"/>
              </w:rPr>
            </w:pPr>
          </w:p>
        </w:tc>
      </w:tr>
      <w:tr w14:paraId="5592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vAlign w:val="center"/>
          </w:tcPr>
          <w:p w14:paraId="6BE4998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vAlign w:val="center"/>
          </w:tcPr>
          <w:p w14:paraId="0B15B57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vAlign w:val="center"/>
          </w:tcPr>
          <w:p w14:paraId="0054538C">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89</w:t>
            </w:r>
          </w:p>
        </w:tc>
        <w:tc>
          <w:tcPr>
            <w:tcW w:w="1073" w:type="dxa"/>
            <w:tcBorders>
              <w:top w:val="nil"/>
              <w:left w:val="nil"/>
              <w:bottom w:val="single" w:color="auto" w:sz="4" w:space="0"/>
              <w:right w:val="single" w:color="auto" w:sz="4" w:space="0"/>
            </w:tcBorders>
            <w:vAlign w:val="center"/>
          </w:tcPr>
          <w:p w14:paraId="6167470F">
            <w:pPr>
              <w:widowControl/>
              <w:spacing w:line="220" w:lineRule="exact"/>
              <w:jc w:val="center"/>
              <w:rPr>
                <w:rFonts w:hint="eastAsia" w:ascii="仿宋" w:hAnsi="仿宋" w:eastAsia="仿宋" w:cs="仿宋"/>
                <w:color w:val="000000"/>
                <w:kern w:val="0"/>
                <w:sz w:val="21"/>
                <w:szCs w:val="21"/>
              </w:rPr>
            </w:pPr>
          </w:p>
        </w:tc>
      </w:tr>
    </w:tbl>
    <w:p w14:paraId="57E062C8">
      <w:pPr>
        <w:spacing w:line="300" w:lineRule="exact"/>
        <w:jc w:val="center"/>
        <w:rPr>
          <w:rFonts w:hint="eastAsia" w:ascii="仿宋" w:hAnsi="仿宋" w:eastAsia="仿宋" w:cs="仿宋"/>
          <w:sz w:val="44"/>
        </w:rPr>
      </w:pPr>
    </w:p>
    <w:p w14:paraId="6A48852F">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color="080000" w:fill="FFFFFF"/>
        </w:rPr>
      </w:pPr>
    </w:p>
    <w:p w14:paraId="1D33ACF5">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color="080000" w:fill="FFFFFF"/>
        </w:rPr>
        <w:t>说明：1.分值设定100分，其中预算执行率10分、产出指标50分、效益指标30分、满意度指标10分。除预算执行率外的指标应根据权重自行合理设定分值。</w:t>
      </w:r>
    </w:p>
    <w:p w14:paraId="74FF4492">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color="080000" w:fill="FFFFFF"/>
        </w:rPr>
        <w:t>     </w:t>
      </w:r>
      <w:r>
        <w:rPr>
          <w:rFonts w:hint="eastAsia" w:ascii="仿宋_GB2312" w:eastAsia="仿宋_GB2312" w:cs="仿宋_GB2312"/>
          <w:i w:val="0"/>
          <w:iCs w:val="0"/>
          <w:caps w:val="0"/>
          <w:color w:val="000000"/>
          <w:spacing w:val="0"/>
          <w:sz w:val="24"/>
          <w:szCs w:val="24"/>
          <w:shd w:val="clear" w:color="080000" w:fill="FFFFFF"/>
          <w:lang w:val="en-US" w:eastAsia="zh-CN"/>
        </w:rPr>
        <w:t xml:space="preserve">  </w:t>
      </w:r>
      <w:r>
        <w:rPr>
          <w:rFonts w:hint="default" w:ascii="仿宋_GB2312" w:eastAsia="仿宋_GB2312" w:cs="仿宋_GB2312"/>
          <w:i w:val="0"/>
          <w:iCs w:val="0"/>
          <w:caps w:val="0"/>
          <w:color w:val="000000"/>
          <w:spacing w:val="0"/>
          <w:sz w:val="24"/>
          <w:szCs w:val="24"/>
          <w:shd w:val="clear" w:color="080000" w:fill="FFFFFF"/>
        </w:rPr>
        <w:t>2.综合评价等级分为优秀（</w:t>
      </w:r>
      <w:r>
        <w:rPr>
          <w:rFonts w:hint="eastAsia" w:ascii="仿宋_GB2312" w:eastAsia="仿宋_GB2312" w:cs="仿宋_GB2312"/>
          <w:i w:val="0"/>
          <w:iCs w:val="0"/>
          <w:caps w:val="0"/>
          <w:color w:val="000000"/>
          <w:spacing w:val="0"/>
          <w:sz w:val="24"/>
          <w:szCs w:val="24"/>
          <w:shd w:val="clear" w:color="080000" w:fill="FFFFFF"/>
          <w:lang w:val="en-US" w:eastAsia="zh-CN"/>
        </w:rPr>
        <w:t>大于</w:t>
      </w:r>
      <w:r>
        <w:rPr>
          <w:rFonts w:hint="default" w:ascii="仿宋_GB2312" w:eastAsia="仿宋_GB2312" w:cs="仿宋_GB2312"/>
          <w:i w:val="0"/>
          <w:iCs w:val="0"/>
          <w:caps w:val="0"/>
          <w:color w:val="000000"/>
          <w:spacing w:val="0"/>
          <w:sz w:val="24"/>
          <w:szCs w:val="24"/>
          <w:shd w:val="clear" w:color="080000" w:fill="FFFFFF"/>
        </w:rPr>
        <w:t>90</w:t>
      </w:r>
      <w:r>
        <w:rPr>
          <w:rFonts w:hint="eastAsia" w:ascii="仿宋_GB2312" w:eastAsia="仿宋_GB2312" w:cs="仿宋_GB2312"/>
          <w:i w:val="0"/>
          <w:iCs w:val="0"/>
          <w:caps w:val="0"/>
          <w:color w:val="000000"/>
          <w:spacing w:val="0"/>
          <w:sz w:val="24"/>
          <w:szCs w:val="24"/>
          <w:shd w:val="clear" w:color="080000" w:fill="FFFFFF"/>
          <w:lang w:val="en-US" w:eastAsia="zh-CN"/>
        </w:rPr>
        <w:t>分</w:t>
      </w:r>
      <w:r>
        <w:rPr>
          <w:rFonts w:hint="default" w:ascii="仿宋_GB2312" w:eastAsia="仿宋_GB2312" w:cs="仿宋_GB2312"/>
          <w:i w:val="0"/>
          <w:iCs w:val="0"/>
          <w:caps w:val="0"/>
          <w:color w:val="000000"/>
          <w:spacing w:val="0"/>
          <w:sz w:val="24"/>
          <w:szCs w:val="24"/>
          <w:shd w:val="clear" w:color="080000" w:fill="FFFFFF"/>
        </w:rPr>
        <w:t>）、良好（</w:t>
      </w:r>
      <w:r>
        <w:rPr>
          <w:rFonts w:hint="eastAsia" w:ascii="仿宋_GB2312" w:eastAsia="仿宋_GB2312" w:cs="仿宋_GB2312"/>
          <w:i w:val="0"/>
          <w:iCs w:val="0"/>
          <w:caps w:val="0"/>
          <w:color w:val="000000"/>
          <w:spacing w:val="0"/>
          <w:sz w:val="24"/>
          <w:szCs w:val="24"/>
          <w:shd w:val="clear" w:color="080000" w:fill="FFFFFF"/>
          <w:lang w:val="en-US" w:eastAsia="zh-CN"/>
        </w:rPr>
        <w:t>80-90分</w:t>
      </w:r>
      <w:r>
        <w:rPr>
          <w:rFonts w:hint="default" w:ascii="仿宋_GB2312" w:eastAsia="仿宋_GB2312" w:cs="仿宋_GB2312"/>
          <w:i w:val="0"/>
          <w:iCs w:val="0"/>
          <w:caps w:val="0"/>
          <w:color w:val="000000"/>
          <w:spacing w:val="0"/>
          <w:sz w:val="24"/>
          <w:szCs w:val="24"/>
          <w:shd w:val="clear" w:color="080000" w:fill="FFFFFF"/>
        </w:rPr>
        <w:t>）、较差（</w:t>
      </w:r>
      <w:r>
        <w:rPr>
          <w:rFonts w:hint="eastAsia" w:ascii="仿宋_GB2312" w:eastAsia="仿宋_GB2312" w:cs="仿宋_GB2312"/>
          <w:i w:val="0"/>
          <w:iCs w:val="0"/>
          <w:caps w:val="0"/>
          <w:color w:val="000000"/>
          <w:spacing w:val="0"/>
          <w:sz w:val="24"/>
          <w:szCs w:val="24"/>
          <w:shd w:val="clear" w:color="080000" w:fill="FFFFFF"/>
          <w:lang w:val="en-US" w:eastAsia="zh-CN"/>
        </w:rPr>
        <w:t>60-80分</w:t>
      </w:r>
      <w:r>
        <w:rPr>
          <w:rFonts w:hint="default" w:ascii="仿宋_GB2312" w:eastAsia="仿宋_GB2312" w:cs="仿宋_GB2312"/>
          <w:i w:val="0"/>
          <w:iCs w:val="0"/>
          <w:caps w:val="0"/>
          <w:color w:val="000000"/>
          <w:spacing w:val="0"/>
          <w:sz w:val="24"/>
          <w:szCs w:val="24"/>
          <w:shd w:val="clear" w:color="080000" w:fill="FFFFFF"/>
        </w:rPr>
        <w:t>）、 差（</w:t>
      </w:r>
      <w:r>
        <w:rPr>
          <w:rFonts w:hint="eastAsia" w:ascii="仿宋_GB2312" w:eastAsia="仿宋_GB2312" w:cs="仿宋_GB2312"/>
          <w:i w:val="0"/>
          <w:iCs w:val="0"/>
          <w:caps w:val="0"/>
          <w:color w:val="000000"/>
          <w:spacing w:val="0"/>
          <w:sz w:val="24"/>
          <w:szCs w:val="24"/>
          <w:shd w:val="clear" w:color="080000" w:fill="FFFFFF"/>
          <w:lang w:val="en-US" w:eastAsia="zh-CN"/>
        </w:rPr>
        <w:t>小于60分</w:t>
      </w:r>
      <w:r>
        <w:rPr>
          <w:rFonts w:hint="default" w:ascii="仿宋_GB2312" w:eastAsia="仿宋_GB2312" w:cs="仿宋_GB2312"/>
          <w:i w:val="0"/>
          <w:iCs w:val="0"/>
          <w:caps w:val="0"/>
          <w:color w:val="000000"/>
          <w:spacing w:val="0"/>
          <w:sz w:val="24"/>
          <w:szCs w:val="24"/>
          <w:shd w:val="clear" w:color="080000" w:fill="FFFFFF"/>
        </w:rPr>
        <w:t>）</w:t>
      </w:r>
      <w:r>
        <w:rPr>
          <w:rFonts w:ascii="Calibri" w:hAnsi="Calibri" w:eastAsia="仿宋_GB2312" w:cs="Calibri"/>
          <w:i w:val="0"/>
          <w:iCs w:val="0"/>
          <w:caps w:val="0"/>
          <w:color w:val="000000"/>
          <w:spacing w:val="0"/>
          <w:sz w:val="24"/>
          <w:szCs w:val="24"/>
          <w:shd w:val="clear" w:color="080000" w:fill="FFFFFF"/>
        </w:rPr>
        <w:t>。</w:t>
      </w:r>
    </w:p>
    <w:p w14:paraId="575DDA39">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both"/>
        <w:rPr>
          <w:rFonts w:hint="eastAsia" w:ascii="仿宋" w:hAnsi="仿宋" w:eastAsia="仿宋" w:cs="仿宋"/>
          <w:spacing w:val="10"/>
          <w:sz w:val="32"/>
          <w:szCs w:val="32"/>
        </w:rPr>
      </w:pPr>
      <w:r>
        <w:rPr>
          <w:rFonts w:hint="default" w:ascii="仿宋_GB2312" w:eastAsia="仿宋_GB2312" w:cs="仿宋_GB2312"/>
          <w:i w:val="0"/>
          <w:iCs w:val="0"/>
          <w:caps w:val="0"/>
          <w:color w:val="000000"/>
          <w:spacing w:val="0"/>
          <w:sz w:val="24"/>
          <w:szCs w:val="24"/>
          <w:shd w:val="clear" w:color="080000" w:fill="FFFFFF"/>
        </w:rPr>
        <w:t>     </w:t>
      </w:r>
      <w:r>
        <w:rPr>
          <w:rFonts w:hint="eastAsia" w:ascii="仿宋_GB2312" w:eastAsia="仿宋_GB2312" w:cs="仿宋_GB2312"/>
          <w:i w:val="0"/>
          <w:iCs w:val="0"/>
          <w:caps w:val="0"/>
          <w:color w:val="000000"/>
          <w:spacing w:val="0"/>
          <w:sz w:val="24"/>
          <w:szCs w:val="24"/>
          <w:shd w:val="clear" w:color="080000" w:fill="FFFFFF"/>
          <w:lang w:val="en-US" w:eastAsia="zh-CN"/>
        </w:rPr>
        <w:t xml:space="preserve">  </w:t>
      </w:r>
      <w:r>
        <w:rPr>
          <w:rFonts w:hint="default" w:ascii="仿宋_GB2312" w:eastAsia="仿宋_GB2312" w:cs="仿宋_GB2312"/>
          <w:i w:val="0"/>
          <w:iCs w:val="0"/>
          <w:caps w:val="0"/>
          <w:color w:val="000000"/>
          <w:spacing w:val="0"/>
          <w:sz w:val="24"/>
          <w:szCs w:val="24"/>
          <w:shd w:val="clear" w:color="080000" w:fill="FFFFFF"/>
        </w:rPr>
        <w:t>3.三级绩效指标按需自行增减行。个别不涉及的二级指标可删除不要。</w:t>
      </w:r>
    </w:p>
    <w:p w14:paraId="7A5B8BE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62BA5"/>
    <w:multiLevelType w:val="singleLevel"/>
    <w:tmpl w:val="A5862BA5"/>
    <w:lvl w:ilvl="0" w:tentative="0">
      <w:start w:val="7"/>
      <w:numFmt w:val="decimal"/>
      <w:suff w:val="nothing"/>
      <w:lvlText w:val="%1、"/>
      <w:lvlJc w:val="left"/>
    </w:lvl>
  </w:abstractNum>
  <w:abstractNum w:abstractNumId="1">
    <w:nsid w:val="1C8C83C5"/>
    <w:multiLevelType w:val="singleLevel"/>
    <w:tmpl w:val="1C8C83C5"/>
    <w:lvl w:ilvl="0" w:tentative="0">
      <w:start w:val="1"/>
      <w:numFmt w:val="decimal"/>
      <w:lvlText w:val="%1."/>
      <w:lvlJc w:val="left"/>
      <w:pPr>
        <w:tabs>
          <w:tab w:val="left" w:pos="312"/>
        </w:tabs>
      </w:pPr>
    </w:lvl>
  </w:abstractNum>
  <w:abstractNum w:abstractNumId="2">
    <w:nsid w:val="6DD6DCE7"/>
    <w:multiLevelType w:val="singleLevel"/>
    <w:tmpl w:val="6DD6DCE7"/>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E1B77"/>
    <w:rsid w:val="0A8B1BC6"/>
    <w:rsid w:val="0B927856"/>
    <w:rsid w:val="0FD934BC"/>
    <w:rsid w:val="1DF10308"/>
    <w:rsid w:val="36F77D5A"/>
    <w:rsid w:val="38181B05"/>
    <w:rsid w:val="455A5272"/>
    <w:rsid w:val="67252B3E"/>
    <w:rsid w:val="78D04FC1"/>
    <w:rsid w:val="7D1827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仿宋_GB2312" w:cs="黑体"/>
      <w:sz w:val="32"/>
    </w:rPr>
  </w:style>
  <w:style w:type="paragraph" w:styleId="3">
    <w:name w:val="Body Text Indent"/>
    <w:basedOn w:val="1"/>
    <w:next w:val="1"/>
    <w:qFormat/>
    <w:uiPriority w:val="0"/>
    <w:pPr>
      <w:spacing w:after="120"/>
      <w:ind w:left="420" w:leftChars="200"/>
    </w:pPr>
  </w:style>
  <w:style w:type="paragraph" w:styleId="4">
    <w:name w:val="footnote text"/>
    <w:basedOn w:val="1"/>
    <w:next w:val="2"/>
    <w:unhideWhenUsed/>
    <w:qFormat/>
    <w:uiPriority w:val="99"/>
    <w:pPr>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paragraph" w:styleId="6">
    <w:name w:val="Body Text First Indent 2"/>
    <w:basedOn w:val="3"/>
    <w:next w:val="7"/>
    <w:unhideWhenUsed/>
    <w:qFormat/>
    <w:uiPriority w:val="99"/>
    <w:pPr>
      <w:ind w:firstLine="420" w:firstLineChars="200"/>
    </w:pPr>
  </w:style>
  <w:style w:type="paragraph" w:customStyle="1" w:styleId="7">
    <w:name w:val="目录 92"/>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
    <w:name w:val="NormalIndent"/>
    <w:basedOn w:val="1"/>
    <w:qFormat/>
    <w:uiPriority w:val="0"/>
    <w:pPr>
      <w:ind w:firstLine="420" w:firstLineChars="200"/>
      <w:jc w:val="both"/>
      <w:textAlignment w:val="baseline"/>
    </w:pPr>
    <w:rPr>
      <w:rFonts w:ascii="Calibri" w:hAnsi="Calibri" w:eastAsia="仿宋"/>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8691</Words>
  <Characters>9587</Characters>
  <Lines>0</Lines>
  <Paragraphs>0</Paragraphs>
  <TotalTime>572</TotalTime>
  <ScaleCrop>false</ScaleCrop>
  <LinksUpToDate>false</LinksUpToDate>
  <CharactersWithSpaces>9710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2024-09-10T16:31:00Z</dcterms:created>
  <dc:creator>曾经的我</dc:creator>
  <cp:lastModifiedBy>灵均</cp:lastModifiedBy>
  <cp:lastPrinted>2025-09-28T06:27:00Z</cp:lastPrinted>
  <dcterms:modified xsi:type="dcterms:W3CDTF">2025-09-30T00:07:16Z</dcterms:modified>
  <dc:title>绥 宁 县 卫 生 健 康 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C8195F650CDA46F18D1024B13FEE5FCA_13</vt:lpwstr>
  </property>
  <property fmtid="{D5CDD505-2E9C-101B-9397-08002B2CF9AE}" pid="4" name="KSOTemplateDocerSaveRecord">
    <vt:lpwstr>eyJoZGlkIjoiMDA3MGY0OWY4Yjg0ODdkMjRlZjUwNmZiM2EwNzkwNzgiLCJ1c2VySWQiOiI0MjcyNDA0MDQifQ==</vt:lpwstr>
  </property>
</Properties>
</file>