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default" w:ascii="仿宋_GB2312" w:eastAsia="仿宋_GB2312"/>
          <w:color w:val="000000" w:themeColor="text1"/>
          <w:sz w:val="28"/>
          <w:szCs w:val="28"/>
          <w:lang w:val="en-US" w:eastAsia="zh-CN"/>
          <w14:textFill>
            <w14:solidFill>
              <w14:schemeClr w14:val="tx1"/>
            </w14:solidFill>
          </w14:textFill>
        </w:rPr>
      </w:pPr>
      <w:bookmarkStart w:id="3" w:name="_GoBack"/>
      <w:bookmarkStart w:id="0" w:name="SQ_Text"/>
      <w:bookmarkEnd w:id="0"/>
      <w:bookmarkStart w:id="1" w:name="_Toc556"/>
      <w:bookmarkStart w:id="2" w:name="_Toc19703"/>
      <w:r>
        <w:rPr>
          <w:rFonts w:hint="eastAsia" w:ascii="仿宋_GB2312" w:hAnsi="仿宋_GB2312" w:eastAsia="仿宋_GB2312" w:cs="仿宋_GB2312"/>
          <w:color w:val="000000" w:themeColor="text1"/>
          <w:sz w:val="32"/>
          <w:szCs w:val="32"/>
          <w14:textFill>
            <w14:solidFill>
              <w14:schemeClr w14:val="tx1"/>
            </w14:solidFill>
          </w14:textFill>
        </w:rPr>
        <w:t>SNDR—20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0001</w:t>
      </w:r>
    </w:p>
    <w:p>
      <w:pPr>
        <w:spacing w:line="620" w:lineRule="exact"/>
        <w:jc w:val="center"/>
        <w:rPr>
          <w:rFonts w:hint="eastAsia"/>
          <w:color w:val="000000" w:themeColor="text1"/>
          <w14:textFill>
            <w14:solidFill>
              <w14:schemeClr w14:val="tx1"/>
            </w14:solidFill>
          </w14:textFill>
        </w:rPr>
      </w:pPr>
    </w:p>
    <w:p>
      <w:pPr>
        <w:spacing w:line="620" w:lineRule="exact"/>
        <w:jc w:val="cente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color w:val="000000" w:themeColor="text1"/>
          <w14:textFill>
            <w14:solidFill>
              <w14:schemeClr w14:val="tx1"/>
            </w14:solidFill>
          </w14:textFill>
        </w:rPr>
      </w:pPr>
    </w:p>
    <w:p>
      <w:pPr>
        <w:spacing w:line="620" w:lineRule="exact"/>
        <w:jc w:val="center"/>
        <w:rPr>
          <w:rFonts w:hint="eastAsia"/>
          <w:color w:val="000000" w:themeColor="text1"/>
          <w14:textFill>
            <w14:solidFill>
              <w14:schemeClr w14:val="tx1"/>
            </w14:solidFill>
          </w14:textFill>
        </w:rPr>
      </w:pPr>
    </w:p>
    <w:p>
      <w:pPr>
        <w:spacing w:line="620" w:lineRule="exact"/>
        <w:jc w:val="cente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themeColor="text1"/>
          <w14:textFill>
            <w14:solidFill>
              <w14:schemeClr w14:val="tx1"/>
            </w14:solidFill>
          </w14:textFill>
        </w:rPr>
      </w:pPr>
    </w:p>
    <w:p>
      <w:pPr>
        <w:spacing w:line="620" w:lineRule="exact"/>
        <w:rPr>
          <w:rFonts w:hint="eastAsia"/>
          <w:color w:val="000000" w:themeColor="text1"/>
          <w14:textFill>
            <w14:solidFill>
              <w14:schemeClr w14:val="tx1"/>
            </w14:solidFill>
          </w14:textFill>
        </w:rPr>
      </w:pPr>
    </w:p>
    <w:p>
      <w:pPr>
        <w:spacing w:line="620" w:lineRule="exact"/>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绥政发〔20</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val="0"/>
          <w:i w:val="0"/>
          <w:iCs/>
          <w:color w:val="000000"/>
          <w:kern w:val="0"/>
          <w:sz w:val="44"/>
          <w:szCs w:val="44"/>
          <w:lang w:val="en-US" w:eastAsia="zh-CN" w:bidi="ar"/>
        </w:rPr>
      </w:pPr>
      <w:r>
        <w:rPr>
          <w:rFonts w:hint="eastAsia" w:ascii="方正小标宋简体" w:hAnsi="方正小标宋简体" w:eastAsia="方正小标宋简体" w:cs="方正小标宋简体"/>
          <w:b w:val="0"/>
          <w:bCs w:val="0"/>
          <w:i w:val="0"/>
          <w:iCs/>
          <w:color w:val="000000"/>
          <w:kern w:val="0"/>
          <w:sz w:val="44"/>
          <w:szCs w:val="44"/>
          <w:lang w:val="en-US" w:eastAsia="zh-CN" w:bidi="ar"/>
        </w:rPr>
        <w:t>绥宁县人民政府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val="0"/>
          <w:i w:val="0"/>
          <w:iCs/>
          <w:color w:val="000000"/>
          <w:kern w:val="0"/>
          <w:sz w:val="44"/>
          <w:szCs w:val="44"/>
          <w:lang w:val="en-US" w:eastAsia="zh-CN" w:bidi="ar"/>
        </w:rPr>
      </w:pPr>
      <w:r>
        <w:rPr>
          <w:rFonts w:hint="eastAsia" w:ascii="方正小标宋简体" w:hAnsi="方正小标宋简体" w:eastAsia="方正小标宋简体" w:cs="方正小标宋简体"/>
          <w:b w:val="0"/>
          <w:bCs w:val="0"/>
          <w:i w:val="0"/>
          <w:iCs/>
          <w:color w:val="000000"/>
          <w:kern w:val="0"/>
          <w:sz w:val="44"/>
          <w:szCs w:val="44"/>
          <w:lang w:val="en-US" w:eastAsia="zh-CN" w:bidi="ar"/>
        </w:rPr>
        <w:t>关于公布绥宁县集体建设用地基准地价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val="0"/>
          <w:i w:val="0"/>
          <w:iCs/>
          <w:color w:val="000000"/>
          <w:kern w:val="0"/>
          <w:sz w:val="44"/>
          <w:szCs w:val="44"/>
          <w:lang w:val="en-US" w:eastAsia="zh-CN" w:bidi="ar"/>
        </w:rPr>
      </w:pPr>
      <w:r>
        <w:rPr>
          <w:rFonts w:hint="eastAsia" w:ascii="方正小标宋简体" w:hAnsi="方正小标宋简体" w:eastAsia="方正小标宋简体" w:cs="方正小标宋简体"/>
          <w:b w:val="0"/>
          <w:bCs w:val="0"/>
          <w:i w:val="0"/>
          <w:iCs/>
          <w:color w:val="000000"/>
          <w:kern w:val="0"/>
          <w:sz w:val="44"/>
          <w:szCs w:val="44"/>
          <w:lang w:val="en-US" w:eastAsia="zh-CN" w:bidi="ar"/>
        </w:rPr>
        <w:t>评估成果的通知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宋体" w:hAnsi="宋体" w:eastAsia="宋体" w:cs="宋体"/>
          <w:i w:val="0"/>
          <w:iCs/>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i w:val="0"/>
          <w:iCs/>
          <w:color w:val="000000"/>
          <w:kern w:val="0"/>
          <w:sz w:val="32"/>
          <w:szCs w:val="32"/>
          <w:lang w:val="en-US" w:eastAsia="zh-CN" w:bidi="ar"/>
        </w:rPr>
        <w:t>各乡镇人民政府，市属、县直各有关单位：</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i w:val="0"/>
          <w:iCs/>
          <w:sz w:val="32"/>
          <w:szCs w:val="32"/>
        </w:rPr>
      </w:pPr>
      <w:r>
        <w:rPr>
          <w:rFonts w:hint="eastAsia" w:ascii="仿宋" w:hAnsi="仿宋" w:eastAsia="仿宋" w:cs="仿宋"/>
          <w:i w:val="0"/>
          <w:iCs/>
          <w:color w:val="000000"/>
          <w:kern w:val="0"/>
          <w:sz w:val="32"/>
          <w:szCs w:val="32"/>
          <w:lang w:val="en-US" w:eastAsia="zh-CN" w:bidi="ar"/>
        </w:rPr>
        <w:t>根据《湖南省自然资源厅关于同意公布实施绥宁县集体建设用地基准地价评估成果的函》文件精神，经县人民政府研究，同意将绥宁县集体建设用地基准地价成果予以公布，自公布之日起实施。</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i w:val="0"/>
          <w:iCs/>
          <w:color w:val="000000"/>
          <w:kern w:val="0"/>
          <w:sz w:val="32"/>
          <w:szCs w:val="32"/>
          <w:lang w:val="en-US" w:eastAsia="zh-CN" w:bidi="ar"/>
        </w:rPr>
      </w:pPr>
      <w:r>
        <w:rPr>
          <w:rFonts w:hint="eastAsia" w:ascii="仿宋" w:hAnsi="仿宋" w:eastAsia="仿宋" w:cs="仿宋"/>
          <w:i w:val="0"/>
          <w:iCs/>
          <w:color w:val="000000"/>
          <w:kern w:val="0"/>
          <w:sz w:val="32"/>
          <w:szCs w:val="32"/>
          <w:lang w:val="en-US" w:eastAsia="zh-CN" w:bidi="ar"/>
        </w:rPr>
        <w:t>附件：绥宁县集体建设用地基准地价评估成果一览表</w:t>
      </w:r>
    </w:p>
    <w:p>
      <w:pPr>
        <w:pStyle w:val="6"/>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i w:val="0"/>
          <w:iCs/>
          <w:color w:val="000000"/>
          <w:kern w:val="0"/>
          <w:sz w:val="32"/>
          <w:szCs w:val="32"/>
          <w:lang w:val="en-US" w:eastAsia="zh-CN" w:bidi="ar"/>
        </w:rPr>
      </w:pPr>
      <w:r>
        <w:rPr>
          <w:rFonts w:hint="eastAsia" w:ascii="仿宋" w:hAnsi="仿宋" w:eastAsia="仿宋" w:cs="仿宋"/>
          <w:i w:val="0"/>
          <w:iCs/>
          <w:color w:val="000000"/>
          <w:kern w:val="0"/>
          <w:sz w:val="32"/>
          <w:szCs w:val="32"/>
          <w:lang w:val="en-US" w:eastAsia="zh-CN" w:bidi="ar"/>
        </w:rPr>
        <w:t xml:space="preserve">                                绥宁县人民政府</w:t>
      </w:r>
      <w:r>
        <w:rPr>
          <w:rFonts w:hint="eastAsia" w:ascii="仿宋" w:hAnsi="仿宋" w:eastAsia="仿宋" w:cs="仿宋"/>
          <w:i w:val="0"/>
          <w:iCs/>
          <w:color w:val="000000"/>
          <w:kern w:val="0"/>
          <w:sz w:val="32"/>
          <w:szCs w:val="32"/>
          <w:lang w:val="en-US" w:eastAsia="zh-CN" w:bidi="ar"/>
        </w:rPr>
        <w:tab/>
      </w:r>
      <w:r>
        <w:rPr>
          <w:rFonts w:hint="eastAsia" w:ascii="仿宋" w:hAnsi="仿宋" w:eastAsia="仿宋" w:cs="仿宋"/>
          <w:i w:val="0"/>
          <w:iCs/>
          <w:color w:val="000000"/>
          <w:kern w:val="0"/>
          <w:sz w:val="32"/>
          <w:szCs w:val="32"/>
          <w:lang w:val="en-US" w:eastAsia="zh-CN" w:bidi="ar"/>
        </w:rPr>
        <w:tab/>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i w:val="0"/>
          <w:iCs/>
          <w:color w:val="000000"/>
          <w:kern w:val="0"/>
          <w:sz w:val="32"/>
          <w:szCs w:val="32"/>
          <w:lang w:val="en-US" w:eastAsia="zh-CN" w:bidi="ar"/>
        </w:rPr>
      </w:pPr>
      <w:r>
        <w:rPr>
          <w:rFonts w:hint="eastAsia" w:ascii="仿宋" w:hAnsi="仿宋" w:eastAsia="仿宋" w:cs="仿宋"/>
          <w:i w:val="0"/>
          <w:iCs/>
          <w:color w:val="000000"/>
          <w:kern w:val="0"/>
          <w:sz w:val="32"/>
          <w:szCs w:val="32"/>
          <w:lang w:val="en-US" w:eastAsia="zh-CN" w:bidi="ar"/>
        </w:rPr>
        <w:t xml:space="preserve">                            2023年3月17日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i w:val="0"/>
          <w:iCs/>
          <w:color w:val="000000"/>
          <w:kern w:val="0"/>
          <w:sz w:val="32"/>
          <w:szCs w:val="32"/>
          <w:lang w:val="en-US" w:eastAsia="zh-CN" w:bidi="ar"/>
        </w:rPr>
        <w:t xml:space="preserve">    （此件公开发布）</w:t>
      </w:r>
    </w:p>
    <w:p>
      <w:pPr>
        <w:rPr>
          <w:rFonts w:hint="eastAsia" w:ascii="仿宋" w:hAnsi="仿宋" w:eastAsia="仿宋" w:cs="仿宋"/>
          <w:i w:val="0"/>
          <w:iCs/>
          <w:color w:val="000000"/>
          <w:kern w:val="0"/>
          <w:sz w:val="32"/>
          <w:szCs w:val="32"/>
          <w:lang w:val="en-US" w:eastAsia="zh-CN" w:bidi="ar"/>
        </w:rPr>
      </w:pPr>
      <w:r>
        <w:rPr>
          <w:rFonts w:hint="eastAsia" w:ascii="仿宋" w:hAnsi="仿宋" w:eastAsia="仿宋" w:cs="仿宋"/>
          <w:i w:val="0"/>
          <w:iCs/>
          <w:color w:val="000000"/>
          <w:kern w:val="0"/>
          <w:sz w:val="32"/>
          <w:szCs w:val="32"/>
          <w:lang w:val="en-US" w:eastAsia="zh-CN" w:bidi="ar"/>
        </w:rPr>
        <w:br w:type="page"/>
      </w:r>
    </w:p>
    <w:p>
      <w:pPr>
        <w:spacing w:after="163" w:afterLines="50" w:line="360" w:lineRule="auto"/>
        <w:jc w:val="left"/>
        <w:rPr>
          <w:rFonts w:hint="eastAsia" w:ascii="黑体" w:hAnsi="黑体" w:eastAsia="黑体" w:cs="黑体"/>
          <w:kern w:val="0"/>
          <w:sz w:val="32"/>
          <w:szCs w:val="32"/>
        </w:rPr>
      </w:pPr>
      <w:r>
        <w:rPr>
          <w:rFonts w:hint="eastAsia" w:ascii="黑体" w:hAnsi="黑体" w:eastAsia="黑体" w:cs="黑体"/>
          <w:kern w:val="0"/>
          <w:sz w:val="32"/>
          <w:szCs w:val="32"/>
        </w:rPr>
        <w:t>附件</w:t>
      </w:r>
    </w:p>
    <w:bookmarkEnd w:id="1"/>
    <w:bookmarkEnd w:id="2"/>
    <w:p>
      <w:pPr>
        <w:pStyle w:val="6"/>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绥宁县集体建设用地基准地价评估成果</w:t>
      </w:r>
    </w:p>
    <w:p>
      <w:pPr>
        <w:pStyle w:val="6"/>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一览表</w:t>
      </w:r>
    </w:p>
    <w:p>
      <w:pPr>
        <w:pStyle w:val="6"/>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0" w:firstLine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基准地基内涵</w:t>
      </w:r>
    </w:p>
    <w:p>
      <w:pPr>
        <w:adjustRightInd w:val="0"/>
        <w:snapToGrid w:val="0"/>
        <w:spacing w:line="560" w:lineRule="exact"/>
        <w:ind w:left="560"/>
        <w:jc w:val="center"/>
        <w:rPr>
          <w:rFonts w:hint="eastAsia" w:ascii="仿宋" w:hAnsi="仿宋" w:eastAsia="仿宋" w:cs="仿宋"/>
          <w:b/>
          <w:bCs/>
          <w:sz w:val="28"/>
          <w:szCs w:val="28"/>
        </w:rPr>
      </w:pPr>
      <w:r>
        <w:rPr>
          <w:rFonts w:hint="eastAsia" w:ascii="仿宋" w:hAnsi="仿宋" w:eastAsia="仿宋" w:cs="仿宋"/>
          <w:b/>
          <w:bCs/>
          <w:sz w:val="28"/>
          <w:szCs w:val="28"/>
        </w:rPr>
        <w:t>表1</w:t>
      </w:r>
      <w:r>
        <w:rPr>
          <w:rFonts w:hint="eastAsia" w:ascii="仿宋" w:hAnsi="仿宋" w:eastAsia="仿宋" w:cs="仿宋"/>
          <w:b/>
          <w:bCs/>
          <w:sz w:val="28"/>
          <w:szCs w:val="28"/>
          <w:lang w:val="en-US" w:eastAsia="zh-CN"/>
        </w:rPr>
        <w:t xml:space="preserve">   绥宁县</w:t>
      </w:r>
      <w:r>
        <w:rPr>
          <w:rFonts w:hint="eastAsia" w:ascii="仿宋" w:hAnsi="仿宋" w:eastAsia="仿宋" w:cs="仿宋"/>
          <w:b/>
          <w:bCs/>
          <w:sz w:val="28"/>
          <w:szCs w:val="28"/>
        </w:rPr>
        <w:t>集体建设用地</w:t>
      </w:r>
      <w:r>
        <w:rPr>
          <w:rFonts w:hint="eastAsia" w:ascii="仿宋" w:hAnsi="仿宋" w:eastAsia="仿宋" w:cs="仿宋"/>
          <w:b/>
          <w:bCs/>
          <w:sz w:val="28"/>
          <w:szCs w:val="28"/>
          <w:lang w:eastAsia="zh-CN"/>
        </w:rPr>
        <w:t>级别</w:t>
      </w:r>
      <w:r>
        <w:rPr>
          <w:rFonts w:hint="eastAsia" w:ascii="仿宋" w:hAnsi="仿宋" w:eastAsia="仿宋" w:cs="仿宋"/>
          <w:b/>
          <w:bCs/>
          <w:sz w:val="28"/>
          <w:szCs w:val="28"/>
        </w:rPr>
        <w:t>基准地价内涵</w:t>
      </w:r>
    </w:p>
    <w:tbl>
      <w:tblPr>
        <w:tblStyle w:val="9"/>
        <w:tblW w:w="52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983"/>
        <w:gridCol w:w="739"/>
        <w:gridCol w:w="604"/>
        <w:gridCol w:w="754"/>
        <w:gridCol w:w="589"/>
        <w:gridCol w:w="663"/>
        <w:gridCol w:w="574"/>
        <w:gridCol w:w="663"/>
        <w:gridCol w:w="635"/>
        <w:gridCol w:w="693"/>
        <w:gridCol w:w="575"/>
        <w:gridCol w:w="513"/>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39" w:type="pct"/>
            <w:vMerge w:val="restar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级别</w:t>
            </w:r>
          </w:p>
        </w:tc>
        <w:tc>
          <w:tcPr>
            <w:tcW w:w="534" w:type="pct"/>
            <w:vMerge w:val="restar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土地</w:t>
            </w:r>
          </w:p>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权利</w:t>
            </w:r>
          </w:p>
        </w:tc>
        <w:tc>
          <w:tcPr>
            <w:tcW w:w="730" w:type="pct"/>
            <w:gridSpan w:val="2"/>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商服用地</w:t>
            </w:r>
          </w:p>
        </w:tc>
        <w:tc>
          <w:tcPr>
            <w:tcW w:w="730" w:type="pct"/>
            <w:gridSpan w:val="2"/>
            <w:vAlign w:val="center"/>
          </w:tcPr>
          <w:p>
            <w:pPr>
              <w:widowControl/>
              <w:spacing w:line="160" w:lineRule="atLeast"/>
              <w:jc w:val="center"/>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eastAsia="zh-CN"/>
              </w:rPr>
              <w:t>宅基地</w:t>
            </w:r>
          </w:p>
        </w:tc>
        <w:tc>
          <w:tcPr>
            <w:tcW w:w="672" w:type="pct"/>
            <w:gridSpan w:val="2"/>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工矿仓储用地</w:t>
            </w:r>
          </w:p>
        </w:tc>
        <w:tc>
          <w:tcPr>
            <w:tcW w:w="705" w:type="pct"/>
            <w:gridSpan w:val="2"/>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公共管理与公共服务</w:t>
            </w:r>
          </w:p>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用地Ⅰ</w:t>
            </w:r>
          </w:p>
        </w:tc>
        <w:tc>
          <w:tcPr>
            <w:tcW w:w="689" w:type="pct"/>
            <w:gridSpan w:val="2"/>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公共管理与公共服务</w:t>
            </w:r>
          </w:p>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用地Ⅱ</w:t>
            </w:r>
          </w:p>
        </w:tc>
        <w:tc>
          <w:tcPr>
            <w:tcW w:w="278" w:type="pct"/>
            <w:vMerge w:val="restar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开发程度</w:t>
            </w:r>
          </w:p>
        </w:tc>
        <w:tc>
          <w:tcPr>
            <w:tcW w:w="419" w:type="pct"/>
            <w:vMerge w:val="restar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估价期日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39" w:type="pct"/>
            <w:vMerge w:val="continue"/>
            <w:vAlign w:val="center"/>
          </w:tcPr>
          <w:p>
            <w:pPr>
              <w:widowControl/>
              <w:spacing w:line="160" w:lineRule="atLeast"/>
              <w:jc w:val="center"/>
              <w:rPr>
                <w:rFonts w:hint="default" w:ascii="Times New Roman" w:hAnsi="Times New Roman" w:eastAsia="仿宋" w:cs="Times New Roman"/>
                <w:kern w:val="0"/>
                <w:szCs w:val="21"/>
              </w:rPr>
            </w:pPr>
          </w:p>
        </w:tc>
        <w:tc>
          <w:tcPr>
            <w:tcW w:w="534" w:type="pct"/>
            <w:vMerge w:val="continue"/>
            <w:vAlign w:val="center"/>
          </w:tcPr>
          <w:p>
            <w:pPr>
              <w:widowControl/>
              <w:spacing w:line="160" w:lineRule="atLeast"/>
              <w:jc w:val="center"/>
              <w:rPr>
                <w:rFonts w:hint="default" w:ascii="Times New Roman" w:hAnsi="Times New Roman" w:eastAsia="仿宋" w:cs="Times New Roman"/>
                <w:kern w:val="0"/>
                <w:szCs w:val="21"/>
              </w:rPr>
            </w:pPr>
          </w:p>
        </w:tc>
        <w:tc>
          <w:tcPr>
            <w:tcW w:w="401"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lang w:eastAsia="zh-CN"/>
              </w:rPr>
              <w:t>使用</w:t>
            </w:r>
            <w:r>
              <w:rPr>
                <w:rFonts w:hint="default" w:ascii="Times New Roman" w:hAnsi="Times New Roman" w:eastAsia="仿宋" w:cs="Times New Roman"/>
                <w:kern w:val="0"/>
                <w:szCs w:val="21"/>
              </w:rPr>
              <w:t>年期</w:t>
            </w:r>
          </w:p>
        </w:tc>
        <w:tc>
          <w:tcPr>
            <w:tcW w:w="328"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容积率</w:t>
            </w:r>
          </w:p>
        </w:tc>
        <w:tc>
          <w:tcPr>
            <w:tcW w:w="409"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lang w:eastAsia="zh-CN"/>
              </w:rPr>
              <w:t>使用</w:t>
            </w:r>
            <w:r>
              <w:rPr>
                <w:rFonts w:hint="default" w:ascii="Times New Roman" w:hAnsi="Times New Roman" w:eastAsia="仿宋" w:cs="Times New Roman"/>
                <w:kern w:val="0"/>
                <w:szCs w:val="21"/>
              </w:rPr>
              <w:t>年期</w:t>
            </w:r>
          </w:p>
        </w:tc>
        <w:tc>
          <w:tcPr>
            <w:tcW w:w="32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容积率</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年期</w:t>
            </w:r>
          </w:p>
        </w:tc>
        <w:tc>
          <w:tcPr>
            <w:tcW w:w="312"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容积率</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年期</w:t>
            </w:r>
          </w:p>
        </w:tc>
        <w:tc>
          <w:tcPr>
            <w:tcW w:w="345"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容积率</w:t>
            </w:r>
          </w:p>
        </w:tc>
        <w:tc>
          <w:tcPr>
            <w:tcW w:w="376"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年期</w:t>
            </w:r>
          </w:p>
        </w:tc>
        <w:tc>
          <w:tcPr>
            <w:tcW w:w="312"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容积率</w:t>
            </w:r>
          </w:p>
        </w:tc>
        <w:tc>
          <w:tcPr>
            <w:tcW w:w="278" w:type="pct"/>
            <w:vMerge w:val="continue"/>
          </w:tcPr>
          <w:p>
            <w:pPr>
              <w:widowControl/>
              <w:spacing w:line="160" w:lineRule="atLeast"/>
              <w:jc w:val="center"/>
              <w:rPr>
                <w:rFonts w:hint="default" w:ascii="Times New Roman" w:hAnsi="Times New Roman" w:eastAsia="仿宋" w:cs="Times New Roman"/>
                <w:kern w:val="0"/>
                <w:szCs w:val="21"/>
              </w:rPr>
            </w:pPr>
          </w:p>
        </w:tc>
        <w:tc>
          <w:tcPr>
            <w:tcW w:w="419" w:type="pct"/>
            <w:vMerge w:val="continue"/>
            <w:vAlign w:val="center"/>
          </w:tcPr>
          <w:p>
            <w:pPr>
              <w:widowControl/>
              <w:spacing w:line="160" w:lineRule="atLeast"/>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39"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一级</w:t>
            </w:r>
          </w:p>
        </w:tc>
        <w:tc>
          <w:tcPr>
            <w:tcW w:w="534" w:type="pct"/>
            <w:vMerge w:val="restart"/>
            <w:vAlign w:val="center"/>
          </w:tcPr>
          <w:p>
            <w:pPr>
              <w:widowControl/>
              <w:spacing w:line="160" w:lineRule="atLeast"/>
              <w:jc w:val="center"/>
              <w:rPr>
                <w:rFonts w:hint="default" w:ascii="Times New Roman" w:hAnsi="Times New Roman" w:eastAsia="仿宋" w:cs="Times New Roman"/>
                <w:color w:val="000000"/>
                <w:kern w:val="0"/>
                <w:szCs w:val="21"/>
                <w:lang w:eastAsia="zh-CN"/>
              </w:rPr>
            </w:pPr>
            <w:r>
              <w:rPr>
                <w:rFonts w:hint="default" w:ascii="Times New Roman" w:hAnsi="Times New Roman" w:eastAsia="仿宋" w:cs="Times New Roman"/>
                <w:color w:val="000000"/>
                <w:kern w:val="0"/>
                <w:szCs w:val="21"/>
                <w:lang w:eastAsia="zh-CN"/>
              </w:rPr>
              <w:t>宅基地为宅基地使用权；其他用途为出让集体建设用地使用权</w:t>
            </w:r>
          </w:p>
        </w:tc>
        <w:tc>
          <w:tcPr>
            <w:tcW w:w="401"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40年</w:t>
            </w:r>
          </w:p>
        </w:tc>
        <w:tc>
          <w:tcPr>
            <w:tcW w:w="328" w:type="pc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4</w:t>
            </w:r>
          </w:p>
        </w:tc>
        <w:tc>
          <w:tcPr>
            <w:tcW w:w="409" w:type="pct"/>
            <w:vAlign w:val="center"/>
          </w:tcPr>
          <w:p>
            <w:pPr>
              <w:widowControl/>
              <w:spacing w:line="160" w:lineRule="atLeast"/>
              <w:jc w:val="center"/>
              <w:rPr>
                <w:rFonts w:hint="default" w:ascii="Times New Roman" w:hAnsi="Times New Roman" w:eastAsia="仿宋" w:cs="Times New Roman"/>
                <w:kern w:val="0"/>
                <w:szCs w:val="21"/>
                <w:lang w:eastAsia="zh-CN"/>
              </w:rPr>
            </w:pPr>
            <w:r>
              <w:rPr>
                <w:rFonts w:hint="default" w:ascii="Times New Roman" w:hAnsi="Times New Roman" w:eastAsia="仿宋" w:cs="Times New Roman"/>
                <w:kern w:val="0"/>
                <w:szCs w:val="21"/>
                <w:lang w:eastAsia="zh-CN"/>
              </w:rPr>
              <w:t>无年期限制</w:t>
            </w:r>
          </w:p>
        </w:tc>
        <w:tc>
          <w:tcPr>
            <w:tcW w:w="320" w:type="pc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4</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12" w:type="pct"/>
            <w:vAlign w:val="center"/>
          </w:tcPr>
          <w:p>
            <w:pPr>
              <w:widowControl/>
              <w:spacing w:line="160" w:lineRule="atLeast"/>
              <w:jc w:val="center"/>
              <w:rPr>
                <w:rFonts w:hint="eastAsia" w:ascii="Times New Roman" w:hAnsi="Times New Roman" w:eastAsia="仿宋" w:cs="Times New Roman"/>
                <w:kern w:val="0"/>
                <w:szCs w:val="21"/>
                <w:lang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2</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45" w:type="pc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4</w:t>
            </w:r>
          </w:p>
        </w:tc>
        <w:tc>
          <w:tcPr>
            <w:tcW w:w="376"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12"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w:t>
            </w:r>
          </w:p>
        </w:tc>
        <w:tc>
          <w:tcPr>
            <w:tcW w:w="278" w:type="pct"/>
            <w:vMerge w:val="restar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三通一平</w:t>
            </w:r>
          </w:p>
        </w:tc>
        <w:tc>
          <w:tcPr>
            <w:tcW w:w="419" w:type="pct"/>
            <w:vMerge w:val="restar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202</w:t>
            </w:r>
            <w:r>
              <w:rPr>
                <w:rFonts w:hint="default" w:ascii="Times New Roman" w:hAnsi="Times New Roman" w:eastAsia="仿宋" w:cs="Times New Roman"/>
                <w:kern w:val="0"/>
                <w:szCs w:val="21"/>
                <w:lang w:val="en-US" w:eastAsia="zh-CN"/>
              </w:rPr>
              <w:t>1</w:t>
            </w:r>
            <w:r>
              <w:rPr>
                <w:rFonts w:hint="default" w:ascii="Times New Roman" w:hAnsi="Times New Roman" w:eastAsia="仿宋" w:cs="Times New Roman"/>
                <w:kern w:val="0"/>
                <w:szCs w:val="21"/>
              </w:rPr>
              <w:t>.</w:t>
            </w:r>
            <w:r>
              <w:rPr>
                <w:rFonts w:hint="eastAsia" w:ascii="Times New Roman" w:hAnsi="Times New Roman" w:eastAsia="仿宋" w:cs="Times New Roman"/>
                <w:kern w:val="0"/>
                <w:szCs w:val="21"/>
                <w:lang w:val="en-US" w:eastAsia="zh-CN"/>
              </w:rPr>
              <w:t>12</w:t>
            </w:r>
            <w:r>
              <w:rPr>
                <w:rFonts w:hint="default" w:ascii="Times New Roman" w:hAnsi="Times New Roman" w:eastAsia="仿宋" w:cs="Times New Roman"/>
                <w:kern w:val="0"/>
                <w:szCs w:val="21"/>
              </w:rPr>
              <w:t>.3</w:t>
            </w:r>
            <w:r>
              <w:rPr>
                <w:rFonts w:hint="eastAsia" w:ascii="Times New Roman" w:hAnsi="Times New Roman" w:eastAsia="仿宋" w:cs="Times New Roman"/>
                <w:kern w:val="0"/>
                <w:szCs w:val="21"/>
                <w:lang w:val="en-US" w:eastAsia="zh-CN"/>
              </w:rPr>
              <w:t>1</w:t>
            </w:r>
          </w:p>
          <w:p>
            <w:pPr>
              <w:widowControl/>
              <w:spacing w:line="160" w:lineRule="atLeast"/>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39"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二级</w:t>
            </w:r>
          </w:p>
        </w:tc>
        <w:tc>
          <w:tcPr>
            <w:tcW w:w="534" w:type="pct"/>
            <w:vMerge w:val="continue"/>
            <w:vAlign w:val="center"/>
          </w:tcPr>
          <w:p>
            <w:pPr>
              <w:spacing w:line="160" w:lineRule="atLeast"/>
              <w:jc w:val="center"/>
              <w:rPr>
                <w:rFonts w:hint="default" w:ascii="Times New Roman" w:hAnsi="Times New Roman" w:eastAsia="仿宋" w:cs="Times New Roman"/>
                <w:color w:val="000000"/>
                <w:kern w:val="0"/>
                <w:szCs w:val="21"/>
              </w:rPr>
            </w:pPr>
          </w:p>
        </w:tc>
        <w:tc>
          <w:tcPr>
            <w:tcW w:w="401"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40年</w:t>
            </w:r>
          </w:p>
        </w:tc>
        <w:tc>
          <w:tcPr>
            <w:tcW w:w="328" w:type="pc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3</w:t>
            </w:r>
          </w:p>
        </w:tc>
        <w:tc>
          <w:tcPr>
            <w:tcW w:w="409" w:type="pct"/>
            <w:vAlign w:val="center"/>
          </w:tcPr>
          <w:p>
            <w:pPr>
              <w:spacing w:line="160" w:lineRule="atLeast"/>
              <w:jc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eastAsia="zh-CN"/>
              </w:rPr>
              <w:t>无年期限制</w:t>
            </w:r>
          </w:p>
        </w:tc>
        <w:tc>
          <w:tcPr>
            <w:tcW w:w="320" w:type="pc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3</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12" w:type="pct"/>
            <w:vAlign w:val="center"/>
          </w:tcPr>
          <w:p>
            <w:pPr>
              <w:widowControl/>
              <w:spacing w:line="160" w:lineRule="atLeast"/>
              <w:jc w:val="center"/>
              <w:rPr>
                <w:rFonts w:hint="eastAsia" w:ascii="Times New Roman" w:hAnsi="Times New Roman" w:eastAsia="仿宋" w:cs="Times New Roman"/>
                <w:kern w:val="0"/>
                <w:szCs w:val="21"/>
                <w:lang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1</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45" w:type="pc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3</w:t>
            </w:r>
          </w:p>
        </w:tc>
        <w:tc>
          <w:tcPr>
            <w:tcW w:w="376"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12"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w:t>
            </w:r>
          </w:p>
        </w:tc>
        <w:tc>
          <w:tcPr>
            <w:tcW w:w="278" w:type="pct"/>
            <w:vMerge w:val="continue"/>
            <w:vAlign w:val="center"/>
          </w:tcPr>
          <w:p>
            <w:pPr>
              <w:spacing w:line="160" w:lineRule="atLeast"/>
              <w:jc w:val="center"/>
              <w:rPr>
                <w:rFonts w:hint="default" w:ascii="Times New Roman" w:hAnsi="Times New Roman" w:eastAsia="仿宋" w:cs="Times New Roman"/>
                <w:kern w:val="0"/>
                <w:szCs w:val="21"/>
              </w:rPr>
            </w:pPr>
          </w:p>
        </w:tc>
        <w:tc>
          <w:tcPr>
            <w:tcW w:w="419" w:type="pct"/>
            <w:vMerge w:val="continue"/>
            <w:vAlign w:val="center"/>
          </w:tcPr>
          <w:p>
            <w:pPr>
              <w:widowControl/>
              <w:spacing w:line="160" w:lineRule="atLeast"/>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39"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三级</w:t>
            </w:r>
          </w:p>
        </w:tc>
        <w:tc>
          <w:tcPr>
            <w:tcW w:w="534" w:type="pct"/>
            <w:vMerge w:val="continue"/>
            <w:vAlign w:val="center"/>
          </w:tcPr>
          <w:p>
            <w:pPr>
              <w:widowControl/>
              <w:spacing w:line="160" w:lineRule="atLeast"/>
              <w:jc w:val="center"/>
              <w:rPr>
                <w:rFonts w:hint="default" w:ascii="Times New Roman" w:hAnsi="Times New Roman" w:eastAsia="仿宋" w:cs="Times New Roman"/>
                <w:color w:val="000000"/>
                <w:kern w:val="0"/>
                <w:szCs w:val="21"/>
              </w:rPr>
            </w:pPr>
          </w:p>
        </w:tc>
        <w:tc>
          <w:tcPr>
            <w:tcW w:w="401"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40年</w:t>
            </w:r>
          </w:p>
        </w:tc>
        <w:tc>
          <w:tcPr>
            <w:tcW w:w="328" w:type="pct"/>
            <w:vAlign w:val="center"/>
          </w:tcPr>
          <w:p>
            <w:pPr>
              <w:widowControl/>
              <w:spacing w:line="160" w:lineRule="atLeast"/>
              <w:jc w:val="center"/>
              <w:rPr>
                <w:rFonts w:hint="default" w:ascii="Times New Roman" w:hAnsi="Times New Roman" w:eastAsia="仿宋" w:cs="Times New Roman"/>
                <w:kern w:val="0"/>
                <w:szCs w:val="21"/>
                <w:lang w:eastAsia="zh-CN"/>
              </w:rPr>
            </w:pPr>
            <w:r>
              <w:rPr>
                <w:rFonts w:hint="default" w:ascii="Times New Roman" w:hAnsi="Times New Roman" w:eastAsia="仿宋" w:cs="Times New Roman"/>
                <w:kern w:val="0"/>
                <w:szCs w:val="21"/>
              </w:rPr>
              <w:t>1.</w:t>
            </w:r>
            <w:r>
              <w:rPr>
                <w:rFonts w:hint="default" w:ascii="Times New Roman" w:hAnsi="Times New Roman" w:eastAsia="仿宋" w:cs="Times New Roman"/>
                <w:kern w:val="0"/>
                <w:szCs w:val="21"/>
                <w:lang w:val="en-US" w:eastAsia="zh-CN"/>
              </w:rPr>
              <w:t>2</w:t>
            </w:r>
          </w:p>
        </w:tc>
        <w:tc>
          <w:tcPr>
            <w:tcW w:w="409" w:type="pct"/>
            <w:vAlign w:val="center"/>
          </w:tcPr>
          <w:p>
            <w:pPr>
              <w:spacing w:line="160" w:lineRule="atLeast"/>
              <w:jc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eastAsia="zh-CN"/>
              </w:rPr>
              <w:t>无年期限制</w:t>
            </w:r>
          </w:p>
        </w:tc>
        <w:tc>
          <w:tcPr>
            <w:tcW w:w="320" w:type="pct"/>
            <w:vAlign w:val="center"/>
          </w:tcPr>
          <w:p>
            <w:pPr>
              <w:widowControl/>
              <w:spacing w:line="160" w:lineRule="atLeast"/>
              <w:jc w:val="center"/>
              <w:rPr>
                <w:rFonts w:hint="default" w:ascii="Times New Roman" w:hAnsi="Times New Roman" w:eastAsia="仿宋" w:cs="Times New Roman"/>
                <w:kern w:val="0"/>
                <w:szCs w:val="21"/>
                <w:lang w:eastAsia="zh-CN"/>
              </w:rPr>
            </w:pPr>
            <w:r>
              <w:rPr>
                <w:rFonts w:hint="default" w:ascii="Times New Roman" w:hAnsi="Times New Roman" w:eastAsia="仿宋" w:cs="Times New Roman"/>
                <w:kern w:val="0"/>
                <w:szCs w:val="21"/>
              </w:rPr>
              <w:t>1.</w:t>
            </w:r>
            <w:r>
              <w:rPr>
                <w:rFonts w:hint="default" w:ascii="Times New Roman" w:hAnsi="Times New Roman" w:eastAsia="仿宋" w:cs="Times New Roman"/>
                <w:kern w:val="0"/>
                <w:szCs w:val="21"/>
                <w:lang w:val="en-US" w:eastAsia="zh-CN"/>
              </w:rPr>
              <w:t>2</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12"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w:t>
            </w:r>
          </w:p>
        </w:tc>
        <w:tc>
          <w:tcPr>
            <w:tcW w:w="360"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45" w:type="pct"/>
            <w:vAlign w:val="center"/>
          </w:tcPr>
          <w:p>
            <w:pPr>
              <w:widowControl/>
              <w:spacing w:line="160" w:lineRule="atLeast"/>
              <w:jc w:val="center"/>
              <w:rPr>
                <w:rFonts w:hint="eastAsia" w:ascii="Times New Roman" w:hAnsi="Times New Roman" w:eastAsia="仿宋" w:cs="Times New Roman"/>
                <w:kern w:val="0"/>
                <w:szCs w:val="21"/>
                <w:lang w:val="en-US" w:eastAsia="zh-CN"/>
              </w:rPr>
            </w:pPr>
            <w:r>
              <w:rPr>
                <w:rFonts w:hint="default" w:ascii="Times New Roman" w:hAnsi="Times New Roman" w:eastAsia="仿宋" w:cs="Times New Roman"/>
                <w:kern w:val="0"/>
                <w:szCs w:val="21"/>
              </w:rPr>
              <w:t>1.</w:t>
            </w:r>
            <w:r>
              <w:rPr>
                <w:rFonts w:hint="eastAsia" w:ascii="Times New Roman" w:hAnsi="Times New Roman" w:eastAsia="仿宋" w:cs="Times New Roman"/>
                <w:kern w:val="0"/>
                <w:szCs w:val="21"/>
                <w:lang w:val="en-US" w:eastAsia="zh-CN"/>
              </w:rPr>
              <w:t>2</w:t>
            </w:r>
          </w:p>
        </w:tc>
        <w:tc>
          <w:tcPr>
            <w:tcW w:w="376"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50年</w:t>
            </w:r>
          </w:p>
        </w:tc>
        <w:tc>
          <w:tcPr>
            <w:tcW w:w="312" w:type="pct"/>
            <w:vAlign w:val="center"/>
          </w:tcPr>
          <w:p>
            <w:pPr>
              <w:widowControl/>
              <w:spacing w:line="160" w:lineRule="atLeas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w:t>
            </w:r>
          </w:p>
        </w:tc>
        <w:tc>
          <w:tcPr>
            <w:tcW w:w="278" w:type="pct"/>
            <w:vMerge w:val="continue"/>
            <w:vAlign w:val="center"/>
          </w:tcPr>
          <w:p>
            <w:pPr>
              <w:spacing w:line="160" w:lineRule="atLeast"/>
              <w:jc w:val="center"/>
              <w:rPr>
                <w:rFonts w:hint="default" w:ascii="Times New Roman" w:hAnsi="Times New Roman" w:eastAsia="仿宋" w:cs="Times New Roman"/>
                <w:kern w:val="0"/>
                <w:szCs w:val="21"/>
              </w:rPr>
            </w:pPr>
          </w:p>
        </w:tc>
        <w:tc>
          <w:tcPr>
            <w:tcW w:w="419" w:type="pct"/>
            <w:vMerge w:val="continue"/>
            <w:vAlign w:val="center"/>
          </w:tcPr>
          <w:p>
            <w:pPr>
              <w:widowControl/>
              <w:spacing w:line="160" w:lineRule="atLeast"/>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gridSpan w:val="14"/>
            <w:vAlign w:val="center"/>
          </w:tcPr>
          <w:p>
            <w:pPr>
              <w:autoSpaceDE w:val="0"/>
              <w:autoSpaceDN w:val="0"/>
              <w:adjustRightInd w:val="0"/>
              <w:ind w:left="800" w:hanging="800" w:hangingChars="400"/>
              <w:jc w:val="left"/>
              <w:rPr>
                <w:rFonts w:hint="default" w:ascii="Times New Roman" w:hAnsi="Times New Roman" w:eastAsia="仿宋" w:cs="Times New Roman"/>
                <w:sz w:val="20"/>
              </w:rPr>
            </w:pPr>
            <w:r>
              <w:rPr>
                <w:rFonts w:hint="default" w:ascii="Times New Roman" w:hAnsi="Times New Roman" w:eastAsia="仿宋" w:cs="Times New Roman"/>
                <w:sz w:val="20"/>
              </w:rPr>
              <w:t>注；</w:t>
            </w:r>
            <w:r>
              <w:rPr>
                <w:rFonts w:hint="default" w:ascii="Times New Roman" w:hAnsi="Times New Roman" w:eastAsia="仿宋" w:cs="Times New Roman"/>
                <w:sz w:val="20"/>
                <w:lang w:val="en-US" w:eastAsia="zh-CN"/>
              </w:rPr>
              <w:t>1</w:t>
            </w:r>
            <w:r>
              <w:rPr>
                <w:rFonts w:hint="eastAsia" w:ascii="Times New Roman" w:hAnsi="Times New Roman" w:eastAsia="仿宋" w:cs="Times New Roman"/>
                <w:sz w:val="20"/>
                <w:lang w:val="en-US" w:eastAsia="zh-CN"/>
              </w:rPr>
              <w:t>.</w:t>
            </w:r>
            <w:r>
              <w:rPr>
                <w:rFonts w:hint="default" w:ascii="Times New Roman" w:hAnsi="Times New Roman" w:eastAsia="仿宋" w:cs="Times New Roman"/>
                <w:sz w:val="20"/>
              </w:rPr>
              <w:t>公共管理用地Ⅰ类包含：机关团体用地、新闻出版用地、教育用地、科研用地、医疗卫生</w:t>
            </w:r>
            <w:r>
              <w:rPr>
                <w:rFonts w:hint="default" w:ascii="Times New Roman" w:hAnsi="Times New Roman" w:eastAsia="仿宋" w:cs="Times New Roman"/>
                <w:sz w:val="20"/>
                <w:lang w:eastAsia="zh-CN"/>
              </w:rPr>
              <w:t>用</w:t>
            </w:r>
            <w:r>
              <w:rPr>
                <w:rFonts w:hint="default" w:ascii="Times New Roman" w:hAnsi="Times New Roman" w:eastAsia="仿宋" w:cs="Times New Roman"/>
                <w:sz w:val="20"/>
              </w:rPr>
              <w:t>地、社会福利用地、文化设施用地、体育用地中的室内体育用地部分。</w:t>
            </w:r>
          </w:p>
          <w:p>
            <w:pPr>
              <w:autoSpaceDE w:val="0"/>
              <w:autoSpaceDN w:val="0"/>
              <w:adjustRightInd w:val="0"/>
              <w:ind w:firstLine="400" w:firstLineChars="200"/>
              <w:jc w:val="left"/>
              <w:rPr>
                <w:rFonts w:hint="default" w:ascii="Times New Roman" w:hAnsi="Times New Roman" w:eastAsia="仿宋" w:cs="Times New Roman"/>
                <w:sz w:val="20"/>
              </w:rPr>
            </w:pPr>
            <w:r>
              <w:rPr>
                <w:rFonts w:hint="default" w:ascii="Times New Roman" w:hAnsi="Times New Roman" w:eastAsia="仿宋" w:cs="Times New Roman"/>
                <w:sz w:val="20"/>
                <w:lang w:val="en-US" w:eastAsia="zh-CN"/>
              </w:rPr>
              <w:t>2</w:t>
            </w:r>
            <w:r>
              <w:rPr>
                <w:rFonts w:hint="eastAsia" w:ascii="Times New Roman" w:hAnsi="Times New Roman" w:eastAsia="仿宋" w:cs="Times New Roman"/>
                <w:sz w:val="20"/>
                <w:lang w:val="en-US" w:eastAsia="zh-CN"/>
              </w:rPr>
              <w:t>.</w:t>
            </w:r>
            <w:r>
              <w:rPr>
                <w:rFonts w:hint="default" w:ascii="Times New Roman" w:hAnsi="Times New Roman" w:eastAsia="仿宋" w:cs="Times New Roman"/>
                <w:sz w:val="20"/>
              </w:rPr>
              <w:t>公共管理用地Ⅱ类包含：公共设施用地、公园与绿地、体育用地（除室内体育用地部分）。</w:t>
            </w:r>
          </w:p>
          <w:p>
            <w:pPr>
              <w:pStyle w:val="6"/>
              <w:ind w:firstLine="400" w:firstLineChars="200"/>
              <w:rPr>
                <w:rFonts w:hint="default" w:ascii="Times New Roman" w:hAnsi="Times New Roman" w:eastAsia="仿宋" w:cs="Times New Roman"/>
                <w:kern w:val="0"/>
                <w:szCs w:val="21"/>
              </w:rPr>
            </w:pPr>
            <w:r>
              <w:rPr>
                <w:rFonts w:hint="default" w:ascii="Times New Roman" w:hAnsi="Times New Roman" w:eastAsia="仿宋" w:cs="Times New Roman"/>
                <w:sz w:val="20"/>
                <w:lang w:val="en-US" w:eastAsia="zh-CN"/>
              </w:rPr>
              <w:t>3</w:t>
            </w:r>
            <w:r>
              <w:rPr>
                <w:rFonts w:hint="eastAsia" w:ascii="Times New Roman" w:hAnsi="Times New Roman" w:eastAsia="仿宋" w:cs="Times New Roman"/>
                <w:sz w:val="20"/>
                <w:lang w:val="en-US" w:eastAsia="zh-CN"/>
              </w:rPr>
              <w:t>.</w:t>
            </w:r>
            <w:r>
              <w:rPr>
                <w:rFonts w:hint="default" w:ascii="Times New Roman" w:hAnsi="Times New Roman" w:eastAsia="仿宋" w:cs="Times New Roman"/>
                <w:sz w:val="20"/>
              </w:rPr>
              <w:t>三通一平是指红线外通路、通电、通讯，红线内场地平整。</w:t>
            </w:r>
          </w:p>
        </w:tc>
      </w:tr>
    </w:tbl>
    <w:p>
      <w:pPr>
        <w:pStyle w:val="6"/>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0" w:firstLine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级别范围</w:t>
      </w:r>
    </w:p>
    <w:p>
      <w:pPr>
        <w:adjustRightInd w:val="0"/>
        <w:snapToGrid w:val="0"/>
        <w:spacing w:line="440" w:lineRule="exact"/>
        <w:ind w:left="525"/>
        <w:jc w:val="center"/>
        <w:rPr>
          <w:rFonts w:hint="eastAsia" w:ascii="仿宋" w:hAnsi="仿宋" w:eastAsia="仿宋" w:cs="仿宋"/>
          <w:b/>
          <w:bCs/>
          <w:sz w:val="28"/>
          <w:szCs w:val="28"/>
        </w:rPr>
      </w:pPr>
      <w:r>
        <w:rPr>
          <w:rFonts w:hint="eastAsia" w:ascii="仿宋" w:hAnsi="仿宋" w:eastAsia="仿宋" w:cs="仿宋"/>
          <w:b/>
          <w:bCs/>
          <w:sz w:val="28"/>
          <w:szCs w:val="28"/>
        </w:rPr>
        <w:t>表</w:t>
      </w:r>
      <w:r>
        <w:rPr>
          <w:rFonts w:hint="eastAsia" w:ascii="仿宋" w:hAnsi="仿宋" w:eastAsia="仿宋" w:cs="仿宋"/>
          <w:b/>
          <w:bCs/>
          <w:sz w:val="28"/>
          <w:szCs w:val="28"/>
          <w:lang w:val="en-US" w:eastAsia="zh-CN"/>
        </w:rPr>
        <w:t xml:space="preserve">2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绥宁县</w:t>
      </w:r>
      <w:r>
        <w:rPr>
          <w:rFonts w:hint="eastAsia" w:ascii="仿宋" w:hAnsi="仿宋" w:eastAsia="仿宋" w:cs="仿宋"/>
          <w:b/>
          <w:bCs/>
          <w:sz w:val="28"/>
          <w:szCs w:val="28"/>
        </w:rPr>
        <w:t>集体</w:t>
      </w:r>
      <w:r>
        <w:rPr>
          <w:rFonts w:hint="eastAsia" w:ascii="仿宋" w:hAnsi="仿宋" w:eastAsia="仿宋" w:cs="仿宋"/>
          <w:b/>
          <w:bCs/>
          <w:sz w:val="28"/>
          <w:szCs w:val="28"/>
          <w:lang w:eastAsia="zh-CN"/>
        </w:rPr>
        <w:t>建设</w:t>
      </w:r>
      <w:r>
        <w:rPr>
          <w:rFonts w:hint="eastAsia" w:ascii="仿宋" w:hAnsi="仿宋" w:eastAsia="仿宋" w:cs="仿宋"/>
          <w:b/>
          <w:bCs/>
          <w:sz w:val="28"/>
          <w:szCs w:val="28"/>
        </w:rPr>
        <w:t>用地基准地价级别范围</w:t>
      </w:r>
    </w:p>
    <w:tbl>
      <w:tblPr>
        <w:tblStyle w:val="9"/>
        <w:tblW w:w="52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76"/>
        <w:gridCol w:w="2162"/>
        <w:gridCol w:w="6201"/>
      </w:tblGrid>
      <w:tr>
        <w:tblPrEx>
          <w:tblCellMar>
            <w:top w:w="0" w:type="dxa"/>
            <w:left w:w="108" w:type="dxa"/>
            <w:bottom w:w="0" w:type="dxa"/>
            <w:right w:w="108" w:type="dxa"/>
          </w:tblCellMar>
        </w:tblPrEx>
        <w:trPr>
          <w:trHeight w:val="493" w:hRule="atLeast"/>
          <w:tblHeader/>
        </w:trPr>
        <w:tc>
          <w:tcPr>
            <w:tcW w:w="474"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级别</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所属乡镇</w:t>
            </w:r>
          </w:p>
        </w:tc>
        <w:tc>
          <w:tcPr>
            <w:tcW w:w="3355" w:type="pct"/>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行政村/社区名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exact"/>
          <w:tblHeader/>
        </w:trPr>
        <w:tc>
          <w:tcPr>
            <w:tcW w:w="474"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一级</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长铺镇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和平社区、万家坪社区、虾子溪社区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blHeader/>
        </w:trPr>
        <w:tc>
          <w:tcPr>
            <w:tcW w:w="474" w:type="pct"/>
            <w:vMerge w:val="continue"/>
            <w:shd w:val="clear" w:color="auto" w:fill="auto"/>
            <w:vAlign w:val="center"/>
          </w:tcPr>
          <w:p>
            <w:pP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长铺子苗族侗族乡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袁家团村、川石村、大寨村、溶岩村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exact"/>
          <w:tblHeader/>
        </w:trPr>
        <w:tc>
          <w:tcPr>
            <w:tcW w:w="474"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东山侗族乡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东山村、牛背岭村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exac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关峡苗族乡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大园村、关峡村、花园阁村、梅口村、插柳村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blHeader/>
        </w:trPr>
        <w:tc>
          <w:tcPr>
            <w:tcW w:w="474"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级别</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所属乡镇</w:t>
            </w:r>
          </w:p>
        </w:tc>
        <w:tc>
          <w:tcPr>
            <w:tcW w:w="3355"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行政村/社区名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exact"/>
          <w:tblHeader/>
        </w:trPr>
        <w:tc>
          <w:tcPr>
            <w:tcW w:w="474" w:type="pct"/>
            <w:vMerge w:val="restart"/>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红岩镇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红岩村、下匡村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exac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黄土矿镇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大湾村、唐家村、同乐居委会、团丰村、自然村</w:t>
            </w:r>
          </w:p>
        </w:tc>
      </w:tr>
      <w:tr>
        <w:tblPrEx>
          <w:tblCellMar>
            <w:top w:w="0" w:type="dxa"/>
            <w:left w:w="108" w:type="dxa"/>
            <w:bottom w:w="0" w:type="dxa"/>
            <w:right w:w="108" w:type="dxa"/>
          </w:tblCellMar>
        </w:tblPrEx>
        <w:trPr>
          <w:trHeight w:val="465" w:hRule="exac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金屋塘镇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草寨村、金屋村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exac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乐安铺苗族侗族乡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大团村、乐安村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exac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李熙桥镇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浆塘村、李熙村、石阶田村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唐家坊镇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唐家坊村、下湾村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瓦屋塘镇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官路居委会、瓦屋居委会、杨家堂村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武阳镇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六王村、三房村、万福桥村、武阳村、武阳农科所、肖家村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寨市苗族侗族乡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朝仪村、黄桑村、六鹅洞村、上堡村、铁杉林村、西河村、寨市村、寨市林场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长铺子苗族侗族乡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党坪村、冻坡村、枫木团村、枫香村、拱桥边村、李家团村、龙家村、哨溪村、佘家村、田心村、小水村、新水冲村、游家村、寨坡村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474"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东山侗族乡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白岩村、表华村、大坪村、横坡村、金子村、俊头村、三溪村、双门村、翁溪村、阳溪村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鹅公岭侗族苗族乡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白土村、地胡村、鹅公村、佳马村、佳田村、金坑村、老塘村、刘家村、上白村、太坪村、文溪村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关峡苗族乡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茶江村、岩脚田村、芷田村、珠玉村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河口苗族乡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白洋滩村、多逸寨村、河口村、彭家村、水车村、塘湾村、万林湾村、新团村、杨家寨村、竹舟江村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红岩镇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稠清村、大田村、大兴岭林场、陡街村、江坡村、焦溪村、老仙林场、廖水村、柳山村、泡桐村、上匡村、沈家村、石家村、四清村、桃坪村、下坊村、巷子村、谢家村、雪峰村、盐井村、阳楼村、竹溪村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黄土矿镇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大安源村、石溪村、小安村、源头村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金屋塘镇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大吉砖屋村、双飞村、万紫村、新华村、雄鱼村、岳溪江村、张家湾村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乐安铺苗族侗族乡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大冻村、联丰村、天堂村、瓦窑村、文江村、中心村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李熙桥镇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白玉村、百家田村、陈家村、大龙村、滚水村、李熙桥镇集体、洛口山村、梅林村、双元村、苏洲村、李熙桥镇镇林场、塘玄湾村、湾头村、增富村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麻塘苗族瑶族乡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抱龙村、大黄村、高梅村、洪溪村、江抱村、联民村、麻塘村、莫锄村、三寨村、田螺旋村、桐油冲村、溪口村、长寨村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0" w:hRule="atLeast"/>
          <w:tblHeader/>
        </w:trPr>
        <w:tc>
          <w:tcPr>
            <w:tcW w:w="474"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级别</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所属乡镇</w:t>
            </w:r>
          </w:p>
        </w:tc>
        <w:tc>
          <w:tcPr>
            <w:tcW w:w="3355"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行政村/社区名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74" w:type="pct"/>
            <w:vMerge w:val="restart"/>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w:t>
            </w: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水口乡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茶山村、茅坪村、曲溪村、水口村、田凼村、新哨村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唐家坊镇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白沙村、宝善村、曾家湾村、湖塘村、赖梅村、联兴村、罗连村、梅溪村、上白村、小乡村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瓦屋塘镇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白家坊村、宝顶村、枫门岭村、庙湾村、庙湾林场、木兰田村、皮叶村、三星桥村、水庙仔村、新桥村、岩湾村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武阳镇</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大涧村、大溪村、老祖村、毛坪村、双龙村、双鸣村、桐木村、武阳林科所、武阳鱼场、镇园艺场、周家村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寨市苗族侗族乡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隘门村、白寨村、表田村、茶冲村、地林村、高仓村、和团村、兰家村、老团村、李家湾村、坪溪村、上翁村、十里铺村、铁坡村、翁培村、下寨村、岩塘村、长溪村、正板村、竹桥村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blHeader/>
        </w:trPr>
        <w:tc>
          <w:tcPr>
            <w:tcW w:w="474" w:type="pct"/>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1170"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长铺子苗族侗族乡</w:t>
            </w:r>
          </w:p>
        </w:tc>
        <w:tc>
          <w:tcPr>
            <w:tcW w:w="335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白岩水村、堡子岭林场、大碑村、道口村、动雷村、界溪口村、净溪村、麻地村、秋木田村、拓丘田村、印坪村、芷坪村</w:t>
            </w:r>
          </w:p>
        </w:tc>
      </w:tr>
    </w:tbl>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ascii="仿宋" w:hAnsi="仿宋" w:eastAsia="仿宋"/>
          <w:b/>
          <w:bCs/>
          <w:sz w:val="28"/>
          <w:szCs w:val="28"/>
          <w:lang w:eastAsia="zh-CN"/>
        </w:rPr>
      </w:pPr>
    </w:p>
    <w:p>
      <w:pPr>
        <w:pStyle w:val="6"/>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0" w:firstLine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级别基准地价</w:t>
      </w:r>
    </w:p>
    <w:p>
      <w:pPr>
        <w:adjustRightInd w:val="0"/>
        <w:snapToGrid w:val="0"/>
        <w:spacing w:line="440" w:lineRule="exact"/>
        <w:ind w:left="525"/>
        <w:jc w:val="center"/>
        <w:rPr>
          <w:rFonts w:hint="eastAsia" w:ascii="仿宋" w:hAnsi="仿宋" w:eastAsia="仿宋" w:cs="仿宋"/>
          <w:b/>
          <w:bCs/>
          <w:sz w:val="28"/>
          <w:szCs w:val="28"/>
        </w:rPr>
      </w:pPr>
      <w:r>
        <w:rPr>
          <w:rFonts w:hint="eastAsia" w:ascii="仿宋" w:hAnsi="仿宋" w:eastAsia="仿宋" w:cs="仿宋"/>
          <w:b/>
          <w:bCs/>
          <w:sz w:val="28"/>
          <w:szCs w:val="28"/>
        </w:rPr>
        <w:t>表</w:t>
      </w:r>
      <w:r>
        <w:rPr>
          <w:rFonts w:hint="eastAsia" w:ascii="仿宋" w:hAnsi="仿宋" w:eastAsia="仿宋" w:cs="仿宋"/>
          <w:b/>
          <w:bCs/>
          <w:sz w:val="28"/>
          <w:szCs w:val="28"/>
          <w:lang w:val="en-US" w:eastAsia="zh-CN"/>
        </w:rPr>
        <w:t>3   绥宁县</w:t>
      </w:r>
      <w:r>
        <w:rPr>
          <w:rFonts w:hint="eastAsia" w:ascii="仿宋" w:hAnsi="仿宋" w:eastAsia="仿宋" w:cs="仿宋"/>
          <w:b/>
          <w:bCs/>
          <w:sz w:val="28"/>
          <w:szCs w:val="28"/>
        </w:rPr>
        <w:t>集体建设用地各用途级别基准地价表</w:t>
      </w:r>
    </w:p>
    <w:p>
      <w:pPr>
        <w:pStyle w:val="6"/>
        <w:jc w:val="right"/>
        <w:rPr>
          <w:rFonts w:hint="default" w:eastAsia="仿宋"/>
          <w:b w:val="0"/>
          <w:bCs w:val="0"/>
          <w:sz w:val="24"/>
          <w:szCs w:val="24"/>
          <w:lang w:val="en-US" w:eastAsia="zh-CN"/>
        </w:rPr>
      </w:pPr>
      <w:r>
        <w:rPr>
          <w:rFonts w:hint="eastAsia" w:ascii="仿宋" w:hAnsi="仿宋" w:eastAsia="仿宋" w:cs="仿宋"/>
          <w:b w:val="0"/>
          <w:bCs w:val="0"/>
          <w:sz w:val="24"/>
          <w:szCs w:val="24"/>
          <w:lang w:eastAsia="zh-CN"/>
        </w:rPr>
        <w:t>单位：元</w:t>
      </w:r>
      <w:r>
        <w:rPr>
          <w:rFonts w:hint="eastAsia" w:ascii="仿宋" w:hAnsi="仿宋" w:eastAsia="仿宋" w:cs="仿宋"/>
          <w:b w:val="0"/>
          <w:bCs w:val="0"/>
          <w:sz w:val="24"/>
          <w:szCs w:val="24"/>
          <w:lang w:val="en-US" w:eastAsia="zh-CN"/>
        </w:rPr>
        <w:t>/平方米</w:t>
      </w:r>
    </w:p>
    <w:tbl>
      <w:tblPr>
        <w:tblStyle w:val="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4"/>
        <w:gridCol w:w="3431"/>
        <w:gridCol w:w="1449"/>
        <w:gridCol w:w="1191"/>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26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用地类型</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一级</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二级</w:t>
            </w:r>
          </w:p>
        </w:tc>
        <w:tc>
          <w:tcPr>
            <w:tcW w:w="8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26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商服用地</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i w:val="0"/>
                <w:iCs w:val="0"/>
                <w:color w:val="000000"/>
                <w:sz w:val="24"/>
                <w:szCs w:val="24"/>
                <w:u w:val="none"/>
              </w:rPr>
            </w:pPr>
            <w:r>
              <w:rPr>
                <w:rFonts w:hint="eastAsia" w:ascii="Times New Roman" w:hAnsi="Times New Roman" w:eastAsia="仿宋" w:cs="Times New Roman"/>
                <w:sz w:val="24"/>
                <w:szCs w:val="24"/>
                <w:highlight w:val="none"/>
                <w:lang w:val="en-US" w:eastAsia="zh-CN"/>
              </w:rPr>
              <w:t>352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i w:val="0"/>
                <w:iCs w:val="0"/>
                <w:color w:val="000000"/>
                <w:sz w:val="24"/>
                <w:szCs w:val="24"/>
                <w:u w:val="none"/>
              </w:rPr>
            </w:pPr>
            <w:r>
              <w:rPr>
                <w:rFonts w:hint="eastAsia" w:ascii="Times New Roman" w:hAnsi="Times New Roman" w:eastAsia="仿宋" w:cs="Times New Roman"/>
                <w:sz w:val="24"/>
                <w:szCs w:val="24"/>
                <w:highlight w:val="none"/>
                <w:lang w:val="en-US" w:eastAsia="zh-CN"/>
              </w:rPr>
              <w:t>254</w:t>
            </w:r>
          </w:p>
        </w:tc>
        <w:tc>
          <w:tcPr>
            <w:tcW w:w="81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i w:val="0"/>
                <w:iCs w:val="0"/>
                <w:color w:val="000000"/>
                <w:sz w:val="24"/>
                <w:szCs w:val="24"/>
                <w:u w:val="none"/>
              </w:rPr>
            </w:pPr>
            <w:r>
              <w:rPr>
                <w:rFonts w:hint="eastAsia" w:ascii="Times New Roman" w:hAnsi="Times New Roman" w:eastAsia="仿宋" w:cs="Times New Roman"/>
                <w:sz w:val="24"/>
                <w:szCs w:val="24"/>
                <w:highlight w:val="none"/>
                <w:lang w:val="en-US" w:eastAsia="zh-CN"/>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26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宅基地</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i w:val="0"/>
                <w:iCs w:val="0"/>
                <w:color w:val="000000"/>
                <w:sz w:val="24"/>
                <w:szCs w:val="24"/>
                <w:u w:val="none"/>
              </w:rPr>
            </w:pPr>
            <w:r>
              <w:rPr>
                <w:rFonts w:hint="eastAsia" w:ascii="Times New Roman" w:hAnsi="Times New Roman" w:eastAsia="仿宋" w:cs="Times New Roman"/>
                <w:sz w:val="24"/>
                <w:szCs w:val="24"/>
                <w:highlight w:val="none"/>
                <w:lang w:val="en-US" w:eastAsia="zh-CN"/>
              </w:rPr>
              <w:t>298</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i w:val="0"/>
                <w:iCs w:val="0"/>
                <w:color w:val="000000"/>
                <w:sz w:val="24"/>
                <w:szCs w:val="24"/>
                <w:u w:val="none"/>
              </w:rPr>
            </w:pPr>
            <w:r>
              <w:rPr>
                <w:rFonts w:hint="eastAsia" w:ascii="Times New Roman" w:hAnsi="Times New Roman" w:eastAsia="仿宋" w:cs="Times New Roman"/>
                <w:sz w:val="24"/>
                <w:szCs w:val="24"/>
                <w:highlight w:val="none"/>
                <w:lang w:val="en-US" w:eastAsia="zh-CN"/>
              </w:rPr>
              <w:t>230</w:t>
            </w:r>
          </w:p>
        </w:tc>
        <w:tc>
          <w:tcPr>
            <w:tcW w:w="81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i w:val="0"/>
                <w:iCs w:val="0"/>
                <w:color w:val="000000"/>
                <w:sz w:val="24"/>
                <w:szCs w:val="24"/>
                <w:u w:val="none"/>
              </w:rPr>
            </w:pPr>
            <w:r>
              <w:rPr>
                <w:rFonts w:hint="eastAsia" w:ascii="Times New Roman" w:hAnsi="Times New Roman" w:eastAsia="仿宋" w:cs="Times New Roman"/>
                <w:sz w:val="24"/>
                <w:szCs w:val="24"/>
                <w:highlight w:val="none"/>
                <w:lang w:val="en-US" w:eastAsia="zh-CN"/>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26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工矿仓储用地</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highlight w:val="none"/>
                <w:lang w:val="en-US" w:eastAsia="zh-CN"/>
              </w:rPr>
              <w:t>189</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highlight w:val="none"/>
                <w:lang w:val="en-US" w:eastAsia="zh-CN"/>
              </w:rPr>
              <w:t>148</w:t>
            </w:r>
          </w:p>
        </w:tc>
        <w:tc>
          <w:tcPr>
            <w:tcW w:w="81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highlight w:val="none"/>
                <w:lang w:val="en-US" w:eastAsia="zh-CN"/>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公共管理与公共服务用地</w:t>
            </w:r>
          </w:p>
        </w:tc>
        <w:tc>
          <w:tcPr>
            <w:tcW w:w="1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公共管理与公共服务用地Ⅰ</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szCs w:val="24"/>
                <w:lang w:val="en-US" w:eastAsia="zh-CN"/>
              </w:rPr>
              <w:t>274</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szCs w:val="24"/>
                <w:lang w:val="en-US" w:eastAsia="zh-CN"/>
              </w:rPr>
              <w:t>216</w:t>
            </w:r>
          </w:p>
        </w:tc>
        <w:tc>
          <w:tcPr>
            <w:tcW w:w="81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szCs w:val="24"/>
                <w:lang w:val="en-US" w:eastAsia="zh-CN"/>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公共管理与公共服务用地Ⅱ</w:t>
            </w:r>
          </w:p>
        </w:tc>
        <w:tc>
          <w:tcPr>
            <w:tcW w:w="82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szCs w:val="24"/>
                <w:lang w:val="en-US" w:eastAsia="zh-CN"/>
              </w:rPr>
              <w:t>190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szCs w:val="24"/>
                <w:lang w:val="en-US" w:eastAsia="zh-CN"/>
              </w:rPr>
              <w:t>155</w:t>
            </w:r>
          </w:p>
        </w:tc>
        <w:tc>
          <w:tcPr>
            <w:tcW w:w="81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0"/>
              <w:keepNext w:val="0"/>
              <w:keepLines w:val="0"/>
              <w:pageBreakBefore w:val="0"/>
              <w:widowControl w:val="0"/>
              <w:suppressLineNumbers w:val="0"/>
              <w:kinsoku/>
              <w:wordWrap/>
              <w:overflowPunct/>
              <w:topLinePunct w:val="0"/>
              <w:autoSpaceDE w:val="0"/>
              <w:autoSpaceDN w:val="0"/>
              <w:bidi w:val="0"/>
              <w:adjustRightInd/>
              <w:snapToGrid/>
              <w:spacing w:beforeAutospacing="0" w:after="0" w:afterAutospacing="0"/>
              <w:ind w:left="0" w:leftChars="0" w:right="0" w:rightChars="0"/>
              <w:jc w:val="center"/>
              <w:textAlignment w:val="auto"/>
              <w:rPr>
                <w:rFonts w:hint="eastAsia" w:ascii="仿宋" w:hAnsi="仿宋" w:eastAsia="仿宋" w:cs="仿宋"/>
                <w:i w:val="0"/>
                <w:iCs w:val="0"/>
                <w:color w:val="000000"/>
                <w:sz w:val="24"/>
                <w:szCs w:val="24"/>
                <w:u w:val="none"/>
              </w:rPr>
            </w:pPr>
            <w:r>
              <w:rPr>
                <w:rFonts w:hint="eastAsia" w:ascii="Times New Roman" w:hAnsi="Times New Roman" w:eastAsia="仿宋" w:cs="Times New Roman"/>
                <w:sz w:val="24"/>
                <w:szCs w:val="24"/>
                <w:lang w:val="en-US" w:eastAsia="zh-CN"/>
              </w:rPr>
              <w:t>137</w:t>
            </w:r>
          </w:p>
        </w:tc>
      </w:tr>
    </w:tbl>
    <w:p>
      <w:pPr>
        <w:rPr>
          <w:u w:val="none"/>
        </w:rPr>
      </w:pPr>
    </w:p>
    <w:p>
      <w:pPr>
        <w:pStyle w:val="2"/>
        <w:rPr>
          <w:u w:val="none"/>
        </w:rPr>
      </w:pPr>
    </w:p>
    <w:p>
      <w:pPr>
        <w:rPr>
          <w:u w:val="none"/>
        </w:rPr>
      </w:pPr>
    </w:p>
    <w:p>
      <w:pPr>
        <w:pStyle w:val="2"/>
        <w:rPr>
          <w:u w:val="none"/>
        </w:rPr>
      </w:pPr>
    </w:p>
    <w:p/>
    <w:bookmarkEnd w:id="3"/>
    <w:sectPr>
      <w:headerReference r:id="rId3" w:type="default"/>
      <w:footerReference r:id="rId4" w:type="default"/>
      <w:pgSz w:w="11850" w:h="16783"/>
      <w:pgMar w:top="1531" w:right="1531" w:bottom="1440" w:left="1701" w:header="851" w:footer="850"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昆仑仿宋">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61340" cy="2838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340"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t>—</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35pt;width:44.2pt;mso-position-horizontal:outside;mso-position-horizontal-relative:margin;z-index:251659264;mso-width-relative:page;mso-height-relative:page;" filled="f" stroked="f" coordsize="21600,21600" o:gfxdata="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duN0wAAAAMBAAAPAAAAAAAAAAEAIAAAACIAAABkcnMvZG93bnJldi54&#10;bWxQSwECFAAUAAAACACHTuJAXw/XrDgCAABhBAAADgAAAAAAAAABACAAAAAiAQAAZHJzL2Uyb0Rv&#10;Yy54bWxQSwUGAAAAAAYABgBZAQAAzAUAAAAA&#10;">
              <v:fill on="f" focussize="0,0"/>
              <v:stroke on="f" weight="0.5pt"/>
              <v:imagedata o:title=""/>
              <o:lock v:ext="edit" aspectratio="f"/>
              <v:textbox inset="0mm,0mm,0mm,0mm">
                <w:txbxContent>
                  <w:p>
                    <w:pPr>
                      <w:pStyle w:val="8"/>
                      <w:jc w:val="center"/>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t>—</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lang w:eastAsia="zh-CN"/>
                      </w:rPr>
                      <w:t>—</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75473"/>
    <w:multiLevelType w:val="singleLevel"/>
    <w:tmpl w:val="A767547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wYTM3OGZiODM0YmY2NzlmYzY1OTBiOTM3NjU2ODAifQ=="/>
  </w:docVars>
  <w:rsids>
    <w:rsidRoot w:val="00DB48CF"/>
    <w:rsid w:val="00741C73"/>
    <w:rsid w:val="00C5217D"/>
    <w:rsid w:val="00DB48CF"/>
    <w:rsid w:val="00E315B6"/>
    <w:rsid w:val="27C569B2"/>
    <w:rsid w:val="2F405051"/>
    <w:rsid w:val="32492569"/>
    <w:rsid w:val="415E3982"/>
    <w:rsid w:val="4B1B0F75"/>
    <w:rsid w:val="ECDF7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12"/>
    <w:qFormat/>
    <w:uiPriority w:val="0"/>
    <w:pPr>
      <w:keepNext/>
      <w:keepLines/>
      <w:spacing w:beforeLines="50" w:afterLines="50"/>
      <w:jc w:val="center"/>
      <w:outlineLvl w:val="0"/>
    </w:pPr>
    <w:rPr>
      <w:rFonts w:eastAsia="黑体"/>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6"/>
    <w:semiHidden/>
    <w:unhideWhenUsed/>
    <w:qFormat/>
    <w:uiPriority w:val="99"/>
    <w:pPr>
      <w:ind w:firstLine="420" w:firstLineChars="200"/>
    </w:pPr>
  </w:style>
  <w:style w:type="paragraph" w:styleId="3">
    <w:name w:val="Body Text Indent"/>
    <w:basedOn w:val="1"/>
    <w:next w:val="4"/>
    <w:link w:val="15"/>
    <w:semiHidden/>
    <w:unhideWhenUsed/>
    <w:qFormat/>
    <w:uiPriority w:val="99"/>
    <w:pPr>
      <w:spacing w:after="120"/>
      <w:ind w:left="420" w:leftChars="200"/>
    </w:pPr>
  </w:style>
  <w:style w:type="paragraph" w:customStyle="1" w:styleId="4">
    <w:name w:val="标准"/>
    <w:basedOn w:val="1"/>
    <w:qFormat/>
    <w:uiPriority w:val="0"/>
    <w:pPr>
      <w:autoSpaceDE w:val="0"/>
      <w:autoSpaceDN w:val="0"/>
      <w:adjustRightInd w:val="0"/>
      <w:spacing w:line="480" w:lineRule="atLeast"/>
      <w:textAlignment w:val="bottom"/>
    </w:pPr>
    <w:rPr>
      <w:rFonts w:ascii="昆仑仿宋" w:eastAsia="昆仑仿宋"/>
      <w:spacing w:val="40"/>
      <w:kern w:val="0"/>
      <w:sz w:val="28"/>
      <w:szCs w:val="20"/>
    </w:rPr>
  </w:style>
  <w:style w:type="paragraph" w:styleId="6">
    <w:name w:val="Body Text"/>
    <w:basedOn w:val="1"/>
    <w:next w:val="7"/>
    <w:link w:val="17"/>
    <w:semiHidden/>
    <w:unhideWhenUsed/>
    <w:qFormat/>
    <w:uiPriority w:val="99"/>
    <w:pPr>
      <w:spacing w:after="120"/>
    </w:pPr>
  </w:style>
  <w:style w:type="paragraph" w:styleId="7">
    <w:name w:val="header"/>
    <w:basedOn w:val="1"/>
    <w:next w:val="1"/>
    <w:link w:val="14"/>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footer"/>
    <w:basedOn w:val="1"/>
    <w:link w:val="13"/>
    <w:qFormat/>
    <w:uiPriority w:val="0"/>
    <w:pPr>
      <w:tabs>
        <w:tab w:val="center" w:pos="4153"/>
        <w:tab w:val="right" w:pos="8306"/>
      </w:tabs>
      <w:snapToGrid w:val="0"/>
      <w:jc w:val="left"/>
    </w:pPr>
    <w:rPr>
      <w:rFonts w:ascii="Times New Roman" w:hAnsi="Times New Roman"/>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5"/>
    <w:qFormat/>
    <w:uiPriority w:val="0"/>
    <w:rPr>
      <w:rFonts w:ascii="Calibri" w:hAnsi="Calibri" w:eastAsia="黑体" w:cs="Times New Roman"/>
      <w:kern w:val="44"/>
      <w:sz w:val="32"/>
      <w:szCs w:val="44"/>
    </w:rPr>
  </w:style>
  <w:style w:type="character" w:customStyle="1" w:styleId="13">
    <w:name w:val="页脚 字符"/>
    <w:basedOn w:val="11"/>
    <w:link w:val="8"/>
    <w:qFormat/>
    <w:uiPriority w:val="0"/>
    <w:rPr>
      <w:rFonts w:ascii="Times New Roman" w:hAnsi="Times New Roman" w:eastAsia="宋体" w:cs="Times New Roman"/>
      <w:sz w:val="18"/>
      <w:szCs w:val="18"/>
    </w:rPr>
  </w:style>
  <w:style w:type="character" w:customStyle="1" w:styleId="14">
    <w:name w:val="页眉 字符"/>
    <w:basedOn w:val="11"/>
    <w:link w:val="7"/>
    <w:qFormat/>
    <w:uiPriority w:val="0"/>
    <w:rPr>
      <w:rFonts w:ascii="Times New Roman" w:hAnsi="Times New Roman" w:eastAsia="宋体" w:cs="Times New Roman"/>
      <w:sz w:val="18"/>
      <w:szCs w:val="18"/>
    </w:rPr>
  </w:style>
  <w:style w:type="character" w:customStyle="1" w:styleId="15">
    <w:name w:val="正文文本缩进 字符"/>
    <w:basedOn w:val="11"/>
    <w:link w:val="3"/>
    <w:semiHidden/>
    <w:qFormat/>
    <w:uiPriority w:val="99"/>
    <w:rPr>
      <w:rFonts w:ascii="Calibri" w:hAnsi="Calibri" w:eastAsia="宋体" w:cs="Times New Roman"/>
      <w:szCs w:val="24"/>
    </w:rPr>
  </w:style>
  <w:style w:type="character" w:customStyle="1" w:styleId="16">
    <w:name w:val="正文文本首行缩进 2 字符"/>
    <w:basedOn w:val="15"/>
    <w:link w:val="2"/>
    <w:semiHidden/>
    <w:qFormat/>
    <w:uiPriority w:val="99"/>
    <w:rPr>
      <w:rFonts w:ascii="Calibri" w:hAnsi="Calibri" w:eastAsia="宋体" w:cs="Times New Roman"/>
      <w:szCs w:val="24"/>
    </w:rPr>
  </w:style>
  <w:style w:type="character" w:customStyle="1" w:styleId="17">
    <w:name w:val="正文文本 字符"/>
    <w:basedOn w:val="11"/>
    <w:link w:val="6"/>
    <w:semiHidden/>
    <w:qFormat/>
    <w:uiPriority w:val="99"/>
    <w:rPr>
      <w:rFonts w:ascii="Calibri" w:hAnsi="Calibri" w:eastAsia="宋体" w:cs="Times New Roman"/>
      <w:szCs w:val="24"/>
    </w:rPr>
  </w:style>
  <w:style w:type="table" w:customStyle="1" w:styleId="18">
    <w:name w:val="网格型11"/>
    <w:basedOn w:val="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4"/>
    <w:semiHidden/>
    <w:unhideWhenUsed/>
    <w:qFormat/>
    <w:uiPriority w:val="2"/>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20">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1813</Words>
  <Characters>1900</Characters>
  <Lines>17</Lines>
  <Paragraphs>4</Paragraphs>
  <TotalTime>984</TotalTime>
  <ScaleCrop>false</ScaleCrop>
  <LinksUpToDate>false</LinksUpToDate>
  <CharactersWithSpaces>1980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2022-05-20T09:43:00Z</dcterms:created>
  <dc:creator>Administrator</dc:creator>
  <cp:lastModifiedBy>詠逺</cp:lastModifiedBy>
  <cp:lastPrinted>2023-03-21T09:36:00Z</cp:lastPrinted>
  <dcterms:modified xsi:type="dcterms:W3CDTF">2023-11-06T01:30:26Z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D6BFA7D41F86402ABC2CF7561C52D516</vt:lpwstr>
  </property>
</Properties>
</file>