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center"/>
        <w:textAlignment w:val="auto"/>
        <w:rPr>
          <w:rFonts w:eastAsia="方正小标宋_GBK"/>
          <w:sz w:val="44"/>
          <w:szCs w:val="44"/>
        </w:rPr>
      </w:pPr>
      <w:r>
        <w:rPr>
          <w:rFonts w:eastAsia="方正小标宋_GBK"/>
          <w:sz w:val="44"/>
          <w:szCs w:val="44"/>
        </w:rPr>
        <w:t>20</w:t>
      </w:r>
      <w:r>
        <w:rPr>
          <w:rFonts w:hint="eastAsia" w:eastAsia="方正小标宋_GBK"/>
          <w:sz w:val="44"/>
          <w:szCs w:val="44"/>
          <w:lang w:val="en-US" w:eastAsia="zh-CN"/>
        </w:rPr>
        <w:t>21</w:t>
      </w:r>
      <w:bookmarkStart w:id="0" w:name="_GoBack"/>
      <w:bookmarkEnd w:id="0"/>
      <w:r>
        <w:rPr>
          <w:rFonts w:eastAsia="方正小标宋_GBK"/>
          <w:sz w:val="44"/>
          <w:szCs w:val="44"/>
        </w:rPr>
        <w:t>年</w:t>
      </w:r>
      <w:r>
        <w:rPr>
          <w:rFonts w:hint="eastAsia" w:eastAsia="方正小标宋_GBK"/>
          <w:sz w:val="44"/>
          <w:szCs w:val="44"/>
          <w:lang w:eastAsia="zh-CN"/>
        </w:rPr>
        <w:t>决算草案有关</w:t>
      </w:r>
      <w:r>
        <w:rPr>
          <w:rFonts w:eastAsia="方正小标宋_GBK"/>
          <w:sz w:val="44"/>
          <w:szCs w:val="44"/>
        </w:rPr>
        <w:t>事项说明</w:t>
      </w:r>
    </w:p>
    <w:p>
      <w:pPr>
        <w:keepNext w:val="0"/>
        <w:keepLines w:val="0"/>
        <w:pageBreakBefore w:val="0"/>
        <w:kinsoku/>
        <w:wordWrap/>
        <w:overflowPunct/>
        <w:topLinePunct w:val="0"/>
        <w:autoSpaceDE/>
        <w:autoSpaceDN/>
        <w:bidi w:val="0"/>
        <w:adjustRightInd/>
        <w:snapToGrid/>
        <w:spacing w:line="240" w:lineRule="auto"/>
        <w:textAlignment w:val="auto"/>
        <w:rPr>
          <w:sz w:val="32"/>
          <w:szCs w:val="32"/>
        </w:rPr>
      </w:pP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黑体" w:eastAsia="黑体"/>
          <w:color w:val="000000"/>
          <w:sz w:val="32"/>
          <w:szCs w:val="32"/>
        </w:rPr>
      </w:pPr>
      <w:r>
        <w:rPr>
          <w:rFonts w:eastAsia="黑体"/>
          <w:sz w:val="32"/>
          <w:szCs w:val="32"/>
        </w:rPr>
        <w:t>一、</w:t>
      </w:r>
      <w:r>
        <w:rPr>
          <w:rFonts w:hint="eastAsia" w:eastAsia="黑体"/>
          <w:sz w:val="32"/>
          <w:szCs w:val="32"/>
          <w:lang w:val="en-US" w:eastAsia="zh-CN"/>
        </w:rPr>
        <w:t>2021年“三公”经费支出情况</w:t>
      </w:r>
    </w:p>
    <w:p>
      <w:pPr>
        <w:keepNext w:val="0"/>
        <w:keepLines w:val="0"/>
        <w:pageBreakBefore w:val="0"/>
        <w:shd w:val="clear" w:color="auto" w:fill="FFFFFF"/>
        <w:kinsoku/>
        <w:wordWrap/>
        <w:overflowPunct/>
        <w:topLinePunct w:val="0"/>
        <w:autoSpaceDE/>
        <w:autoSpaceDN/>
        <w:bidi w:val="0"/>
        <w:adjustRightInd/>
        <w:snapToGrid/>
        <w:spacing w:line="240" w:lineRule="auto"/>
        <w:ind w:firstLine="643"/>
        <w:textAlignment w:val="auto"/>
        <w:rPr>
          <w:rFonts w:hint="eastAsia" w:ascii="仿宋" w:hAnsi="仿宋" w:eastAsia="仿宋"/>
          <w:color w:val="333333"/>
          <w:sz w:val="32"/>
          <w:szCs w:val="32"/>
          <w:shd w:val="clear" w:color="auto" w:fill="FFFFFF"/>
        </w:rPr>
      </w:pP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年，全县一般公共预算安排的 “三公”经费支出合计17</w:t>
      </w:r>
      <w:r>
        <w:rPr>
          <w:rFonts w:hint="eastAsia" w:ascii="仿宋" w:hAnsi="仿宋" w:eastAsia="仿宋" w:cs="仿宋_GB2312"/>
          <w:sz w:val="32"/>
          <w:szCs w:val="32"/>
          <w:lang w:val="en-US" w:eastAsia="zh-CN"/>
        </w:rPr>
        <w:t>12</w:t>
      </w:r>
      <w:r>
        <w:rPr>
          <w:rFonts w:hint="eastAsia" w:ascii="仿宋" w:hAnsi="仿宋" w:eastAsia="仿宋" w:cs="仿宋_GB2312"/>
          <w:sz w:val="32"/>
          <w:szCs w:val="32"/>
        </w:rPr>
        <w:t>万元，比</w:t>
      </w:r>
      <w:r>
        <w:rPr>
          <w:rFonts w:hint="eastAsia" w:ascii="仿宋" w:hAnsi="仿宋" w:eastAsia="仿宋" w:cs="仿宋_GB2312"/>
          <w:sz w:val="32"/>
          <w:szCs w:val="32"/>
          <w:lang w:eastAsia="zh-CN"/>
        </w:rPr>
        <w:t>预算数</w:t>
      </w:r>
      <w:r>
        <w:rPr>
          <w:rFonts w:hint="eastAsia" w:ascii="仿宋" w:hAnsi="仿宋" w:eastAsia="仿宋" w:cs="仿宋_GB2312"/>
          <w:sz w:val="32"/>
          <w:szCs w:val="32"/>
          <w:lang w:val="en-US" w:eastAsia="zh-CN"/>
        </w:rPr>
        <w:t>2279万元</w:t>
      </w:r>
      <w:r>
        <w:rPr>
          <w:rFonts w:hint="eastAsia" w:ascii="仿宋" w:hAnsi="仿宋" w:eastAsia="仿宋" w:cs="仿宋_GB2312"/>
          <w:sz w:val="32"/>
          <w:szCs w:val="32"/>
          <w:lang w:eastAsia="zh-CN"/>
        </w:rPr>
        <w:t>节约</w:t>
      </w:r>
      <w:r>
        <w:rPr>
          <w:rFonts w:hint="eastAsia" w:ascii="仿宋" w:hAnsi="仿宋" w:eastAsia="仿宋" w:cs="仿宋_GB2312"/>
          <w:sz w:val="32"/>
          <w:szCs w:val="32"/>
          <w:lang w:val="en-US" w:eastAsia="zh-CN"/>
        </w:rPr>
        <w:t>567</w:t>
      </w:r>
      <w:r>
        <w:rPr>
          <w:rFonts w:hint="eastAsia" w:ascii="仿宋" w:hAnsi="仿宋" w:eastAsia="仿宋" w:cs="仿宋_GB2312"/>
          <w:sz w:val="32"/>
          <w:szCs w:val="32"/>
        </w:rPr>
        <w:t>万元。其中：因公出国（境）经费</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比预算数增加</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万元；公务用车购置</w:t>
      </w:r>
      <w:r>
        <w:rPr>
          <w:rFonts w:hint="eastAsia" w:ascii="仿宋" w:hAnsi="仿宋" w:eastAsia="仿宋" w:cs="仿宋_GB2312"/>
          <w:sz w:val="32"/>
          <w:szCs w:val="32"/>
          <w:lang w:val="en-US" w:eastAsia="zh-CN"/>
        </w:rPr>
        <w:t>232</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比预算数增加</w:t>
      </w:r>
      <w:r>
        <w:rPr>
          <w:rFonts w:hint="eastAsia" w:ascii="仿宋" w:hAnsi="仿宋" w:eastAsia="仿宋" w:cs="仿宋_GB2312"/>
          <w:sz w:val="32"/>
          <w:szCs w:val="32"/>
          <w:lang w:val="en-US" w:eastAsia="zh-CN"/>
        </w:rPr>
        <w:t>52</w:t>
      </w:r>
      <w:r>
        <w:rPr>
          <w:rFonts w:hint="eastAsia" w:ascii="仿宋" w:hAnsi="仿宋" w:eastAsia="仿宋" w:cs="仿宋_GB2312"/>
          <w:sz w:val="32"/>
          <w:szCs w:val="32"/>
        </w:rPr>
        <w:t>万元</w:t>
      </w:r>
      <w:r>
        <w:rPr>
          <w:rFonts w:hint="eastAsia" w:ascii="仿宋" w:hAnsi="仿宋" w:eastAsia="仿宋" w:cs="仿宋_GB2312"/>
          <w:sz w:val="32"/>
          <w:szCs w:val="32"/>
          <w:lang w:eastAsia="zh-CN"/>
        </w:rPr>
        <w:t>，</w:t>
      </w:r>
      <w:r>
        <w:rPr>
          <w:rFonts w:eastAsia="仿宋"/>
          <w:kern w:val="0"/>
          <w:sz w:val="32"/>
          <w:szCs w:val="32"/>
        </w:rPr>
        <w:t>主要是长铺子乡人民政府新购置消防车一辆</w:t>
      </w:r>
      <w:r>
        <w:rPr>
          <w:rFonts w:hint="eastAsia" w:ascii="仿宋" w:hAnsi="仿宋" w:eastAsia="仿宋" w:cs="仿宋_GB2312"/>
          <w:sz w:val="32"/>
          <w:szCs w:val="32"/>
        </w:rPr>
        <w:t>；公务用车运行费</w:t>
      </w:r>
      <w:r>
        <w:rPr>
          <w:rFonts w:hint="eastAsia" w:ascii="仿宋" w:hAnsi="仿宋" w:eastAsia="仿宋" w:cs="仿宋_GB2312"/>
          <w:sz w:val="32"/>
          <w:szCs w:val="32"/>
          <w:lang w:val="en-US" w:eastAsia="zh-CN"/>
        </w:rPr>
        <w:t>823</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比预算数</w:t>
      </w:r>
      <w:r>
        <w:rPr>
          <w:rFonts w:hint="eastAsia" w:ascii="仿宋" w:hAnsi="仿宋" w:eastAsia="仿宋" w:cs="仿宋_GB2312"/>
          <w:sz w:val="32"/>
          <w:szCs w:val="32"/>
        </w:rPr>
        <w:t>减少</w:t>
      </w:r>
      <w:r>
        <w:rPr>
          <w:rFonts w:hint="eastAsia" w:ascii="仿宋" w:hAnsi="仿宋" w:eastAsia="仿宋" w:cs="仿宋_GB2312"/>
          <w:sz w:val="32"/>
          <w:szCs w:val="32"/>
          <w:lang w:val="en-US" w:eastAsia="zh-CN"/>
        </w:rPr>
        <w:t>490</w:t>
      </w:r>
      <w:r>
        <w:rPr>
          <w:rFonts w:hint="eastAsia" w:ascii="仿宋" w:hAnsi="仿宋" w:eastAsia="仿宋" w:cs="仿宋_GB2312"/>
          <w:sz w:val="32"/>
          <w:szCs w:val="32"/>
        </w:rPr>
        <w:t>万元；公务接待费</w:t>
      </w:r>
      <w:r>
        <w:rPr>
          <w:rFonts w:hint="eastAsia" w:ascii="仿宋" w:hAnsi="仿宋" w:eastAsia="仿宋" w:cs="仿宋_GB2312"/>
          <w:sz w:val="32"/>
          <w:szCs w:val="32"/>
          <w:lang w:val="en-US" w:eastAsia="zh-CN"/>
        </w:rPr>
        <w:t>656</w:t>
      </w:r>
      <w:r>
        <w:rPr>
          <w:rFonts w:hint="eastAsia" w:ascii="仿宋" w:hAnsi="仿宋" w:eastAsia="仿宋" w:cs="仿宋_GB2312"/>
          <w:sz w:val="32"/>
          <w:szCs w:val="32"/>
        </w:rPr>
        <w:t>万元，</w:t>
      </w:r>
      <w:r>
        <w:rPr>
          <w:rFonts w:hint="eastAsia" w:ascii="仿宋" w:hAnsi="仿宋" w:eastAsia="仿宋" w:cs="仿宋_GB2312"/>
          <w:sz w:val="32"/>
          <w:szCs w:val="32"/>
          <w:lang w:eastAsia="zh-CN"/>
        </w:rPr>
        <w:t>比预算数</w:t>
      </w:r>
      <w:r>
        <w:rPr>
          <w:rFonts w:hint="eastAsia" w:ascii="仿宋" w:hAnsi="仿宋" w:eastAsia="仿宋" w:cs="仿宋_GB2312"/>
          <w:sz w:val="32"/>
          <w:szCs w:val="32"/>
        </w:rPr>
        <w:t>减少</w:t>
      </w:r>
      <w:r>
        <w:rPr>
          <w:rFonts w:hint="eastAsia" w:ascii="仿宋" w:hAnsi="仿宋" w:eastAsia="仿宋" w:cs="仿宋_GB2312"/>
          <w:sz w:val="32"/>
          <w:szCs w:val="32"/>
          <w:lang w:val="en-US" w:eastAsia="zh-CN"/>
        </w:rPr>
        <w:t>130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。“三公”经费减少，</w:t>
      </w:r>
      <w:r>
        <w:rPr>
          <w:rFonts w:hint="eastAsia" w:ascii="仿宋" w:hAnsi="仿宋" w:eastAsia="仿宋" w:cs="仿宋_GB2312"/>
          <w:sz w:val="32"/>
          <w:szCs w:val="32"/>
        </w:rPr>
        <w:t>主要原因是近年来我县各单位严格执行中央和省市县厉行节约各项规定,公务接待维持较低水平。</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eastAsia="黑体"/>
          <w:color w:val="000000"/>
          <w:sz w:val="32"/>
          <w:szCs w:val="32"/>
          <w:lang w:eastAsia="zh-CN"/>
        </w:rPr>
      </w:pPr>
      <w:r>
        <w:rPr>
          <w:rFonts w:hint="eastAsia" w:eastAsia="黑体"/>
          <w:color w:val="000000"/>
          <w:sz w:val="32"/>
          <w:szCs w:val="32"/>
          <w:lang w:eastAsia="zh-CN"/>
        </w:rPr>
        <w:t>二</w:t>
      </w:r>
      <w:r>
        <w:rPr>
          <w:rFonts w:eastAsia="黑体"/>
          <w:color w:val="000000"/>
          <w:sz w:val="32"/>
          <w:szCs w:val="32"/>
        </w:rPr>
        <w:t>、20</w:t>
      </w:r>
      <w:r>
        <w:rPr>
          <w:rFonts w:hint="eastAsia" w:eastAsia="黑体"/>
          <w:color w:val="000000"/>
          <w:sz w:val="32"/>
          <w:szCs w:val="32"/>
          <w:lang w:val="en-US" w:eastAsia="zh-CN"/>
        </w:rPr>
        <w:t>21</w:t>
      </w:r>
      <w:r>
        <w:rPr>
          <w:rFonts w:eastAsia="黑体"/>
          <w:color w:val="000000"/>
          <w:sz w:val="32"/>
          <w:szCs w:val="32"/>
        </w:rPr>
        <w:t>年</w:t>
      </w:r>
      <w:r>
        <w:rPr>
          <w:rFonts w:hint="eastAsia" w:eastAsia="黑体"/>
          <w:color w:val="000000"/>
          <w:sz w:val="32"/>
          <w:szCs w:val="32"/>
          <w:lang w:eastAsia="zh-CN"/>
        </w:rPr>
        <w:t>税收返还和</w:t>
      </w:r>
      <w:r>
        <w:rPr>
          <w:rFonts w:eastAsia="黑体"/>
          <w:color w:val="000000"/>
          <w:sz w:val="32"/>
          <w:szCs w:val="32"/>
        </w:rPr>
        <w:t>转移支付</w:t>
      </w:r>
      <w:r>
        <w:rPr>
          <w:rFonts w:hint="eastAsia" w:eastAsia="黑体"/>
          <w:color w:val="000000"/>
          <w:sz w:val="32"/>
          <w:szCs w:val="32"/>
          <w:lang w:eastAsia="zh-CN"/>
        </w:rPr>
        <w:t>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rPr>
        <w:t>由于我县各乡镇经济薄弱，财源匮乏，没有设立金库的经济基础，我县对乡</w:t>
      </w:r>
      <w:r>
        <w:rPr>
          <w:rFonts w:hint="eastAsia" w:ascii="仿宋" w:hAnsi="仿宋" w:eastAsia="仿宋"/>
          <w:b w:val="0"/>
          <w:bCs w:val="0"/>
          <w:color w:val="333333"/>
          <w:sz w:val="32"/>
          <w:szCs w:val="32"/>
          <w:shd w:val="clear" w:color="auto" w:fill="FFFFFF"/>
        </w:rPr>
        <w:t>镇财政管</w:t>
      </w:r>
      <w:r>
        <w:rPr>
          <w:rFonts w:hint="eastAsia" w:ascii="仿宋" w:hAnsi="仿宋" w:eastAsia="仿宋"/>
          <w:color w:val="333333"/>
          <w:sz w:val="32"/>
          <w:szCs w:val="32"/>
          <w:shd w:val="clear" w:color="auto" w:fill="FFFFFF"/>
        </w:rPr>
        <w:t>理执行的是一个部门预算管理体制，没有对其有税收返还、转移支付资金安排。</w:t>
      </w:r>
      <w:r>
        <w:rPr>
          <w:rFonts w:hint="eastAsia" w:ascii="仿宋" w:hAnsi="仿宋" w:eastAsia="仿宋"/>
          <w:color w:val="333333"/>
          <w:sz w:val="32"/>
          <w:szCs w:val="32"/>
          <w:shd w:val="clear" w:color="auto" w:fill="FFFFFF"/>
          <w:lang w:eastAsia="zh-CN"/>
        </w:rPr>
        <w:t>所以</w:t>
      </w:r>
      <w:r>
        <w:rPr>
          <w:rFonts w:hint="eastAsia" w:ascii="仿宋_GB2312" w:hAnsi="仿宋_GB2312" w:eastAsia="仿宋_GB2312" w:cs="仿宋_GB2312"/>
          <w:sz w:val="30"/>
          <w:szCs w:val="30"/>
          <w:lang w:val="en-US" w:eastAsia="zh-CN"/>
        </w:rPr>
        <w:t>2020年对下税收和转移支付为0。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ascii="仿宋" w:hAnsi="仿宋" w:eastAsia="仿宋" w:cs="仿宋_GB2312"/>
          <w:sz w:val="32"/>
          <w:szCs w:val="32"/>
        </w:rPr>
      </w:pPr>
      <w:r>
        <w:rPr>
          <w:rFonts w:hint="eastAsia" w:eastAsia="黑体"/>
          <w:sz w:val="32"/>
          <w:szCs w:val="32"/>
          <w:lang w:eastAsia="zh-CN"/>
        </w:rPr>
        <w:t>三、</w:t>
      </w:r>
      <w:r>
        <w:rPr>
          <w:rFonts w:hint="eastAsia" w:eastAsia="黑体"/>
          <w:sz w:val="32"/>
          <w:szCs w:val="32"/>
        </w:rPr>
        <w:t>举借政府债务情况</w:t>
      </w:r>
    </w:p>
    <w:p>
      <w:pPr>
        <w:keepNext w:val="0"/>
        <w:keepLines w:val="0"/>
        <w:pageBreakBefore w:val="0"/>
        <w:kinsoku/>
        <w:wordWrap/>
        <w:overflowPunct/>
        <w:topLinePunct w:val="0"/>
        <w:autoSpaceDE/>
        <w:autoSpaceDN/>
        <w:bidi w:val="0"/>
        <w:spacing w:line="240" w:lineRule="auto"/>
        <w:ind w:firstLine="643" w:firstLineChars="200"/>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（一）地方政府债务限额余额情况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2021年政府债务总限额350495万元，其中一般债务限额252995万元，专项债务限额97500万元。</w:t>
      </w:r>
      <w:r>
        <w:rPr>
          <w:rFonts w:hint="eastAsia" w:ascii="仿宋" w:hAnsi="仿宋" w:eastAsia="仿宋"/>
          <w:color w:val="333333"/>
          <w:sz w:val="32"/>
          <w:szCs w:val="32"/>
          <w:shd w:val="clear" w:color="auto" w:fill="FFFFFF"/>
        </w:rPr>
        <w:t>截止20</w:t>
      </w:r>
      <w:r>
        <w:rPr>
          <w:rFonts w:hint="eastAsia" w:ascii="仿宋" w:hAnsi="仿宋" w:eastAsia="仿宋"/>
          <w:color w:val="333333"/>
          <w:sz w:val="32"/>
          <w:szCs w:val="32"/>
          <w:shd w:val="clear" w:color="auto" w:fill="FFFFFF"/>
          <w:lang w:val="en-US" w:eastAsia="zh-CN"/>
        </w:rPr>
        <w:t>21</w:t>
      </w:r>
      <w:r>
        <w:rPr>
          <w:rFonts w:hint="eastAsia" w:ascii="仿宋" w:hAnsi="仿宋" w:eastAsia="仿宋"/>
          <w:color w:val="333333"/>
          <w:sz w:val="32"/>
          <w:szCs w:val="32"/>
          <w:shd w:val="clear" w:color="auto" w:fill="FFFFFF"/>
        </w:rPr>
        <w:t>年底</w:t>
      </w:r>
      <w:r>
        <w:rPr>
          <w:rFonts w:hint="eastAsia" w:ascii="仿宋" w:hAnsi="仿宋" w:eastAsia="仿宋"/>
          <w:color w:val="333333"/>
          <w:sz w:val="32"/>
          <w:szCs w:val="32"/>
          <w:shd w:val="clear" w:color="auto" w:fill="FFFFFF"/>
          <w:lang w:eastAsia="zh-CN"/>
        </w:rPr>
        <w:t>，地方政府债务余额</w:t>
      </w:r>
      <w:r>
        <w:rPr>
          <w:rFonts w:hint="eastAsia" w:ascii="仿宋" w:hAnsi="仿宋" w:eastAsia="仿宋"/>
          <w:color w:val="333333"/>
          <w:sz w:val="32"/>
          <w:szCs w:val="32"/>
          <w:shd w:val="clear" w:color="auto" w:fill="FFFFFF"/>
          <w:lang w:val="en-US" w:eastAsia="zh-CN"/>
        </w:rPr>
        <w:t>349701</w:t>
      </w:r>
      <w:r>
        <w:rPr>
          <w:rFonts w:hint="eastAsia" w:ascii="仿宋" w:hAnsi="仿宋" w:eastAsia="仿宋"/>
          <w:color w:val="333333"/>
          <w:sz w:val="32"/>
          <w:szCs w:val="32"/>
          <w:shd w:val="clear" w:color="auto" w:fill="FFFFFF"/>
          <w:lang w:eastAsia="zh-CN"/>
        </w:rPr>
        <w:t>万元，其中一般债务余额</w:t>
      </w:r>
      <w:r>
        <w:rPr>
          <w:rFonts w:hint="eastAsia" w:ascii="仿宋" w:hAnsi="仿宋" w:eastAsia="仿宋"/>
          <w:color w:val="333333"/>
          <w:sz w:val="32"/>
          <w:szCs w:val="32"/>
          <w:shd w:val="clear" w:color="auto" w:fill="FFFFFF"/>
          <w:lang w:val="en-US" w:eastAsia="zh-CN"/>
        </w:rPr>
        <w:t>252207万元</w:t>
      </w:r>
      <w:r>
        <w:rPr>
          <w:rFonts w:hint="eastAsia" w:ascii="仿宋" w:hAnsi="仿宋" w:eastAsia="仿宋"/>
          <w:color w:val="333333"/>
          <w:sz w:val="32"/>
          <w:szCs w:val="32"/>
          <w:shd w:val="clear" w:color="auto" w:fill="FFFFFF"/>
          <w:lang w:eastAsia="zh-CN"/>
        </w:rPr>
        <w:t>，专项债务余额</w:t>
      </w:r>
      <w:r>
        <w:rPr>
          <w:rFonts w:hint="eastAsia" w:ascii="仿宋" w:hAnsi="仿宋" w:eastAsia="仿宋"/>
          <w:color w:val="333333"/>
          <w:sz w:val="32"/>
          <w:szCs w:val="32"/>
          <w:shd w:val="clear" w:color="auto" w:fill="FFFFFF"/>
          <w:lang w:val="en-US" w:eastAsia="zh-CN"/>
        </w:rPr>
        <w:t>97494万元</w:t>
      </w:r>
      <w:r>
        <w:rPr>
          <w:rFonts w:hint="eastAsia" w:ascii="仿宋" w:hAnsi="仿宋" w:eastAsia="仿宋"/>
          <w:color w:val="333333"/>
          <w:sz w:val="32"/>
          <w:szCs w:val="32"/>
          <w:shd w:val="clear" w:color="auto" w:fill="FFFFFF"/>
          <w:lang w:eastAsia="zh-CN"/>
        </w:rPr>
        <w:t>。</w:t>
      </w:r>
    </w:p>
    <w:p>
      <w:pPr>
        <w:keepNext w:val="0"/>
        <w:keepLines w:val="0"/>
        <w:pageBreakBefore w:val="0"/>
        <w:numPr>
          <w:ilvl w:val="0"/>
          <w:numId w:val="1"/>
        </w:numPr>
        <w:kinsoku/>
        <w:wordWrap/>
        <w:overflowPunct/>
        <w:topLinePunct w:val="0"/>
        <w:autoSpaceDE/>
        <w:autoSpaceDN/>
        <w:bidi w:val="0"/>
        <w:spacing w:line="240" w:lineRule="auto"/>
        <w:ind w:firstLine="643" w:firstLineChars="200"/>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地方政府债券发行情况</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 w:hAnsi="仿宋" w:eastAsia="仿宋"/>
          <w:color w:val="333333"/>
          <w:sz w:val="32"/>
          <w:szCs w:val="32"/>
          <w:shd w:val="clear" w:color="auto" w:fill="FFFFFF"/>
          <w:lang w:eastAsia="zh-CN"/>
        </w:rPr>
      </w:pPr>
      <w:r>
        <w:rPr>
          <w:rFonts w:hint="eastAsia" w:ascii="仿宋" w:hAnsi="仿宋" w:eastAsia="仿宋"/>
          <w:color w:val="333333"/>
          <w:sz w:val="32"/>
          <w:szCs w:val="32"/>
          <w:shd w:val="clear" w:color="auto" w:fill="FFFFFF"/>
          <w:lang w:val="en-US" w:eastAsia="zh-CN"/>
        </w:rPr>
        <w:t>2021年省转贷新增债务限额55200万元，其中一般债务限额15000万元，专项债务限额40200万元，据此发行一般债券15000万元，专项债券40200万元，平均期限12.53年，平均利率3.51%</w:t>
      </w:r>
      <w:r>
        <w:rPr>
          <w:rFonts w:hint="eastAsia" w:ascii="仿宋" w:hAnsi="仿宋" w:eastAsia="仿宋"/>
          <w:color w:val="333333"/>
          <w:sz w:val="32"/>
          <w:szCs w:val="32"/>
          <w:shd w:val="clear" w:color="auto" w:fill="FFFFFF"/>
        </w:rPr>
        <w:t>。</w:t>
      </w:r>
    </w:p>
    <w:p>
      <w:pPr>
        <w:keepNext w:val="0"/>
        <w:keepLines w:val="0"/>
        <w:pageBreakBefore w:val="0"/>
        <w:numPr>
          <w:ilvl w:val="0"/>
          <w:numId w:val="1"/>
        </w:numPr>
        <w:kinsoku/>
        <w:wordWrap/>
        <w:overflowPunct/>
        <w:topLinePunct w:val="0"/>
        <w:autoSpaceDE/>
        <w:autoSpaceDN/>
        <w:bidi w:val="0"/>
        <w:spacing w:line="240" w:lineRule="auto"/>
        <w:ind w:firstLine="643" w:firstLineChars="200"/>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地方政府债务还本付息情况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2021年</w:t>
      </w:r>
      <w:r>
        <w:rPr>
          <w:rFonts w:hint="eastAsia" w:ascii="仿宋" w:hAnsi="仿宋" w:eastAsia="仿宋"/>
          <w:color w:val="333333"/>
          <w:sz w:val="32"/>
          <w:szCs w:val="32"/>
          <w:shd w:val="clear" w:color="auto" w:fill="FFFFFF"/>
        </w:rPr>
        <w:t>安排</w:t>
      </w:r>
      <w:r>
        <w:rPr>
          <w:rFonts w:hint="eastAsia" w:ascii="仿宋" w:hAnsi="仿宋" w:eastAsia="仿宋"/>
          <w:color w:val="333333"/>
          <w:sz w:val="32"/>
          <w:szCs w:val="32"/>
          <w:shd w:val="clear" w:color="auto" w:fill="FFFFFF"/>
          <w:lang w:eastAsia="zh-CN"/>
        </w:rPr>
        <w:t>政府债券</w:t>
      </w:r>
      <w:r>
        <w:rPr>
          <w:rFonts w:hint="eastAsia" w:ascii="仿宋" w:hAnsi="仿宋" w:eastAsia="仿宋"/>
          <w:color w:val="333333"/>
          <w:sz w:val="32"/>
          <w:szCs w:val="32"/>
          <w:shd w:val="clear" w:color="auto" w:fill="FFFFFF"/>
        </w:rPr>
        <w:t>还本支出</w:t>
      </w:r>
      <w:r>
        <w:rPr>
          <w:rFonts w:hint="eastAsia" w:ascii="仿宋" w:hAnsi="仿宋" w:eastAsia="仿宋"/>
          <w:color w:val="333333"/>
          <w:sz w:val="32"/>
          <w:szCs w:val="32"/>
          <w:shd w:val="clear" w:color="auto" w:fill="FFFFFF"/>
          <w:lang w:val="en-US" w:eastAsia="zh-CN"/>
        </w:rPr>
        <w:t>39162</w:t>
      </w:r>
      <w:r>
        <w:rPr>
          <w:rFonts w:hint="eastAsia" w:ascii="仿宋" w:hAnsi="仿宋" w:eastAsia="仿宋"/>
          <w:color w:val="333333"/>
          <w:sz w:val="32"/>
          <w:szCs w:val="32"/>
          <w:shd w:val="clear" w:color="auto" w:fill="FFFFFF"/>
        </w:rPr>
        <w:t>万元</w:t>
      </w:r>
      <w:r>
        <w:rPr>
          <w:rFonts w:hint="eastAsia" w:ascii="仿宋" w:hAnsi="仿宋" w:eastAsia="仿宋"/>
          <w:color w:val="333333"/>
          <w:sz w:val="32"/>
          <w:szCs w:val="32"/>
          <w:shd w:val="clear" w:color="auto" w:fill="FFFFFF"/>
          <w:lang w:eastAsia="zh-CN"/>
        </w:rPr>
        <w:t>，其中一般债券本金</w:t>
      </w:r>
      <w:r>
        <w:rPr>
          <w:rFonts w:hint="eastAsia" w:ascii="仿宋" w:hAnsi="仿宋" w:eastAsia="仿宋"/>
          <w:color w:val="333333"/>
          <w:sz w:val="32"/>
          <w:szCs w:val="32"/>
          <w:shd w:val="clear" w:color="auto" w:fill="FFFFFF"/>
          <w:lang w:val="en-US" w:eastAsia="zh-CN"/>
        </w:rPr>
        <w:t>39162元，专项债券本金12438万元；安排</w:t>
      </w:r>
      <w:r>
        <w:rPr>
          <w:rFonts w:hint="eastAsia" w:ascii="仿宋" w:hAnsi="仿宋" w:eastAsia="仿宋"/>
          <w:color w:val="333333"/>
          <w:sz w:val="32"/>
          <w:szCs w:val="32"/>
          <w:shd w:val="clear" w:color="auto" w:fill="FFFFFF"/>
          <w:lang w:eastAsia="zh-CN"/>
        </w:rPr>
        <w:t>政府债券付息</w:t>
      </w:r>
      <w:r>
        <w:rPr>
          <w:rFonts w:hint="eastAsia" w:ascii="仿宋" w:hAnsi="仿宋" w:eastAsia="仿宋"/>
          <w:color w:val="333333"/>
          <w:sz w:val="32"/>
          <w:szCs w:val="32"/>
          <w:shd w:val="clear" w:color="auto" w:fill="FFFFFF"/>
        </w:rPr>
        <w:t>支出</w:t>
      </w:r>
      <w:r>
        <w:rPr>
          <w:rFonts w:hint="eastAsia" w:ascii="仿宋" w:hAnsi="仿宋" w:eastAsia="仿宋"/>
          <w:color w:val="333333"/>
          <w:sz w:val="32"/>
          <w:szCs w:val="32"/>
          <w:shd w:val="clear" w:color="auto" w:fill="FFFFFF"/>
          <w:lang w:val="en-US" w:eastAsia="zh-CN"/>
        </w:rPr>
        <w:t>9024万元</w:t>
      </w:r>
      <w:r>
        <w:rPr>
          <w:rFonts w:hint="eastAsia" w:ascii="仿宋" w:hAnsi="仿宋" w:eastAsia="仿宋"/>
          <w:color w:val="333333"/>
          <w:sz w:val="32"/>
          <w:szCs w:val="32"/>
          <w:shd w:val="clear" w:color="auto" w:fill="FFFFFF"/>
          <w:lang w:eastAsia="zh-CN"/>
        </w:rPr>
        <w:t>，其中一般债券利息</w:t>
      </w:r>
      <w:r>
        <w:rPr>
          <w:rFonts w:hint="eastAsia" w:ascii="仿宋" w:hAnsi="仿宋" w:eastAsia="仿宋"/>
          <w:color w:val="333333"/>
          <w:sz w:val="32"/>
          <w:szCs w:val="32"/>
          <w:shd w:val="clear" w:color="auto" w:fill="FFFFFF"/>
          <w:lang w:val="en-US" w:eastAsia="zh-CN"/>
        </w:rPr>
        <w:t>6531万元，</w:t>
      </w:r>
      <w:r>
        <w:rPr>
          <w:rFonts w:hint="eastAsia" w:ascii="仿宋" w:hAnsi="仿宋" w:eastAsia="仿宋"/>
          <w:color w:val="333333"/>
          <w:sz w:val="32"/>
          <w:szCs w:val="32"/>
          <w:shd w:val="clear" w:color="auto" w:fill="FFFFFF"/>
          <w:lang w:eastAsia="zh-CN"/>
        </w:rPr>
        <w:t>专项债券利息</w:t>
      </w:r>
      <w:r>
        <w:rPr>
          <w:rFonts w:hint="eastAsia" w:ascii="仿宋" w:hAnsi="仿宋" w:eastAsia="仿宋"/>
          <w:color w:val="333333"/>
          <w:sz w:val="32"/>
          <w:szCs w:val="32"/>
          <w:shd w:val="clear" w:color="auto" w:fill="FFFFFF"/>
          <w:lang w:val="en-US" w:eastAsia="zh-CN"/>
        </w:rPr>
        <w:t>2493万元。</w:t>
      </w:r>
    </w:p>
    <w:p>
      <w:pPr>
        <w:keepNext w:val="0"/>
        <w:keepLines w:val="0"/>
        <w:pageBreakBefore w:val="0"/>
        <w:numPr>
          <w:ilvl w:val="0"/>
          <w:numId w:val="1"/>
        </w:numPr>
        <w:kinsoku/>
        <w:wordWrap/>
        <w:overflowPunct/>
        <w:topLinePunct w:val="0"/>
        <w:autoSpaceDE/>
        <w:autoSpaceDN/>
        <w:bidi w:val="0"/>
        <w:spacing w:line="240" w:lineRule="auto"/>
        <w:ind w:firstLine="643" w:firstLineChars="200"/>
        <w:textAlignment w:val="auto"/>
        <w:rPr>
          <w:rFonts w:hint="eastAsia" w:ascii="宋体" w:hAnsi="宋体" w:eastAsia="宋体" w:cs="宋体"/>
          <w:b/>
          <w:bCs/>
          <w:color w:val="333333"/>
          <w:sz w:val="32"/>
          <w:szCs w:val="32"/>
          <w:shd w:val="clear" w:color="auto" w:fill="FFFFFF"/>
          <w:lang w:eastAsia="zh-CN"/>
        </w:rPr>
      </w:pPr>
      <w:r>
        <w:rPr>
          <w:rFonts w:hint="eastAsia" w:ascii="宋体" w:hAnsi="宋体" w:eastAsia="宋体" w:cs="宋体"/>
          <w:b/>
          <w:bCs/>
          <w:color w:val="333333"/>
          <w:sz w:val="32"/>
          <w:szCs w:val="32"/>
          <w:shd w:val="clear" w:color="auto" w:fill="FFFFFF"/>
          <w:lang w:eastAsia="zh-CN"/>
        </w:rPr>
        <w:t>地方政府债券</w:t>
      </w:r>
      <w:r>
        <w:rPr>
          <w:rFonts w:hint="eastAsia" w:ascii="宋体" w:hAnsi="宋体" w:cs="宋体"/>
          <w:b/>
          <w:bCs/>
          <w:color w:val="333333"/>
          <w:sz w:val="32"/>
          <w:szCs w:val="32"/>
          <w:shd w:val="clear" w:color="auto" w:fill="FFFFFF"/>
          <w:lang w:eastAsia="zh-CN"/>
        </w:rPr>
        <w:t>使用</w:t>
      </w:r>
      <w:r>
        <w:rPr>
          <w:rFonts w:hint="eastAsia" w:ascii="宋体" w:hAnsi="宋体" w:eastAsia="宋体" w:cs="宋体"/>
          <w:b/>
          <w:bCs/>
          <w:color w:val="333333"/>
          <w:sz w:val="32"/>
          <w:szCs w:val="32"/>
          <w:shd w:val="clear" w:color="auto" w:fill="FFFFFF"/>
          <w:lang w:eastAsia="zh-CN"/>
        </w:rPr>
        <w:t>情况</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 w:hAnsi="仿宋" w:eastAsia="仿宋"/>
          <w:color w:val="333333"/>
          <w:sz w:val="32"/>
          <w:szCs w:val="32"/>
          <w:shd w:val="clear" w:color="auto" w:fill="FFFFFF"/>
          <w:lang w:val="en-US" w:eastAsia="zh-CN"/>
        </w:rPr>
      </w:pPr>
      <w:r>
        <w:rPr>
          <w:rFonts w:hint="eastAsia" w:ascii="仿宋" w:hAnsi="仿宋" w:eastAsia="仿宋"/>
          <w:color w:val="333333"/>
          <w:sz w:val="32"/>
          <w:szCs w:val="32"/>
          <w:shd w:val="clear" w:color="auto" w:fill="FFFFFF"/>
          <w:lang w:val="en-US" w:eastAsia="zh-CN"/>
        </w:rPr>
        <w:t>2021年我县预算安排新增地方政府债券55200万元，其中一般债券15000万元，专项债券40200万元（新增地方政府债券使用安排情况详见决算表33）；再融资债券37600万元，用于偿还到期地方政府债券。</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_GB2312"/>
          <w:kern w:val="2"/>
          <w:sz w:val="32"/>
          <w:szCs w:val="32"/>
          <w:lang w:val="en-US" w:eastAsia="zh-CN" w:bidi="ar-SA"/>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E19F13"/>
    <w:multiLevelType w:val="singleLevel"/>
    <w:tmpl w:val="65E19F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UzZDU1ZDNjYzY3OWUxYWQ3MDM1OTM5OGVhYWI3ODcifQ=="/>
  </w:docVars>
  <w:rsids>
    <w:rsidRoot w:val="00476666"/>
    <w:rsid w:val="001045E8"/>
    <w:rsid w:val="0016748A"/>
    <w:rsid w:val="001C102C"/>
    <w:rsid w:val="002C3055"/>
    <w:rsid w:val="002E37EF"/>
    <w:rsid w:val="0042742A"/>
    <w:rsid w:val="00444DC6"/>
    <w:rsid w:val="00476666"/>
    <w:rsid w:val="00536B57"/>
    <w:rsid w:val="00594CBB"/>
    <w:rsid w:val="005F3041"/>
    <w:rsid w:val="0062776B"/>
    <w:rsid w:val="00651B61"/>
    <w:rsid w:val="006E7382"/>
    <w:rsid w:val="0077269B"/>
    <w:rsid w:val="007B08F1"/>
    <w:rsid w:val="007C3406"/>
    <w:rsid w:val="007D0B30"/>
    <w:rsid w:val="007F1DE6"/>
    <w:rsid w:val="008107E5"/>
    <w:rsid w:val="008F5B86"/>
    <w:rsid w:val="00A45594"/>
    <w:rsid w:val="00A902DA"/>
    <w:rsid w:val="00AE2569"/>
    <w:rsid w:val="00AF46F3"/>
    <w:rsid w:val="00B3072C"/>
    <w:rsid w:val="00BA79AA"/>
    <w:rsid w:val="00CB0717"/>
    <w:rsid w:val="00D810E5"/>
    <w:rsid w:val="00E35073"/>
    <w:rsid w:val="00E4225C"/>
    <w:rsid w:val="040902F7"/>
    <w:rsid w:val="05056C57"/>
    <w:rsid w:val="0D4362B2"/>
    <w:rsid w:val="13562E11"/>
    <w:rsid w:val="14F27D60"/>
    <w:rsid w:val="211120CB"/>
    <w:rsid w:val="24884EE0"/>
    <w:rsid w:val="25097302"/>
    <w:rsid w:val="25BD6467"/>
    <w:rsid w:val="26C53948"/>
    <w:rsid w:val="37B11806"/>
    <w:rsid w:val="3CBB6EC0"/>
    <w:rsid w:val="573752E0"/>
    <w:rsid w:val="5C0C6497"/>
    <w:rsid w:val="616F1F04"/>
    <w:rsid w:val="64C836F6"/>
    <w:rsid w:val="65EC5AB2"/>
    <w:rsid w:val="708E1DDC"/>
    <w:rsid w:val="73D94754"/>
    <w:rsid w:val="765D4BA3"/>
    <w:rsid w:val="78C759DF"/>
    <w:rsid w:val="7D7D5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22"/>
    <w:rPr>
      <w:b/>
      <w:bCs/>
    </w:rPr>
  </w:style>
  <w:style w:type="character" w:customStyle="1" w:styleId="10">
    <w:name w:val="页眉 Char"/>
    <w:basedOn w:val="8"/>
    <w:link w:val="4"/>
    <w:semiHidden/>
    <w:qFormat/>
    <w:uiPriority w:val="99"/>
    <w:rPr>
      <w:rFonts w:ascii="Times New Roman" w:hAnsi="Times New Roman" w:eastAsia="宋体" w:cs="Times New Roman"/>
      <w:sz w:val="18"/>
      <w:szCs w:val="18"/>
    </w:rPr>
  </w:style>
  <w:style w:type="character" w:customStyle="1" w:styleId="11">
    <w:name w:val="页脚 Char"/>
    <w:basedOn w:val="8"/>
    <w:link w:val="3"/>
    <w:semiHidden/>
    <w:qFormat/>
    <w:uiPriority w:val="99"/>
    <w:rPr>
      <w:rFonts w:ascii="Times New Roman" w:hAnsi="Times New Roman" w:eastAsia="宋体" w:cs="Times New Roman"/>
      <w:sz w:val="18"/>
      <w:szCs w:val="18"/>
    </w:rPr>
  </w:style>
  <w:style w:type="character" w:customStyle="1" w:styleId="12">
    <w:name w:val="apple-converted-space"/>
    <w:basedOn w:val="8"/>
    <w:qFormat/>
    <w:uiPriority w:val="0"/>
  </w:style>
  <w:style w:type="character" w:customStyle="1" w:styleId="13">
    <w:name w:val="副标题 Char"/>
    <w:basedOn w:val="8"/>
    <w:link w:val="5"/>
    <w:qFormat/>
    <w:uiPriority w:val="11"/>
    <w:rPr>
      <w:rFonts w:asciiTheme="majorHAnsi" w:hAnsiTheme="majorHAnsi" w:cstheme="majorBidi"/>
      <w:b/>
      <w:bCs/>
      <w:kern w:val="28"/>
      <w:sz w:val="32"/>
      <w:szCs w:val="32"/>
    </w:rPr>
  </w:style>
  <w:style w:type="paragraph" w:customStyle="1" w:styleId="14">
    <w:name w:val="Char1"/>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686</Words>
  <Characters>828</Characters>
  <Lines>16</Lines>
  <Paragraphs>4</Paragraphs>
  <TotalTime>8</TotalTime>
  <ScaleCrop>false</ScaleCrop>
  <LinksUpToDate>false</LinksUpToDate>
  <CharactersWithSpaces>829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2019-03-02T05:33:00Z</dcterms:created>
  <dc:creator>Administrator</dc:creator>
  <cp:lastModifiedBy>吴荣荣</cp:lastModifiedBy>
  <dcterms:modified xsi:type="dcterms:W3CDTF">2022-09-28T02:36:09Z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CABE5BC894B24C298F299CBD3667087F</vt:lpwstr>
  </property>
</Properties>
</file>