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eastAsia="方正小标宋_GBK"/>
          <w:sz w:val="44"/>
          <w:szCs w:val="44"/>
        </w:rPr>
      </w:pPr>
      <w:r>
        <w:rPr>
          <w:rFonts w:hint="eastAsia" w:eastAsia="方正小标宋_GBK"/>
          <w:sz w:val="44"/>
          <w:szCs w:val="44"/>
          <w:lang w:eastAsia="zh-CN"/>
        </w:rPr>
        <w:t>2023</w:t>
      </w:r>
      <w:r>
        <w:rPr>
          <w:rFonts w:eastAsia="方正小标宋_GBK"/>
          <w:sz w:val="44"/>
          <w:szCs w:val="44"/>
        </w:rPr>
        <w:t>年预算重要事项解释说明</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4"/>
          <w:szCs w:val="44"/>
          <w:lang w:eastAsia="zh-CN"/>
        </w:rPr>
      </w:pP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目录</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w:t>
      </w:r>
      <w:r>
        <w:rPr>
          <w:rFonts w:hint="eastAsia" w:ascii="宋体" w:hAnsi="宋体" w:cs="宋体"/>
          <w:sz w:val="32"/>
          <w:szCs w:val="32"/>
          <w:lang w:eastAsia="zh-CN"/>
        </w:rPr>
        <w:t>2023</w:t>
      </w:r>
      <w:r>
        <w:rPr>
          <w:rFonts w:hint="eastAsia" w:ascii="宋体" w:hAnsi="宋体" w:eastAsia="宋体" w:cs="宋体"/>
          <w:sz w:val="32"/>
          <w:szCs w:val="32"/>
        </w:rPr>
        <w:t>年一般公共预算收入预算说明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eastAsia="宋体" w:cs="宋体"/>
          <w:sz w:val="32"/>
          <w:szCs w:val="32"/>
          <w:lang w:val="en-US" w:eastAsia="zh-CN"/>
        </w:rPr>
        <w:t>二、</w:t>
      </w:r>
      <w:r>
        <w:rPr>
          <w:rFonts w:hint="eastAsia" w:ascii="宋体" w:hAnsi="宋体" w:cs="宋体"/>
          <w:color w:val="000000"/>
          <w:sz w:val="32"/>
          <w:szCs w:val="32"/>
          <w:lang w:eastAsia="zh-CN"/>
        </w:rPr>
        <w:t>2023</w:t>
      </w:r>
      <w:r>
        <w:rPr>
          <w:rFonts w:hint="eastAsia" w:ascii="宋体" w:hAnsi="宋体" w:eastAsia="宋体" w:cs="宋体"/>
          <w:color w:val="000000"/>
          <w:sz w:val="32"/>
          <w:szCs w:val="32"/>
        </w:rPr>
        <w:t>年一般公共预算支出预算说明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三、</w:t>
      </w:r>
      <w:r>
        <w:rPr>
          <w:rFonts w:hint="eastAsia" w:ascii="宋体" w:hAnsi="宋体" w:cs="宋体"/>
          <w:color w:val="000000"/>
          <w:sz w:val="32"/>
          <w:szCs w:val="32"/>
          <w:lang w:eastAsia="zh-CN"/>
        </w:rPr>
        <w:t>2023</w:t>
      </w:r>
      <w:r>
        <w:rPr>
          <w:rFonts w:hint="eastAsia" w:ascii="宋体" w:hAnsi="宋体" w:eastAsia="宋体" w:cs="宋体"/>
          <w:color w:val="000000"/>
          <w:sz w:val="32"/>
          <w:szCs w:val="32"/>
        </w:rPr>
        <w:t>年税收返还和转移支付预算说明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w:t>
      </w:r>
      <w:r>
        <w:rPr>
          <w:rFonts w:hint="eastAsia" w:ascii="宋体" w:hAnsi="宋体" w:cs="宋体"/>
          <w:color w:val="000000"/>
          <w:sz w:val="32"/>
          <w:szCs w:val="32"/>
          <w:lang w:eastAsia="zh-CN"/>
        </w:rPr>
        <w:t>2023</w:t>
      </w:r>
      <w:r>
        <w:rPr>
          <w:rFonts w:hint="eastAsia" w:ascii="宋体" w:hAnsi="宋体" w:eastAsia="宋体" w:cs="宋体"/>
          <w:color w:val="000000"/>
          <w:sz w:val="32"/>
          <w:szCs w:val="32"/>
        </w:rPr>
        <w:t>年政府性基金预算说明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五</w:t>
      </w:r>
      <w:r>
        <w:rPr>
          <w:rFonts w:hint="eastAsia" w:ascii="宋体" w:hAnsi="宋体" w:eastAsia="宋体" w:cs="宋体"/>
          <w:color w:val="000000"/>
          <w:sz w:val="32"/>
          <w:szCs w:val="32"/>
        </w:rPr>
        <w:t>、</w:t>
      </w:r>
      <w:r>
        <w:rPr>
          <w:rFonts w:hint="eastAsia" w:ascii="宋体" w:hAnsi="宋体" w:cs="宋体"/>
          <w:color w:val="000000"/>
          <w:sz w:val="32"/>
          <w:szCs w:val="32"/>
          <w:lang w:eastAsia="zh-CN"/>
        </w:rPr>
        <w:t>2023</w:t>
      </w:r>
      <w:r>
        <w:rPr>
          <w:rFonts w:hint="eastAsia" w:ascii="宋体" w:hAnsi="宋体" w:eastAsia="宋体" w:cs="宋体"/>
          <w:color w:val="000000"/>
          <w:sz w:val="32"/>
          <w:szCs w:val="32"/>
        </w:rPr>
        <w:t>年国有资本经营预算的说明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rPr>
        <w:t>六、</w:t>
      </w:r>
      <w:r>
        <w:rPr>
          <w:rFonts w:hint="eastAsia" w:ascii="宋体" w:hAnsi="宋体" w:cs="宋体"/>
          <w:color w:val="000000"/>
          <w:sz w:val="32"/>
          <w:szCs w:val="32"/>
          <w:lang w:eastAsia="zh-CN"/>
        </w:rPr>
        <w:t>2023</w:t>
      </w:r>
      <w:r>
        <w:rPr>
          <w:rFonts w:hint="eastAsia" w:ascii="宋体" w:hAnsi="宋体" w:eastAsia="宋体" w:cs="宋体"/>
          <w:color w:val="000000"/>
          <w:sz w:val="32"/>
          <w:szCs w:val="32"/>
        </w:rPr>
        <w:t>年社会保险基金预算的说明</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cs="宋体"/>
          <w:color w:val="000000"/>
          <w:sz w:val="32"/>
          <w:szCs w:val="32"/>
          <w:lang w:eastAsia="zh-CN"/>
        </w:rPr>
        <w:t>七</w:t>
      </w:r>
      <w:r>
        <w:rPr>
          <w:rFonts w:hint="eastAsia" w:ascii="宋体" w:hAnsi="宋体" w:eastAsia="宋体" w:cs="宋体"/>
          <w:color w:val="000000"/>
          <w:sz w:val="32"/>
          <w:szCs w:val="32"/>
        </w:rPr>
        <w:t>、举借政府债务情况</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sz w:val="32"/>
          <w:szCs w:val="32"/>
        </w:rPr>
      </w:pPr>
      <w:r>
        <w:rPr>
          <w:rFonts w:hint="eastAsia" w:ascii="宋体" w:hAnsi="宋体" w:cs="宋体"/>
          <w:color w:val="000000"/>
          <w:sz w:val="32"/>
          <w:szCs w:val="32"/>
          <w:lang w:eastAsia="zh-CN"/>
        </w:rPr>
        <w:t>八</w:t>
      </w:r>
      <w:r>
        <w:rPr>
          <w:rFonts w:hint="eastAsia" w:ascii="宋体" w:hAnsi="宋体" w:eastAsia="宋体" w:cs="宋体"/>
          <w:color w:val="000000"/>
          <w:sz w:val="32"/>
          <w:szCs w:val="32"/>
        </w:rPr>
        <w:t>、预算绩效管理工作开展情况</w:t>
      </w:r>
    </w:p>
    <w:p>
      <w:pPr>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sz w:val="32"/>
          <w:szCs w:val="32"/>
          <w:lang w:val="en-US" w:eastAsia="zh-CN"/>
        </w:rPr>
      </w:pPr>
      <w:r>
        <w:rPr>
          <w:rFonts w:hint="eastAsia" w:ascii="宋体" w:hAnsi="宋体" w:cs="宋体"/>
          <w:sz w:val="32"/>
          <w:szCs w:val="32"/>
          <w:lang w:val="en-US" w:eastAsia="zh-CN"/>
        </w:rPr>
        <w:t>九</w:t>
      </w:r>
      <w:r>
        <w:rPr>
          <w:rFonts w:hint="eastAsia" w:ascii="宋体" w:hAnsi="宋体" w:eastAsia="宋体" w:cs="宋体"/>
          <w:sz w:val="32"/>
          <w:szCs w:val="32"/>
          <w:lang w:val="en-US" w:eastAsia="zh-CN"/>
        </w:rPr>
        <w:t>、“三公”经费预算安排说明</w:t>
      </w:r>
    </w:p>
    <w:p>
      <w:pPr>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sz w:val="32"/>
          <w:szCs w:val="32"/>
          <w:lang w:val="en-US" w:eastAsia="zh-CN"/>
        </w:rPr>
      </w:pPr>
      <w:r>
        <w:rPr>
          <w:rFonts w:hint="eastAsia" w:ascii="宋体" w:hAnsi="宋体" w:cs="宋体"/>
          <w:sz w:val="32"/>
          <w:szCs w:val="32"/>
          <w:lang w:val="en-US" w:eastAsia="zh-CN"/>
        </w:rPr>
        <w:t>十、名词解释</w:t>
      </w: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rPr>
          <w:rFonts w:hint="default"/>
          <w:sz w:val="32"/>
          <w:szCs w:val="32"/>
          <w:lang w:val="en-US" w:eastAsia="zh-CN"/>
        </w:rPr>
      </w:pPr>
    </w:p>
    <w:p>
      <w:pPr>
        <w:keepNext w:val="0"/>
        <w:keepLines w:val="0"/>
        <w:pageBreakBefore w:val="0"/>
        <w:kinsoku/>
        <w:wordWrap/>
        <w:overflowPunct/>
        <w:topLinePunct w:val="0"/>
        <w:autoSpaceDE/>
        <w:autoSpaceDN/>
        <w:bidi w:val="0"/>
        <w:spacing w:line="360" w:lineRule="auto"/>
        <w:jc w:val="center"/>
        <w:rPr>
          <w:rFonts w:eastAsia="方正小标宋_GBK"/>
          <w:sz w:val="44"/>
          <w:szCs w:val="44"/>
        </w:rPr>
      </w:pPr>
      <w:r>
        <w:rPr>
          <w:rFonts w:hint="eastAsia" w:eastAsia="方正小标宋_GBK"/>
          <w:sz w:val="44"/>
          <w:szCs w:val="44"/>
          <w:lang w:eastAsia="zh-CN"/>
        </w:rPr>
        <w:t>2023</w:t>
      </w:r>
      <w:r>
        <w:rPr>
          <w:rFonts w:eastAsia="方正小标宋_GBK"/>
          <w:sz w:val="44"/>
          <w:szCs w:val="44"/>
        </w:rPr>
        <w:t>年预算重要事项解释说明</w:t>
      </w:r>
    </w:p>
    <w:p>
      <w:pPr>
        <w:keepNext w:val="0"/>
        <w:keepLines w:val="0"/>
        <w:pageBreakBefore w:val="0"/>
        <w:kinsoku/>
        <w:wordWrap/>
        <w:overflowPunct/>
        <w:topLinePunct w:val="0"/>
        <w:autoSpaceDE/>
        <w:autoSpaceDN/>
        <w:bidi w:val="0"/>
        <w:spacing w:line="360" w:lineRule="auto"/>
        <w:rPr>
          <w:sz w:val="32"/>
          <w:szCs w:val="32"/>
        </w:rPr>
      </w:pPr>
    </w:p>
    <w:p>
      <w:pPr>
        <w:keepNext w:val="0"/>
        <w:keepLines w:val="0"/>
        <w:pageBreakBefore w:val="0"/>
        <w:kinsoku/>
        <w:wordWrap/>
        <w:overflowPunct/>
        <w:topLinePunct w:val="0"/>
        <w:autoSpaceDE/>
        <w:autoSpaceDN/>
        <w:bidi w:val="0"/>
        <w:spacing w:line="360" w:lineRule="auto"/>
        <w:ind w:firstLine="640" w:firstLineChars="200"/>
        <w:rPr>
          <w:rFonts w:eastAsia="黑体"/>
          <w:sz w:val="32"/>
          <w:szCs w:val="32"/>
        </w:rPr>
      </w:pPr>
      <w:r>
        <w:rPr>
          <w:rFonts w:eastAsia="黑体"/>
          <w:sz w:val="32"/>
          <w:szCs w:val="32"/>
        </w:rPr>
        <w:t>一、</w:t>
      </w:r>
      <w:r>
        <w:rPr>
          <w:rFonts w:hint="eastAsia" w:eastAsia="黑体"/>
          <w:sz w:val="32"/>
          <w:szCs w:val="32"/>
          <w:lang w:eastAsia="zh-CN"/>
        </w:rPr>
        <w:t>2023</w:t>
      </w:r>
      <w:r>
        <w:rPr>
          <w:rFonts w:eastAsia="黑体"/>
          <w:sz w:val="32"/>
          <w:szCs w:val="32"/>
        </w:rPr>
        <w:t>年一般公共预算收入预算说明</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年一般公共预算地方收入按增长</w:t>
      </w:r>
      <w:r>
        <w:rPr>
          <w:rFonts w:hint="eastAsia" w:ascii="仿宋" w:hAnsi="仿宋" w:eastAsia="仿宋" w:cs="仿宋"/>
          <w:sz w:val="32"/>
          <w:szCs w:val="32"/>
          <w:lang w:val="en-US" w:eastAsia="zh-CN"/>
        </w:rPr>
        <w:t>8</w:t>
      </w:r>
      <w:r>
        <w:rPr>
          <w:rFonts w:hint="eastAsia" w:ascii="仿宋" w:hAnsi="仿宋" w:eastAsia="仿宋" w:cs="仿宋"/>
          <w:sz w:val="32"/>
          <w:szCs w:val="32"/>
        </w:rPr>
        <w:t>%左右安排。据此，一般公共预算地方收入</w:t>
      </w:r>
      <w:r>
        <w:rPr>
          <w:rFonts w:hint="eastAsia" w:ascii="仿宋" w:hAnsi="仿宋" w:eastAsia="仿宋" w:cs="仿宋"/>
          <w:sz w:val="32"/>
          <w:szCs w:val="32"/>
          <w:lang w:val="en-US" w:eastAsia="zh-CN"/>
        </w:rPr>
        <w:t>26436万</w:t>
      </w:r>
      <w:r>
        <w:rPr>
          <w:rFonts w:hint="eastAsia" w:ascii="仿宋" w:hAnsi="仿宋" w:eastAsia="仿宋" w:cs="仿宋"/>
          <w:sz w:val="32"/>
          <w:szCs w:val="32"/>
        </w:rPr>
        <w:t>元，加上</w:t>
      </w:r>
      <w:r>
        <w:rPr>
          <w:rFonts w:hint="eastAsia" w:ascii="仿宋" w:hAnsi="仿宋" w:eastAsia="仿宋" w:cs="仿宋"/>
          <w:sz w:val="32"/>
          <w:szCs w:val="32"/>
          <w:lang w:eastAsia="zh-CN"/>
        </w:rPr>
        <w:t>上级</w:t>
      </w:r>
      <w:r>
        <w:rPr>
          <w:rFonts w:hint="eastAsia" w:ascii="仿宋" w:hAnsi="仿宋" w:eastAsia="仿宋" w:cs="仿宋"/>
          <w:sz w:val="32"/>
          <w:szCs w:val="32"/>
        </w:rPr>
        <w:t>补助</w:t>
      </w:r>
      <w:r>
        <w:rPr>
          <w:rFonts w:hint="eastAsia" w:ascii="仿宋" w:hAnsi="仿宋" w:eastAsia="仿宋" w:cs="仿宋"/>
          <w:sz w:val="32"/>
          <w:szCs w:val="32"/>
          <w:lang w:val="en-US" w:eastAsia="zh-CN"/>
        </w:rPr>
        <w:t>217102万</w:t>
      </w:r>
      <w:r>
        <w:rPr>
          <w:rFonts w:hint="eastAsia" w:ascii="仿宋" w:hAnsi="仿宋" w:eastAsia="仿宋" w:cs="仿宋"/>
          <w:sz w:val="32"/>
          <w:szCs w:val="32"/>
        </w:rPr>
        <w:t>元，从</w:t>
      </w:r>
      <w:r>
        <w:rPr>
          <w:rFonts w:hint="eastAsia" w:ascii="仿宋" w:hAnsi="仿宋" w:eastAsia="仿宋" w:cs="仿宋"/>
          <w:sz w:val="32"/>
          <w:szCs w:val="32"/>
          <w:lang w:eastAsia="zh-CN"/>
        </w:rPr>
        <w:t>政府性基金</w:t>
      </w:r>
      <w:r>
        <w:rPr>
          <w:rFonts w:hint="eastAsia" w:ascii="仿宋" w:hAnsi="仿宋" w:eastAsia="仿宋" w:cs="仿宋"/>
          <w:sz w:val="32"/>
          <w:szCs w:val="32"/>
        </w:rPr>
        <w:t>预算调入</w:t>
      </w:r>
      <w:r>
        <w:rPr>
          <w:rFonts w:hint="eastAsia" w:ascii="仿宋" w:hAnsi="仿宋" w:eastAsia="仿宋" w:cs="仿宋"/>
          <w:sz w:val="32"/>
          <w:szCs w:val="32"/>
          <w:lang w:val="en-US" w:eastAsia="zh-CN"/>
        </w:rPr>
        <w:t>10993万</w:t>
      </w:r>
      <w:r>
        <w:rPr>
          <w:rFonts w:hint="eastAsia" w:ascii="仿宋" w:hAnsi="仿宋" w:eastAsia="仿宋" w:cs="仿宋"/>
          <w:sz w:val="32"/>
          <w:szCs w:val="32"/>
        </w:rPr>
        <w:t>元，从国有资本经营预算调入</w:t>
      </w:r>
      <w:r>
        <w:rPr>
          <w:rFonts w:hint="eastAsia" w:ascii="仿宋" w:hAnsi="仿宋" w:eastAsia="仿宋" w:cs="仿宋"/>
          <w:sz w:val="32"/>
          <w:szCs w:val="32"/>
          <w:lang w:val="en-US" w:eastAsia="zh-CN"/>
        </w:rPr>
        <w:t>11000万</w:t>
      </w:r>
      <w:r>
        <w:rPr>
          <w:rFonts w:hint="eastAsia" w:ascii="仿宋" w:hAnsi="仿宋" w:eastAsia="仿宋" w:cs="仿宋"/>
          <w:sz w:val="32"/>
          <w:szCs w:val="32"/>
        </w:rPr>
        <w:t>元，收入合计</w:t>
      </w:r>
      <w:r>
        <w:rPr>
          <w:rFonts w:hint="eastAsia" w:ascii="仿宋" w:hAnsi="仿宋" w:eastAsia="仿宋" w:cs="仿宋"/>
          <w:sz w:val="32"/>
          <w:szCs w:val="32"/>
          <w:lang w:val="en-US" w:eastAsia="zh-CN"/>
        </w:rPr>
        <w:t>265531万</w:t>
      </w:r>
      <w:r>
        <w:rPr>
          <w:rFonts w:hint="eastAsia" w:ascii="仿宋" w:hAnsi="仿宋" w:eastAsia="仿宋" w:cs="仿宋"/>
          <w:sz w:val="32"/>
          <w:szCs w:val="32"/>
        </w:rPr>
        <w:t>元。</w:t>
      </w:r>
    </w:p>
    <w:p>
      <w:pPr>
        <w:keepNext w:val="0"/>
        <w:keepLines w:val="0"/>
        <w:pageBreakBefore w:val="0"/>
        <w:kinsoku/>
        <w:wordWrap/>
        <w:overflowPunct/>
        <w:topLinePunct w:val="0"/>
        <w:autoSpaceDE/>
        <w:autoSpaceDN/>
        <w:bidi w:val="0"/>
        <w:spacing w:line="360" w:lineRule="auto"/>
        <w:ind w:firstLine="640" w:firstLineChars="200"/>
        <w:rPr>
          <w:rFonts w:eastAsia="黑体"/>
          <w:color w:val="000000"/>
          <w:sz w:val="32"/>
          <w:szCs w:val="32"/>
        </w:rPr>
      </w:pPr>
      <w:r>
        <w:rPr>
          <w:rFonts w:eastAsia="黑体"/>
          <w:color w:val="000000"/>
          <w:sz w:val="32"/>
          <w:szCs w:val="32"/>
        </w:rPr>
        <w:t>二、</w:t>
      </w:r>
      <w:r>
        <w:rPr>
          <w:rFonts w:hint="eastAsia" w:eastAsia="黑体"/>
          <w:color w:val="000000"/>
          <w:sz w:val="32"/>
          <w:szCs w:val="32"/>
          <w:lang w:eastAsia="zh-CN"/>
        </w:rPr>
        <w:t>2023</w:t>
      </w:r>
      <w:r>
        <w:rPr>
          <w:rFonts w:eastAsia="黑体"/>
          <w:color w:val="000000"/>
          <w:sz w:val="32"/>
          <w:szCs w:val="32"/>
        </w:rPr>
        <w:t>年一般公共预算支出预算说明</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eastAsia="zh-CN"/>
        </w:rPr>
        <w:t>一般公共预算</w:t>
      </w:r>
      <w:r>
        <w:rPr>
          <w:rFonts w:hint="eastAsia" w:ascii="仿宋" w:hAnsi="仿宋" w:eastAsia="仿宋" w:cs="仿宋"/>
          <w:sz w:val="32"/>
          <w:szCs w:val="32"/>
        </w:rPr>
        <w:t>支出安排</w:t>
      </w:r>
      <w:r>
        <w:rPr>
          <w:rFonts w:hint="eastAsia" w:ascii="仿宋" w:hAnsi="仿宋" w:eastAsia="仿宋" w:cs="仿宋"/>
          <w:sz w:val="32"/>
          <w:szCs w:val="32"/>
          <w:lang w:val="en-US" w:eastAsia="zh-CN"/>
        </w:rPr>
        <w:t>261564万</w:t>
      </w:r>
      <w:r>
        <w:rPr>
          <w:rFonts w:hint="eastAsia" w:ascii="仿宋" w:hAnsi="仿宋" w:eastAsia="仿宋" w:cs="仿宋"/>
          <w:sz w:val="32"/>
          <w:szCs w:val="32"/>
        </w:rPr>
        <w:t>元，加上上解</w:t>
      </w:r>
      <w:r>
        <w:rPr>
          <w:rFonts w:hint="eastAsia" w:ascii="仿宋" w:hAnsi="仿宋" w:eastAsia="仿宋" w:cs="仿宋"/>
          <w:sz w:val="32"/>
          <w:szCs w:val="32"/>
          <w:lang w:eastAsia="zh-CN"/>
        </w:rPr>
        <w:t>上级</w:t>
      </w:r>
      <w:r>
        <w:rPr>
          <w:rFonts w:hint="eastAsia" w:ascii="仿宋" w:hAnsi="仿宋" w:eastAsia="仿宋" w:cs="仿宋"/>
          <w:sz w:val="32"/>
          <w:szCs w:val="32"/>
          <w:lang w:val="en-US" w:eastAsia="zh-CN"/>
        </w:rPr>
        <w:t>3967万元</w:t>
      </w:r>
      <w:r>
        <w:rPr>
          <w:rFonts w:hint="eastAsia" w:ascii="仿宋" w:hAnsi="仿宋" w:eastAsia="仿宋" w:cs="仿宋"/>
          <w:sz w:val="32"/>
          <w:szCs w:val="32"/>
        </w:rPr>
        <w:t>元，支出合计</w:t>
      </w:r>
      <w:r>
        <w:rPr>
          <w:rFonts w:hint="eastAsia" w:ascii="仿宋" w:hAnsi="仿宋" w:eastAsia="仿宋" w:cs="仿宋"/>
          <w:sz w:val="32"/>
          <w:szCs w:val="32"/>
          <w:lang w:val="en-US" w:eastAsia="zh-CN"/>
        </w:rPr>
        <w:t>265531万</w:t>
      </w:r>
      <w:r>
        <w:rPr>
          <w:rFonts w:hint="eastAsia" w:ascii="仿宋" w:hAnsi="仿宋" w:eastAsia="仿宋" w:cs="仿宋"/>
          <w:sz w:val="32"/>
          <w:szCs w:val="32"/>
        </w:rPr>
        <w:t>元。</w:t>
      </w:r>
    </w:p>
    <w:p>
      <w:pPr>
        <w:keepNext w:val="0"/>
        <w:keepLines w:val="0"/>
        <w:pageBreakBefore w:val="0"/>
        <w:kinsoku/>
        <w:wordWrap/>
        <w:overflowPunct/>
        <w:topLinePunct w:val="0"/>
        <w:autoSpaceDE/>
        <w:autoSpaceDN/>
        <w:bidi w:val="0"/>
        <w:spacing w:line="360" w:lineRule="auto"/>
        <w:ind w:firstLine="640" w:firstLineChars="200"/>
        <w:rPr>
          <w:rFonts w:eastAsia="黑体"/>
          <w:color w:val="000000"/>
          <w:sz w:val="32"/>
          <w:szCs w:val="32"/>
        </w:rPr>
      </w:pPr>
      <w:r>
        <w:rPr>
          <w:rFonts w:hint="eastAsia" w:eastAsia="黑体"/>
          <w:color w:val="000000"/>
          <w:sz w:val="32"/>
          <w:szCs w:val="32"/>
          <w:lang w:eastAsia="zh-CN"/>
        </w:rPr>
        <w:t>三</w:t>
      </w:r>
      <w:r>
        <w:rPr>
          <w:rFonts w:eastAsia="黑体"/>
          <w:color w:val="000000"/>
          <w:sz w:val="32"/>
          <w:szCs w:val="32"/>
        </w:rPr>
        <w:t>、</w:t>
      </w:r>
      <w:r>
        <w:rPr>
          <w:rFonts w:hint="eastAsia" w:eastAsia="黑体"/>
          <w:color w:val="000000"/>
          <w:sz w:val="32"/>
          <w:szCs w:val="32"/>
          <w:lang w:eastAsia="zh-CN"/>
        </w:rPr>
        <w:t>2023</w:t>
      </w:r>
      <w:r>
        <w:rPr>
          <w:rFonts w:eastAsia="黑体"/>
          <w:color w:val="000000"/>
          <w:sz w:val="32"/>
          <w:szCs w:val="32"/>
        </w:rPr>
        <w:t>年税收返还和转移支付预算说明</w:t>
      </w:r>
    </w:p>
    <w:p>
      <w:pPr>
        <w:keepNext w:val="0"/>
        <w:keepLines w:val="0"/>
        <w:pageBreakBefore w:val="0"/>
        <w:kinsoku/>
        <w:wordWrap/>
        <w:overflowPunct/>
        <w:topLinePunct w:val="0"/>
        <w:autoSpaceDE/>
        <w:autoSpaceDN/>
        <w:bidi w:val="0"/>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由于我县各乡镇经济薄弱，财源匮乏，没有设立金库的经济基础，我县对乡镇财政管理执行的是一个部门预算管理体制，没有对其有税收返还、转移支付资金安排。</w:t>
      </w:r>
      <w:r>
        <w:rPr>
          <w:rFonts w:hint="eastAsia" w:ascii="仿宋_GB2312" w:hAnsi="仿宋_GB2312" w:eastAsia="仿宋_GB2312" w:cs="仿宋_GB2312"/>
          <w:sz w:val="30"/>
          <w:szCs w:val="30"/>
          <w:lang w:eastAsia="zh-CN"/>
        </w:rPr>
        <w:t>所以</w:t>
      </w:r>
      <w:r>
        <w:rPr>
          <w:rFonts w:hint="eastAsia" w:ascii="仿宋_GB2312" w:hAnsi="仿宋_GB2312" w:eastAsia="仿宋_GB2312" w:cs="仿宋_GB2312"/>
          <w:sz w:val="30"/>
          <w:szCs w:val="30"/>
          <w:lang w:val="en-US" w:eastAsia="zh-CN"/>
        </w:rPr>
        <w:t>2023年对下税收和转移支付预算为0。</w:t>
      </w:r>
    </w:p>
    <w:p>
      <w:pPr>
        <w:keepNext w:val="0"/>
        <w:keepLines w:val="0"/>
        <w:pageBreakBefore w:val="0"/>
        <w:kinsoku/>
        <w:wordWrap/>
        <w:overflowPunct/>
        <w:topLinePunct w:val="0"/>
        <w:autoSpaceDE/>
        <w:autoSpaceDN/>
        <w:bidi w:val="0"/>
        <w:spacing w:line="360" w:lineRule="auto"/>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w:t>
      </w:r>
      <w:r>
        <w:rPr>
          <w:rFonts w:hint="eastAsia" w:eastAsia="黑体"/>
          <w:color w:val="000000"/>
          <w:sz w:val="32"/>
          <w:szCs w:val="32"/>
          <w:lang w:eastAsia="zh-CN"/>
        </w:rPr>
        <w:t>2023</w:t>
      </w:r>
      <w:r>
        <w:rPr>
          <w:rFonts w:eastAsia="黑体"/>
          <w:color w:val="000000"/>
          <w:sz w:val="32"/>
          <w:szCs w:val="32"/>
        </w:rPr>
        <w:t>年政府性基金预算说明</w:t>
      </w:r>
    </w:p>
    <w:p>
      <w:pPr>
        <w:pStyle w:val="11"/>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sz w:val="32"/>
          <w:szCs w:val="32"/>
        </w:rPr>
      </w:pPr>
      <w:r>
        <w:rPr>
          <w:rFonts w:hint="eastAsia" w:eastAsia="仿宋_GB2312"/>
          <w:sz w:val="32"/>
          <w:szCs w:val="32"/>
        </w:rPr>
        <w:t>根据基金收入和实际支出情况，按基金项目以收定支编制。</w:t>
      </w:r>
      <w:r>
        <w:rPr>
          <w:rFonts w:hint="eastAsia" w:ascii="仿宋" w:hAnsi="仿宋" w:eastAsia="仿宋"/>
          <w:sz w:val="32"/>
          <w:szCs w:val="32"/>
        </w:rPr>
        <w:t>本年基金收入</w:t>
      </w:r>
      <w:r>
        <w:rPr>
          <w:rFonts w:hint="eastAsia" w:ascii="仿宋" w:hAnsi="仿宋" w:eastAsia="仿宋"/>
          <w:sz w:val="32"/>
          <w:szCs w:val="32"/>
          <w:lang w:val="en-US" w:eastAsia="zh-CN"/>
        </w:rPr>
        <w:t>28</w:t>
      </w:r>
      <w:r>
        <w:rPr>
          <w:rFonts w:hint="eastAsia" w:ascii="仿宋" w:hAnsi="仿宋" w:eastAsia="仿宋"/>
          <w:sz w:val="32"/>
          <w:szCs w:val="32"/>
        </w:rPr>
        <w:t>630万元(其中：城市基础设施配套费收入210万元，国有土地使用权出让收入含土地增减挂钩收入</w:t>
      </w:r>
      <w:r>
        <w:rPr>
          <w:rFonts w:hint="eastAsia" w:ascii="仿宋" w:hAnsi="仿宋" w:eastAsia="仿宋"/>
          <w:sz w:val="32"/>
          <w:szCs w:val="32"/>
          <w:lang w:val="en-US" w:eastAsia="zh-CN"/>
        </w:rPr>
        <w:t>28000</w:t>
      </w:r>
      <w:r>
        <w:rPr>
          <w:rFonts w:hint="eastAsia" w:ascii="仿宋" w:hAnsi="仿宋" w:eastAsia="仿宋"/>
          <w:sz w:val="32"/>
          <w:szCs w:val="32"/>
        </w:rPr>
        <w:t>万元，污水处理费收入420万元)。本年基金支出1</w:t>
      </w:r>
      <w:r>
        <w:rPr>
          <w:rFonts w:hint="eastAsia" w:ascii="仿宋" w:hAnsi="仿宋" w:eastAsia="仿宋"/>
          <w:sz w:val="32"/>
          <w:szCs w:val="32"/>
          <w:lang w:val="en-US" w:eastAsia="zh-CN"/>
        </w:rPr>
        <w:t>3630</w:t>
      </w:r>
      <w:r>
        <w:rPr>
          <w:rFonts w:hint="eastAsia" w:ascii="仿宋" w:hAnsi="仿宋" w:eastAsia="仿宋"/>
          <w:sz w:val="32"/>
          <w:szCs w:val="32"/>
        </w:rPr>
        <w:t>万元(其中：城市基础设施配套费支出210万元，国有土地使用权出让金支出</w:t>
      </w:r>
      <w:r>
        <w:rPr>
          <w:rFonts w:hint="eastAsia" w:ascii="仿宋" w:hAnsi="仿宋" w:eastAsia="仿宋"/>
          <w:sz w:val="32"/>
          <w:szCs w:val="32"/>
          <w:lang w:val="en-US" w:eastAsia="zh-CN"/>
        </w:rPr>
        <w:t>8051</w:t>
      </w:r>
      <w:r>
        <w:rPr>
          <w:rFonts w:hint="eastAsia" w:ascii="仿宋" w:hAnsi="仿宋" w:eastAsia="仿宋"/>
          <w:sz w:val="32"/>
          <w:szCs w:val="32"/>
        </w:rPr>
        <w:t>万元，污水处理费安排的支出420万元，专项债券债务付息支出</w:t>
      </w:r>
      <w:r>
        <w:rPr>
          <w:rFonts w:hint="eastAsia" w:ascii="仿宋" w:hAnsi="仿宋" w:eastAsia="仿宋"/>
          <w:sz w:val="32"/>
          <w:szCs w:val="32"/>
          <w:lang w:val="en-US" w:eastAsia="zh-CN"/>
        </w:rPr>
        <w:t>4949</w:t>
      </w:r>
      <w:r>
        <w:rPr>
          <w:rFonts w:hint="eastAsia" w:ascii="仿宋" w:hAnsi="仿宋" w:eastAsia="仿宋"/>
          <w:sz w:val="32"/>
          <w:szCs w:val="32"/>
        </w:rPr>
        <w:t>万元)，基金上解支出7万元，调出资金</w:t>
      </w:r>
      <w:r>
        <w:rPr>
          <w:rFonts w:hint="eastAsia" w:ascii="仿宋" w:hAnsi="仿宋" w:eastAsia="仿宋"/>
          <w:sz w:val="32"/>
          <w:szCs w:val="32"/>
          <w:lang w:val="en-US" w:eastAsia="zh-CN"/>
        </w:rPr>
        <w:t>10993</w:t>
      </w:r>
      <w:r>
        <w:rPr>
          <w:rFonts w:hint="eastAsia" w:ascii="仿宋" w:hAnsi="仿宋" w:eastAsia="仿宋"/>
          <w:sz w:val="32"/>
          <w:szCs w:val="32"/>
        </w:rPr>
        <w:t>万元，</w:t>
      </w:r>
      <w:r>
        <w:rPr>
          <w:rFonts w:hint="eastAsia" w:ascii="仿宋" w:hAnsi="仿宋" w:eastAsia="仿宋"/>
          <w:sz w:val="32"/>
          <w:szCs w:val="32"/>
          <w:lang w:val="en-US" w:eastAsia="zh-CN"/>
        </w:rPr>
        <w:t>债务还本支出4000万元，</w:t>
      </w:r>
      <w:r>
        <w:rPr>
          <w:rFonts w:hint="eastAsia" w:ascii="仿宋" w:hAnsi="仿宋" w:eastAsia="仿宋"/>
          <w:sz w:val="32"/>
          <w:szCs w:val="32"/>
        </w:rPr>
        <w:t>支出合计</w:t>
      </w:r>
      <w:r>
        <w:rPr>
          <w:rFonts w:hint="eastAsia" w:ascii="仿宋" w:hAnsi="仿宋" w:eastAsia="仿宋"/>
          <w:sz w:val="32"/>
          <w:szCs w:val="32"/>
          <w:lang w:val="en-US" w:eastAsia="zh-CN"/>
        </w:rPr>
        <w:t>28630</w:t>
      </w:r>
      <w:r>
        <w:rPr>
          <w:rFonts w:hint="eastAsia" w:ascii="仿宋" w:hAnsi="仿宋" w:eastAsia="仿宋"/>
          <w:sz w:val="32"/>
          <w:szCs w:val="32"/>
        </w:rPr>
        <w:t xml:space="preserve">万元。 </w:t>
      </w: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ascii="仿宋" w:hAnsi="仿宋" w:eastAsia="仿宋"/>
          <w:sz w:val="32"/>
          <w:szCs w:val="32"/>
        </w:rPr>
      </w:pPr>
      <w:r>
        <w:rPr>
          <w:rFonts w:hint="eastAsia" w:ascii="仿宋_GB2312" w:hAnsi="仿宋_GB2312" w:eastAsia="仿宋_GB2312" w:cs="仿宋_GB2312"/>
          <w:sz w:val="30"/>
          <w:szCs w:val="30"/>
          <w:lang w:val="en-US" w:eastAsia="zh-CN"/>
        </w:rPr>
        <w:t>我县对乡镇财政管理执行的是一个部门预算管理体制，没有对其有税收返还、转移支付资金安排。所以政府性基金专项转移支付对下补助数据为0。</w:t>
      </w:r>
    </w:p>
    <w:p>
      <w:pPr>
        <w:keepNext w:val="0"/>
        <w:keepLines w:val="0"/>
        <w:pageBreakBefore w:val="0"/>
        <w:kinsoku/>
        <w:wordWrap/>
        <w:overflowPunct/>
        <w:topLinePunct w:val="0"/>
        <w:autoSpaceDE/>
        <w:autoSpaceDN/>
        <w:bidi w:val="0"/>
        <w:spacing w:line="360" w:lineRule="auto"/>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w:t>
      </w:r>
      <w:r>
        <w:rPr>
          <w:rFonts w:hint="eastAsia" w:eastAsia="黑体"/>
          <w:color w:val="000000"/>
          <w:sz w:val="32"/>
          <w:szCs w:val="32"/>
          <w:lang w:eastAsia="zh-CN"/>
        </w:rPr>
        <w:t>2023</w:t>
      </w:r>
      <w:r>
        <w:rPr>
          <w:rFonts w:eastAsia="黑体"/>
          <w:color w:val="000000"/>
          <w:sz w:val="32"/>
          <w:szCs w:val="32"/>
        </w:rPr>
        <w:t>年国有资本经营预算的说明</w:t>
      </w:r>
    </w:p>
    <w:p>
      <w:pPr>
        <w:keepNext w:val="0"/>
        <w:keepLines w:val="0"/>
        <w:pageBreakBefore w:val="0"/>
        <w:kinsoku/>
        <w:wordWrap/>
        <w:overflowPunct/>
        <w:topLinePunct w:val="0"/>
        <w:autoSpaceDE/>
        <w:autoSpaceDN/>
        <w:bidi w:val="0"/>
        <w:spacing w:line="360" w:lineRule="auto"/>
        <w:ind w:firstLine="640" w:firstLineChars="200"/>
        <w:rPr>
          <w:rFonts w:eastAsia="仿宋_GB2312"/>
          <w:sz w:val="32"/>
          <w:szCs w:val="32"/>
        </w:rPr>
      </w:pPr>
      <w:r>
        <w:rPr>
          <w:rFonts w:eastAsia="仿宋_GB2312"/>
          <w:sz w:val="32"/>
          <w:szCs w:val="32"/>
        </w:rPr>
        <w:t>按照收支平衡的原则编制，并加大与一般公共预算统筹力度。</w:t>
      </w:r>
      <w:r>
        <w:rPr>
          <w:rFonts w:hint="eastAsia" w:ascii="仿宋" w:hAnsi="仿宋" w:eastAsia="仿宋"/>
          <w:sz w:val="32"/>
          <w:szCs w:val="32"/>
        </w:rPr>
        <w:t>国有资本经营收入1</w:t>
      </w:r>
      <w:r>
        <w:rPr>
          <w:rFonts w:hint="eastAsia" w:ascii="仿宋" w:hAnsi="仿宋" w:eastAsia="仿宋"/>
          <w:sz w:val="32"/>
          <w:szCs w:val="32"/>
          <w:lang w:val="en-US" w:eastAsia="zh-CN"/>
        </w:rPr>
        <w:t>1000</w:t>
      </w:r>
      <w:r>
        <w:rPr>
          <w:rFonts w:hint="eastAsia" w:ascii="仿宋" w:hAnsi="仿宋" w:eastAsia="仿宋"/>
          <w:sz w:val="32"/>
          <w:szCs w:val="32"/>
        </w:rPr>
        <w:t>万元，主要国有资本资产转让收入和国有企业上交利润。这部分收入在资本经营预算支出中列调出资金，同时以调入资金科目纳入一般公共财政预算安排。</w:t>
      </w:r>
    </w:p>
    <w:p>
      <w:pPr>
        <w:keepNext w:val="0"/>
        <w:keepLines w:val="0"/>
        <w:pageBreakBefore w:val="0"/>
        <w:kinsoku/>
        <w:wordWrap/>
        <w:overflowPunct/>
        <w:topLinePunct w:val="0"/>
        <w:autoSpaceDE/>
        <w:autoSpaceDN/>
        <w:bidi w:val="0"/>
        <w:spacing w:line="360" w:lineRule="auto"/>
        <w:ind w:firstLine="629"/>
        <w:rPr>
          <w:rFonts w:eastAsia="黑体"/>
          <w:color w:val="000000"/>
          <w:sz w:val="32"/>
          <w:szCs w:val="32"/>
        </w:rPr>
      </w:pPr>
      <w:r>
        <w:rPr>
          <w:rFonts w:eastAsia="黑体"/>
          <w:color w:val="000000"/>
          <w:sz w:val="32"/>
          <w:szCs w:val="32"/>
        </w:rPr>
        <w:t>六、</w:t>
      </w:r>
      <w:r>
        <w:rPr>
          <w:rFonts w:hint="eastAsia" w:eastAsia="黑体"/>
          <w:color w:val="000000"/>
          <w:sz w:val="32"/>
          <w:szCs w:val="32"/>
          <w:lang w:eastAsia="zh-CN"/>
        </w:rPr>
        <w:t>2023</w:t>
      </w:r>
      <w:r>
        <w:rPr>
          <w:rFonts w:eastAsia="黑体"/>
          <w:color w:val="000000"/>
          <w:sz w:val="32"/>
          <w:szCs w:val="32"/>
        </w:rPr>
        <w:t>年</w:t>
      </w:r>
      <w:r>
        <w:rPr>
          <w:rFonts w:hint="eastAsia" w:eastAsia="黑体"/>
          <w:color w:val="000000"/>
          <w:sz w:val="32"/>
          <w:szCs w:val="32"/>
        </w:rPr>
        <w:t>社会保险基金</w:t>
      </w:r>
      <w:r>
        <w:rPr>
          <w:rFonts w:eastAsia="黑体"/>
          <w:color w:val="000000"/>
          <w:sz w:val="32"/>
          <w:szCs w:val="32"/>
        </w:rPr>
        <w:t>预算的说明</w:t>
      </w:r>
    </w:p>
    <w:p>
      <w:pPr>
        <w:keepNext w:val="0"/>
        <w:keepLines w:val="0"/>
        <w:pageBreakBefore w:val="0"/>
        <w:kinsoku/>
        <w:wordWrap/>
        <w:overflowPunct/>
        <w:topLinePunct w:val="0"/>
        <w:autoSpaceDE/>
        <w:autoSpaceDN/>
        <w:bidi w:val="0"/>
        <w:spacing w:line="360" w:lineRule="auto"/>
        <w:ind w:firstLine="640" w:firstLineChars="200"/>
        <w:rPr>
          <w:rFonts w:eastAsia="仿宋_GB2312"/>
          <w:sz w:val="32"/>
          <w:szCs w:val="32"/>
        </w:rPr>
      </w:pPr>
      <w:r>
        <w:rPr>
          <w:rFonts w:hint="eastAsia" w:ascii="仿宋" w:hAnsi="仿宋" w:eastAsia="仿宋" w:cs="Times New Roman"/>
          <w:sz w:val="32"/>
          <w:szCs w:val="32"/>
        </w:rPr>
        <w:t>本年收入安排</w:t>
      </w:r>
      <w:r>
        <w:rPr>
          <w:rFonts w:hint="eastAsia" w:ascii="仿宋" w:hAnsi="仿宋" w:eastAsia="仿宋" w:cs="Times New Roman"/>
          <w:sz w:val="32"/>
          <w:szCs w:val="32"/>
          <w:lang w:val="en-US" w:eastAsia="zh-CN"/>
        </w:rPr>
        <w:t>43028</w:t>
      </w:r>
      <w:r>
        <w:rPr>
          <w:rFonts w:hint="eastAsia" w:ascii="仿宋" w:hAnsi="仿宋" w:eastAsia="仿宋" w:cs="Times New Roman"/>
          <w:sz w:val="32"/>
          <w:szCs w:val="32"/>
        </w:rPr>
        <w:t>万元，支出安排</w:t>
      </w:r>
      <w:r>
        <w:rPr>
          <w:rFonts w:hint="eastAsia" w:ascii="仿宋" w:hAnsi="仿宋" w:eastAsia="仿宋" w:cs="Times New Roman"/>
          <w:sz w:val="32"/>
          <w:szCs w:val="32"/>
          <w:lang w:val="en-US" w:eastAsia="zh-CN"/>
        </w:rPr>
        <w:t>36475</w:t>
      </w:r>
      <w:r>
        <w:rPr>
          <w:rFonts w:hint="eastAsia" w:ascii="仿宋" w:hAnsi="仿宋" w:eastAsia="仿宋" w:cs="Times New Roman"/>
          <w:sz w:val="32"/>
          <w:szCs w:val="32"/>
        </w:rPr>
        <w:t>万元，年末滚存结余</w:t>
      </w:r>
      <w:r>
        <w:rPr>
          <w:rFonts w:hint="eastAsia" w:ascii="仿宋" w:hAnsi="仿宋" w:eastAsia="仿宋" w:cs="Times New Roman"/>
          <w:sz w:val="32"/>
          <w:szCs w:val="32"/>
          <w:lang w:val="en-US" w:eastAsia="zh-CN"/>
        </w:rPr>
        <w:t>35057</w:t>
      </w:r>
      <w:r>
        <w:rPr>
          <w:rFonts w:hint="eastAsia" w:ascii="仿宋" w:hAnsi="仿宋" w:eastAsia="仿宋" w:cs="Times New Roman"/>
          <w:sz w:val="32"/>
          <w:szCs w:val="32"/>
        </w:rPr>
        <w:t>万元。</w:t>
      </w:r>
    </w:p>
    <w:p>
      <w:pPr>
        <w:keepNext w:val="0"/>
        <w:keepLines w:val="0"/>
        <w:pageBreakBefore w:val="0"/>
        <w:kinsoku/>
        <w:wordWrap/>
        <w:overflowPunct/>
        <w:topLinePunct w:val="0"/>
        <w:autoSpaceDE/>
        <w:autoSpaceDN/>
        <w:bidi w:val="0"/>
        <w:spacing w:line="360" w:lineRule="auto"/>
        <w:ind w:firstLine="640" w:firstLineChars="200"/>
        <w:rPr>
          <w:rFonts w:ascii="黑体" w:eastAsia="黑体"/>
          <w:color w:val="000000"/>
          <w:sz w:val="32"/>
          <w:szCs w:val="32"/>
        </w:rPr>
      </w:pPr>
      <w:r>
        <w:rPr>
          <w:rFonts w:hint="eastAsia" w:ascii="黑体" w:eastAsia="黑体"/>
          <w:color w:val="000000"/>
          <w:sz w:val="32"/>
          <w:szCs w:val="32"/>
          <w:lang w:eastAsia="zh-CN"/>
        </w:rPr>
        <w:t>七</w:t>
      </w:r>
      <w:r>
        <w:rPr>
          <w:rFonts w:hint="eastAsia" w:ascii="黑体" w:eastAsia="黑体"/>
          <w:color w:val="000000"/>
          <w:sz w:val="32"/>
          <w:szCs w:val="32"/>
        </w:rPr>
        <w:t>、举借政府债务情况</w:t>
      </w:r>
    </w:p>
    <w:p>
      <w:pPr>
        <w:keepNext w:val="0"/>
        <w:keepLines w:val="0"/>
        <w:pageBreakBefore w:val="0"/>
        <w:kinsoku/>
        <w:wordWrap/>
        <w:overflowPunct/>
        <w:topLinePunct w:val="0"/>
        <w:autoSpaceDE/>
        <w:autoSpaceDN/>
        <w:bidi w:val="0"/>
        <w:spacing w:line="360" w:lineRule="auto"/>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（一）地方政府债务限额余额情况</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lang w:val="en-US" w:eastAsia="zh-CN"/>
        </w:rPr>
        <w:t>2023年政府债务总限额410289万元，其中一般债务限额266195万元，专项债务限额144094万元。</w:t>
      </w:r>
      <w:r>
        <w:rPr>
          <w:rFonts w:hint="eastAsia" w:ascii="仿宋" w:hAnsi="仿宋" w:eastAsia="仿宋"/>
          <w:color w:val="333333"/>
          <w:sz w:val="32"/>
          <w:szCs w:val="32"/>
          <w:shd w:val="clear" w:color="auto" w:fill="FFFFFF"/>
        </w:rPr>
        <w:t>截止</w:t>
      </w:r>
      <w:r>
        <w:rPr>
          <w:rFonts w:hint="eastAsia" w:ascii="仿宋" w:hAnsi="仿宋" w:eastAsia="仿宋"/>
          <w:color w:val="333333"/>
          <w:sz w:val="32"/>
          <w:szCs w:val="32"/>
          <w:shd w:val="clear" w:color="auto" w:fill="FFFFFF"/>
          <w:lang w:eastAsia="zh-CN"/>
        </w:rPr>
        <w:t>2023</w:t>
      </w:r>
      <w:r>
        <w:rPr>
          <w:rFonts w:hint="eastAsia" w:ascii="仿宋" w:hAnsi="仿宋" w:eastAsia="仿宋"/>
          <w:color w:val="333333"/>
          <w:sz w:val="32"/>
          <w:szCs w:val="32"/>
          <w:shd w:val="clear" w:color="auto" w:fill="FFFFFF"/>
        </w:rPr>
        <w:t>年底</w:t>
      </w:r>
      <w:r>
        <w:rPr>
          <w:rFonts w:hint="eastAsia" w:ascii="仿宋" w:hAnsi="仿宋" w:eastAsia="仿宋"/>
          <w:color w:val="333333"/>
          <w:sz w:val="32"/>
          <w:szCs w:val="32"/>
          <w:shd w:val="clear" w:color="auto" w:fill="FFFFFF"/>
          <w:lang w:eastAsia="zh-CN"/>
        </w:rPr>
        <w:t>，地方政府债务余额</w:t>
      </w:r>
      <w:r>
        <w:rPr>
          <w:rFonts w:hint="eastAsia" w:ascii="仿宋" w:hAnsi="仿宋" w:eastAsia="仿宋"/>
          <w:color w:val="333333"/>
          <w:sz w:val="32"/>
          <w:szCs w:val="32"/>
          <w:shd w:val="clear" w:color="auto" w:fill="FFFFFF"/>
          <w:lang w:val="en-US" w:eastAsia="zh-CN"/>
        </w:rPr>
        <w:t>405499</w:t>
      </w:r>
      <w:r>
        <w:rPr>
          <w:rFonts w:hint="eastAsia" w:ascii="仿宋" w:hAnsi="仿宋" w:eastAsia="仿宋"/>
          <w:color w:val="333333"/>
          <w:sz w:val="32"/>
          <w:szCs w:val="32"/>
          <w:shd w:val="clear" w:color="auto" w:fill="FFFFFF"/>
          <w:lang w:eastAsia="zh-CN"/>
        </w:rPr>
        <w:t>万元，其中一般债务余额</w:t>
      </w:r>
      <w:r>
        <w:rPr>
          <w:rFonts w:hint="eastAsia" w:ascii="仿宋" w:hAnsi="仿宋" w:eastAsia="仿宋"/>
          <w:color w:val="333333"/>
          <w:sz w:val="32"/>
          <w:szCs w:val="32"/>
          <w:shd w:val="clear" w:color="auto" w:fill="FFFFFF"/>
          <w:lang w:val="en-US" w:eastAsia="zh-CN"/>
        </w:rPr>
        <w:t>265405万元</w:t>
      </w:r>
      <w:r>
        <w:rPr>
          <w:rFonts w:hint="eastAsia" w:ascii="仿宋" w:hAnsi="仿宋" w:eastAsia="仿宋"/>
          <w:color w:val="333333"/>
          <w:sz w:val="32"/>
          <w:szCs w:val="32"/>
          <w:shd w:val="clear" w:color="auto" w:fill="FFFFFF"/>
          <w:lang w:eastAsia="zh-CN"/>
        </w:rPr>
        <w:t>，专项债务余额</w:t>
      </w:r>
      <w:r>
        <w:rPr>
          <w:rFonts w:hint="eastAsia" w:ascii="仿宋" w:hAnsi="仿宋" w:eastAsia="仿宋"/>
          <w:color w:val="333333"/>
          <w:sz w:val="32"/>
          <w:szCs w:val="32"/>
          <w:shd w:val="clear" w:color="auto" w:fill="FFFFFF"/>
          <w:lang w:val="en-US" w:eastAsia="zh-CN"/>
        </w:rPr>
        <w:t>140094万元</w:t>
      </w:r>
      <w:r>
        <w:rPr>
          <w:rFonts w:hint="eastAsia" w:ascii="仿宋" w:hAnsi="仿宋" w:eastAsia="仿宋"/>
          <w:color w:val="333333"/>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spacing w:line="360" w:lineRule="auto"/>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地方政府债券发行情况</w:t>
      </w:r>
    </w:p>
    <w:p>
      <w:pPr>
        <w:keepNext w:val="0"/>
        <w:keepLines w:val="0"/>
        <w:pageBreakBefore w:val="0"/>
        <w:numPr>
          <w:ilvl w:val="0"/>
          <w:numId w:val="0"/>
        </w:numPr>
        <w:kinsoku/>
        <w:wordWrap/>
        <w:overflowPunct/>
        <w:topLinePunct w:val="0"/>
        <w:autoSpaceDE/>
        <w:autoSpaceDN/>
        <w:bidi w:val="0"/>
        <w:spacing w:line="360" w:lineRule="auto"/>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lang w:val="en-US" w:eastAsia="zh-CN"/>
        </w:rPr>
        <w:t>2023年省转贷新增债务限额0万元，其中一般债务限额0万元，专项债务限额0万元，据此发行一般债券0万元，专项债券0万元</w:t>
      </w:r>
      <w:r>
        <w:rPr>
          <w:rFonts w:hint="eastAsia" w:ascii="仿宋" w:hAnsi="仿宋" w:eastAsia="仿宋"/>
          <w:color w:val="333333"/>
          <w:sz w:val="32"/>
          <w:szCs w:val="32"/>
          <w:shd w:val="clear" w:color="auto" w:fill="FFFFFF"/>
        </w:rPr>
        <w:t>。</w:t>
      </w:r>
    </w:p>
    <w:p>
      <w:pPr>
        <w:keepNext w:val="0"/>
        <w:keepLines w:val="0"/>
        <w:pageBreakBefore w:val="0"/>
        <w:numPr>
          <w:ilvl w:val="0"/>
          <w:numId w:val="1"/>
        </w:numPr>
        <w:kinsoku/>
        <w:wordWrap/>
        <w:overflowPunct/>
        <w:topLinePunct w:val="0"/>
        <w:autoSpaceDE/>
        <w:autoSpaceDN/>
        <w:bidi w:val="0"/>
        <w:spacing w:line="360" w:lineRule="auto"/>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地方政府债务还本付息情况</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lang w:val="en-US" w:eastAsia="zh-CN"/>
        </w:rPr>
        <w:t>2023年</w:t>
      </w:r>
      <w:r>
        <w:rPr>
          <w:rFonts w:hint="eastAsia" w:ascii="仿宋" w:hAnsi="仿宋" w:eastAsia="仿宋"/>
          <w:color w:val="333333"/>
          <w:sz w:val="32"/>
          <w:szCs w:val="32"/>
          <w:shd w:val="clear" w:color="auto" w:fill="FFFFFF"/>
        </w:rPr>
        <w:t>安排</w:t>
      </w:r>
      <w:r>
        <w:rPr>
          <w:rFonts w:hint="eastAsia" w:ascii="仿宋" w:hAnsi="仿宋" w:eastAsia="仿宋"/>
          <w:color w:val="333333"/>
          <w:sz w:val="32"/>
          <w:szCs w:val="32"/>
          <w:shd w:val="clear" w:color="auto" w:fill="FFFFFF"/>
          <w:lang w:eastAsia="zh-CN"/>
        </w:rPr>
        <w:t>政府债券</w:t>
      </w:r>
      <w:r>
        <w:rPr>
          <w:rFonts w:hint="eastAsia" w:ascii="仿宋" w:hAnsi="仿宋" w:eastAsia="仿宋"/>
          <w:color w:val="333333"/>
          <w:sz w:val="32"/>
          <w:szCs w:val="32"/>
          <w:shd w:val="clear" w:color="auto" w:fill="FFFFFF"/>
        </w:rPr>
        <w:t>还本支出</w:t>
      </w:r>
      <w:r>
        <w:rPr>
          <w:rFonts w:hint="eastAsia" w:ascii="仿宋" w:hAnsi="仿宋" w:eastAsia="仿宋"/>
          <w:color w:val="333333"/>
          <w:sz w:val="32"/>
          <w:szCs w:val="32"/>
          <w:shd w:val="clear" w:color="auto" w:fill="FFFFFF"/>
          <w:lang w:val="en-US" w:eastAsia="zh-CN"/>
        </w:rPr>
        <w:t>4000</w:t>
      </w:r>
      <w:r>
        <w:rPr>
          <w:rFonts w:hint="eastAsia" w:ascii="仿宋" w:hAnsi="仿宋" w:eastAsia="仿宋"/>
          <w:color w:val="333333"/>
          <w:sz w:val="32"/>
          <w:szCs w:val="32"/>
          <w:shd w:val="clear" w:color="auto" w:fill="FFFFFF"/>
        </w:rPr>
        <w:t>万元</w:t>
      </w:r>
      <w:r>
        <w:rPr>
          <w:rFonts w:hint="eastAsia" w:ascii="仿宋" w:hAnsi="仿宋" w:eastAsia="仿宋"/>
          <w:color w:val="333333"/>
          <w:sz w:val="32"/>
          <w:szCs w:val="32"/>
          <w:shd w:val="clear" w:color="auto" w:fill="FFFFFF"/>
          <w:lang w:eastAsia="zh-CN"/>
        </w:rPr>
        <w:t>，其中一般债券本金</w:t>
      </w:r>
      <w:r>
        <w:rPr>
          <w:rFonts w:hint="eastAsia" w:ascii="仿宋" w:hAnsi="仿宋" w:eastAsia="仿宋"/>
          <w:color w:val="333333"/>
          <w:sz w:val="32"/>
          <w:szCs w:val="32"/>
          <w:shd w:val="clear" w:color="auto" w:fill="FFFFFF"/>
          <w:lang w:val="en-US" w:eastAsia="zh-CN"/>
        </w:rPr>
        <w:t>0万元，专项债券本金4000万元；安排</w:t>
      </w:r>
      <w:r>
        <w:rPr>
          <w:rFonts w:hint="eastAsia" w:ascii="仿宋" w:hAnsi="仿宋" w:eastAsia="仿宋"/>
          <w:color w:val="333333"/>
          <w:sz w:val="32"/>
          <w:szCs w:val="32"/>
          <w:shd w:val="clear" w:color="auto" w:fill="FFFFFF"/>
          <w:lang w:eastAsia="zh-CN"/>
        </w:rPr>
        <w:t>政府债券付息</w:t>
      </w:r>
      <w:r>
        <w:rPr>
          <w:rFonts w:hint="eastAsia" w:ascii="仿宋" w:hAnsi="仿宋" w:eastAsia="仿宋"/>
          <w:color w:val="333333"/>
          <w:sz w:val="32"/>
          <w:szCs w:val="32"/>
          <w:shd w:val="clear" w:color="auto" w:fill="FFFFFF"/>
        </w:rPr>
        <w:t>支出</w:t>
      </w:r>
      <w:r>
        <w:rPr>
          <w:rFonts w:hint="eastAsia" w:ascii="仿宋" w:hAnsi="仿宋" w:eastAsia="仿宋"/>
          <w:color w:val="333333"/>
          <w:sz w:val="32"/>
          <w:szCs w:val="32"/>
          <w:shd w:val="clear" w:color="auto" w:fill="FFFFFF"/>
          <w:lang w:val="en-US" w:eastAsia="zh-CN"/>
        </w:rPr>
        <w:t>12586万元</w:t>
      </w:r>
      <w:r>
        <w:rPr>
          <w:rFonts w:hint="eastAsia" w:ascii="仿宋" w:hAnsi="仿宋" w:eastAsia="仿宋"/>
          <w:color w:val="333333"/>
          <w:sz w:val="32"/>
          <w:szCs w:val="32"/>
          <w:shd w:val="clear" w:color="auto" w:fill="FFFFFF"/>
          <w:lang w:eastAsia="zh-CN"/>
        </w:rPr>
        <w:t>，其中一般债券利息</w:t>
      </w:r>
      <w:r>
        <w:rPr>
          <w:rFonts w:hint="eastAsia" w:ascii="仿宋" w:hAnsi="仿宋" w:eastAsia="仿宋"/>
          <w:color w:val="333333"/>
          <w:sz w:val="32"/>
          <w:szCs w:val="32"/>
          <w:shd w:val="clear" w:color="auto" w:fill="FFFFFF"/>
          <w:lang w:val="en-US" w:eastAsia="zh-CN"/>
        </w:rPr>
        <w:t>7637万元，</w:t>
      </w:r>
      <w:r>
        <w:rPr>
          <w:rFonts w:hint="eastAsia" w:ascii="仿宋" w:hAnsi="仿宋" w:eastAsia="仿宋"/>
          <w:color w:val="333333"/>
          <w:sz w:val="32"/>
          <w:szCs w:val="32"/>
          <w:shd w:val="clear" w:color="auto" w:fill="FFFFFF"/>
          <w:lang w:eastAsia="zh-CN"/>
        </w:rPr>
        <w:t>专项债券利息</w:t>
      </w:r>
      <w:r>
        <w:rPr>
          <w:rFonts w:hint="eastAsia" w:ascii="仿宋" w:hAnsi="仿宋" w:eastAsia="仿宋"/>
          <w:color w:val="333333"/>
          <w:sz w:val="32"/>
          <w:szCs w:val="32"/>
          <w:shd w:val="clear" w:color="auto" w:fill="FFFFFF"/>
          <w:lang w:val="en-US" w:eastAsia="zh-CN"/>
        </w:rPr>
        <w:t>4949万元。</w:t>
      </w:r>
    </w:p>
    <w:p>
      <w:pPr>
        <w:keepNext w:val="0"/>
        <w:keepLines w:val="0"/>
        <w:pageBreakBefore w:val="0"/>
        <w:numPr>
          <w:ilvl w:val="0"/>
          <w:numId w:val="1"/>
        </w:numPr>
        <w:kinsoku/>
        <w:wordWrap/>
        <w:overflowPunct/>
        <w:topLinePunct w:val="0"/>
        <w:autoSpaceDE/>
        <w:autoSpaceDN/>
        <w:bidi w:val="0"/>
        <w:spacing w:line="360" w:lineRule="auto"/>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地方政府债券</w:t>
      </w:r>
      <w:r>
        <w:rPr>
          <w:rFonts w:hint="eastAsia" w:ascii="宋体" w:hAnsi="宋体" w:cs="宋体"/>
          <w:b/>
          <w:bCs/>
          <w:color w:val="333333"/>
          <w:sz w:val="32"/>
          <w:szCs w:val="32"/>
          <w:shd w:val="clear" w:color="auto" w:fill="FFFFFF"/>
          <w:lang w:eastAsia="zh-CN"/>
        </w:rPr>
        <w:t>使用</w:t>
      </w:r>
      <w:r>
        <w:rPr>
          <w:rFonts w:hint="eastAsia" w:ascii="宋体" w:hAnsi="宋体" w:eastAsia="宋体" w:cs="宋体"/>
          <w:b/>
          <w:bCs/>
          <w:color w:val="333333"/>
          <w:sz w:val="32"/>
          <w:szCs w:val="32"/>
          <w:shd w:val="clear" w:color="auto" w:fill="FFFFFF"/>
          <w:lang w:eastAsia="zh-CN"/>
        </w:rPr>
        <w:t>情况</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default" w:ascii="仿宋" w:hAnsi="仿宋" w:eastAsia="仿宋"/>
          <w:sz w:val="32"/>
          <w:szCs w:val="32"/>
          <w:lang w:val="en-US"/>
        </w:rPr>
      </w:pPr>
      <w:r>
        <w:rPr>
          <w:rFonts w:hint="eastAsia" w:ascii="仿宋" w:hAnsi="仿宋" w:eastAsia="仿宋"/>
          <w:color w:val="333333"/>
          <w:sz w:val="32"/>
          <w:szCs w:val="32"/>
          <w:shd w:val="clear" w:color="auto" w:fill="FFFFFF"/>
          <w:lang w:val="en-US" w:eastAsia="zh-CN"/>
        </w:rPr>
        <w:t>2023年我县预算安排新增地方政府债券0万元，其中一般债券0万元，专项债券0万元</w:t>
      </w:r>
      <w:r>
        <w:rPr>
          <w:rFonts w:hint="eastAsia" w:ascii="仿宋_GB2312" w:hAnsi="仿宋_GB2312" w:eastAsia="仿宋_GB2312" w:cs="仿宋_GB2312"/>
          <w:sz w:val="32"/>
          <w:szCs w:val="32"/>
          <w:lang w:val="en-US" w:eastAsia="zh-CN"/>
        </w:rPr>
        <w:t>。</w:t>
      </w:r>
      <w:r>
        <w:rPr>
          <w:rFonts w:hint="eastAsia" w:ascii="仿宋" w:hAnsi="仿宋" w:eastAsia="仿宋"/>
          <w:color w:val="333333"/>
          <w:sz w:val="32"/>
          <w:szCs w:val="32"/>
          <w:shd w:val="clear" w:color="auto" w:fill="FFFFFF"/>
          <w:lang w:val="en-US" w:eastAsia="zh-CN"/>
        </w:rPr>
        <w:t>安排再融资债券0万元。</w:t>
      </w:r>
    </w:p>
    <w:p>
      <w:pPr>
        <w:keepNext w:val="0"/>
        <w:keepLines w:val="0"/>
        <w:pageBreakBefore w:val="0"/>
        <w:numPr>
          <w:ilvl w:val="0"/>
          <w:numId w:val="2"/>
        </w:numPr>
        <w:kinsoku/>
        <w:wordWrap/>
        <w:overflowPunct/>
        <w:topLinePunct w:val="0"/>
        <w:autoSpaceDE/>
        <w:autoSpaceDN/>
        <w:bidi w:val="0"/>
        <w:spacing w:line="360" w:lineRule="auto"/>
        <w:ind w:firstLine="640" w:firstLineChars="200"/>
        <w:rPr>
          <w:rFonts w:hint="eastAsia" w:ascii="黑体" w:eastAsia="黑体"/>
          <w:color w:val="000000"/>
          <w:sz w:val="32"/>
          <w:szCs w:val="32"/>
        </w:rPr>
      </w:pPr>
      <w:r>
        <w:rPr>
          <w:rFonts w:hint="eastAsia" w:ascii="黑体" w:eastAsia="黑体"/>
          <w:color w:val="000000"/>
          <w:sz w:val="32"/>
          <w:szCs w:val="32"/>
        </w:rPr>
        <w:t>预算绩效管理工作开展情况</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2023年，我县认真贯彻落实关于全面实施预算绩效管理的决策部署，加快建立全方位、全过程、全覆盖预算绩效管理体系。</w:t>
      </w:r>
    </w:p>
    <w:p>
      <w:pPr>
        <w:keepNext w:val="0"/>
        <w:keepLines w:val="0"/>
        <w:pageBreakBefore w:val="0"/>
        <w:numPr>
          <w:ilvl w:val="0"/>
          <w:numId w:val="0"/>
        </w:numPr>
        <w:kinsoku/>
        <w:wordWrap/>
        <w:overflowPunct/>
        <w:topLinePunct w:val="0"/>
        <w:autoSpaceDE/>
        <w:autoSpaceDN/>
        <w:bidi w:val="0"/>
        <w:spacing w:line="360" w:lineRule="auto"/>
        <w:ind w:firstLine="643" w:firstLineChars="200"/>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1.全面加强绩效目标管理。</w:t>
      </w:r>
      <w:r>
        <w:rPr>
          <w:rFonts w:hint="eastAsia" w:ascii="仿宋" w:hAnsi="仿宋" w:eastAsia="仿宋" w:cs="仿宋"/>
          <w:b w:val="0"/>
          <w:bCs/>
          <w:sz w:val="32"/>
          <w:szCs w:val="32"/>
          <w:lang w:val="en-US" w:eastAsia="zh-CN"/>
        </w:rPr>
        <w:t>继续规范绩效目标编制管理，紧密结合部门职责及中期规划编制绩效目标，提高绩效目标的科学性。加强财政重点支出、重大专项资金绩效目标审核管理，促进绩效目标审核结果与预算安排有机结合。</w:t>
      </w:r>
    </w:p>
    <w:p>
      <w:pPr>
        <w:keepNext w:val="0"/>
        <w:keepLines w:val="0"/>
        <w:pageBreakBefore w:val="0"/>
        <w:numPr>
          <w:ilvl w:val="0"/>
          <w:numId w:val="0"/>
        </w:numPr>
        <w:kinsoku/>
        <w:wordWrap/>
        <w:overflowPunct/>
        <w:topLinePunct w:val="0"/>
        <w:autoSpaceDE/>
        <w:autoSpaceDN/>
        <w:bidi w:val="0"/>
        <w:spacing w:line="360" w:lineRule="auto"/>
        <w:ind w:firstLine="643" w:firstLineChars="200"/>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2.强化绩效运行监控管理。</w:t>
      </w:r>
      <w:r>
        <w:rPr>
          <w:rFonts w:hint="eastAsia" w:ascii="仿宋" w:hAnsi="仿宋" w:eastAsia="仿宋" w:cs="仿宋"/>
          <w:b w:val="0"/>
          <w:bCs/>
          <w:sz w:val="32"/>
          <w:szCs w:val="32"/>
          <w:lang w:val="en-US" w:eastAsia="zh-CN"/>
        </w:rPr>
        <w:t>建立健全绩效运行监控机制，扩大绩效监控范围，实现对所有资金的动态监控。加强监控结果应用，对发现目标偏离的，及时采取纠偏和调整措施，防止财政资金浪费。</w:t>
      </w:r>
    </w:p>
    <w:p>
      <w:pPr>
        <w:keepNext w:val="0"/>
        <w:keepLines w:val="0"/>
        <w:pageBreakBefore w:val="0"/>
        <w:numPr>
          <w:ilvl w:val="0"/>
          <w:numId w:val="0"/>
        </w:numPr>
        <w:kinsoku/>
        <w:wordWrap/>
        <w:overflowPunct/>
        <w:topLinePunct w:val="0"/>
        <w:autoSpaceDE/>
        <w:autoSpaceDN/>
        <w:bidi w:val="0"/>
        <w:spacing w:line="360" w:lineRule="auto"/>
        <w:ind w:firstLine="643" w:firstLineChars="200"/>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3.推动绩效评价提质扩围。</w:t>
      </w:r>
      <w:r>
        <w:rPr>
          <w:rFonts w:hint="eastAsia" w:ascii="仿宋" w:hAnsi="仿宋" w:eastAsia="仿宋" w:cs="仿宋"/>
          <w:b w:val="0"/>
          <w:bCs/>
          <w:sz w:val="32"/>
          <w:szCs w:val="32"/>
          <w:lang w:val="en-US" w:eastAsia="zh-CN"/>
        </w:rPr>
        <w:t>在实现财政资金绩效评价的全覆盖的基础上建立健全项目支出绩效评价、部门整体支出绩效评价、财政政策绩效评价等多层次的绩效评价体系，对不同性质的项目实行分类评价管理，突出管理重点；不断完善绩效评价体系和标准，提高绩效评价工作质量。</w:t>
      </w:r>
    </w:p>
    <w:p>
      <w:pPr>
        <w:keepNext w:val="0"/>
        <w:keepLines w:val="0"/>
        <w:pageBreakBefore w:val="0"/>
        <w:numPr>
          <w:ilvl w:val="0"/>
          <w:numId w:val="0"/>
        </w:numPr>
        <w:kinsoku/>
        <w:wordWrap/>
        <w:overflowPunct/>
        <w:topLinePunct w:val="0"/>
        <w:autoSpaceDE/>
        <w:autoSpaceDN/>
        <w:bidi w:val="0"/>
        <w:spacing w:line="360" w:lineRule="auto"/>
        <w:ind w:firstLine="643" w:firstLineChars="200"/>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4.进一步强化预算管理的绩效导向。</w:t>
      </w:r>
      <w:r>
        <w:rPr>
          <w:rFonts w:hint="eastAsia" w:ascii="仿宋" w:hAnsi="仿宋" w:eastAsia="仿宋" w:cs="仿宋"/>
          <w:b w:val="0"/>
          <w:bCs/>
          <w:sz w:val="32"/>
          <w:szCs w:val="32"/>
          <w:lang w:val="en-US" w:eastAsia="zh-CN"/>
        </w:rPr>
        <w:t>一是进一步完善绩效评价结果与预算安排、资金分配有机结合的工作机制，推动绩效评价结果在财政资金分配中的应用，通过绩效评价完善预算项目动态调整与退出机制。二是进一步完善预算绩效目标、绩效评价结果等绩效信息向本级人大和政府报告制度，为领导决策当好参谋。三是进一步推动预算部门扩大绩效信息向社会公开范围，实现从晒“对账单”到晒“成绩单”的转变。四是进一步完善预算绩效管理工作考核机制，对预算绩效管理工作考核结果较好的部门给予激励，对工作不力的部门和人员实施惩罚。</w:t>
      </w:r>
    </w:p>
    <w:p>
      <w:pPr>
        <w:keepNext w:val="0"/>
        <w:keepLines w:val="0"/>
        <w:pageBreakBefore w:val="0"/>
        <w:numPr>
          <w:ilvl w:val="0"/>
          <w:numId w:val="0"/>
        </w:numPr>
        <w:kinsoku/>
        <w:wordWrap/>
        <w:overflowPunct/>
        <w:topLinePunct w:val="0"/>
        <w:autoSpaceDE/>
        <w:autoSpaceDN/>
        <w:bidi w:val="0"/>
        <w:spacing w:line="360" w:lineRule="auto"/>
        <w:ind w:firstLine="640" w:firstLineChars="200"/>
        <w:rPr>
          <w:rFonts w:hint="eastAsia" w:eastAsia="黑体"/>
          <w:sz w:val="32"/>
          <w:szCs w:val="32"/>
          <w:lang w:val="en-US" w:eastAsia="zh-CN"/>
        </w:rPr>
      </w:pPr>
      <w:r>
        <w:rPr>
          <w:rFonts w:hint="eastAsia" w:eastAsia="黑体"/>
          <w:sz w:val="32"/>
          <w:szCs w:val="32"/>
          <w:lang w:val="en-US" w:eastAsia="zh-CN"/>
        </w:rPr>
        <w:t>九、“三公”经费预算安排说明</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333333"/>
          <w:sz w:val="32"/>
          <w:szCs w:val="32"/>
          <w:shd w:val="clear" w:color="auto" w:fill="FFFFFF"/>
          <w:lang w:val="en-US" w:eastAsia="zh-CN"/>
        </w:rPr>
      </w:pPr>
      <w:r>
        <w:rPr>
          <w:rFonts w:hint="eastAsia" w:ascii="仿宋" w:hAnsi="仿宋" w:eastAsia="仿宋" w:cs="Times New Roman"/>
          <w:color w:val="333333"/>
          <w:sz w:val="32"/>
          <w:szCs w:val="32"/>
          <w:shd w:val="clear" w:color="auto" w:fill="FFFFFF"/>
          <w:lang w:val="en-US" w:eastAsia="zh-CN"/>
        </w:rPr>
        <w:t>根据中央、省、市关于推进预算信息公开的决策部署和县政府工作安排，经绥宁县财政局汇总，2023年度绥宁县“三公”经费预算，包括县级行政单位（含参照公务员法管理的事业单位）、事业单位、各乡镇人民政府和其他单位使用当年公共财政拨款(包括公共财政经费拨款和纳入公共财政管理的非税收入)安排的因公出国（境）经费、公务接待费、公务用车购置及运行费情况如下：</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333333"/>
          <w:sz w:val="32"/>
          <w:szCs w:val="32"/>
          <w:shd w:val="clear" w:color="auto" w:fill="FFFFFF"/>
          <w:lang w:val="en-US" w:eastAsia="zh-CN"/>
        </w:rPr>
      </w:pPr>
      <w:r>
        <w:rPr>
          <w:rFonts w:hint="eastAsia" w:ascii="仿宋" w:hAnsi="仿宋" w:eastAsia="仿宋" w:cs="Times New Roman"/>
          <w:color w:val="333333"/>
          <w:sz w:val="32"/>
          <w:szCs w:val="32"/>
          <w:shd w:val="clear" w:color="auto" w:fill="FFFFFF"/>
          <w:lang w:val="en-US" w:eastAsia="zh-CN"/>
        </w:rPr>
        <w:t>2023年度“三公”经费预算总额为1335万元，比上年预算数减少251万元，分项情况是：1、因公出国(境)经费预算数为3万元，比上年预算数增加3万元；2、公务接待费预算数522万元，比上年预算数增加166万元，主要是迎检招待比上年增加；3、公务用车运行费预算数690万元，比上年预算数减少537万元，主要是公车数量减少</w:t>
      </w:r>
      <w:bookmarkStart w:id="0" w:name="_GoBack"/>
      <w:bookmarkEnd w:id="0"/>
      <w:r>
        <w:rPr>
          <w:rFonts w:hint="eastAsia" w:ascii="仿宋" w:hAnsi="仿宋" w:eastAsia="仿宋" w:cs="Times New Roman"/>
          <w:color w:val="333333"/>
          <w:sz w:val="32"/>
          <w:szCs w:val="32"/>
          <w:shd w:val="clear" w:color="auto" w:fill="FFFFFF"/>
          <w:lang w:val="en-US" w:eastAsia="zh-CN"/>
        </w:rPr>
        <w:t>；4、公务用车购置预算数120万元，比上年预算数增加120万元，主要是机关事务中心计划购买公车。</w:t>
      </w:r>
    </w:p>
    <w:tbl>
      <w:tblPr>
        <w:tblStyle w:val="6"/>
        <w:tblW w:w="8663" w:type="dxa"/>
        <w:tblInd w:w="0" w:type="dxa"/>
        <w:shd w:val="clear" w:color="auto" w:fill="auto"/>
        <w:tblLayout w:type="fixed"/>
        <w:tblCellMar>
          <w:top w:w="0" w:type="dxa"/>
          <w:left w:w="0" w:type="dxa"/>
          <w:bottom w:w="0" w:type="dxa"/>
          <w:right w:w="0" w:type="dxa"/>
        </w:tblCellMar>
      </w:tblPr>
      <w:tblGrid>
        <w:gridCol w:w="998"/>
        <w:gridCol w:w="960"/>
        <w:gridCol w:w="975"/>
        <w:gridCol w:w="1185"/>
        <w:gridCol w:w="1665"/>
        <w:gridCol w:w="1575"/>
        <w:gridCol w:w="1305"/>
      </w:tblGrid>
      <w:tr>
        <w:tblPrEx>
          <w:tblCellMar>
            <w:top w:w="0" w:type="dxa"/>
            <w:left w:w="0" w:type="dxa"/>
            <w:bottom w:w="0" w:type="dxa"/>
            <w:right w:w="0" w:type="dxa"/>
          </w:tblCellMar>
        </w:tblPrEx>
        <w:trPr>
          <w:trHeight w:val="78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76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三公经费预算数</w:t>
            </w:r>
          </w:p>
        </w:tc>
      </w:tr>
      <w:tr>
        <w:tblPrEx>
          <w:tblCellMar>
            <w:top w:w="0" w:type="dxa"/>
            <w:left w:w="0" w:type="dxa"/>
            <w:bottom w:w="0" w:type="dxa"/>
            <w:right w:w="0" w:type="dxa"/>
          </w:tblCellMar>
        </w:tblPrEx>
        <w:trPr>
          <w:trHeight w:val="67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r>
      <w:tr>
        <w:tblPrEx>
          <w:tblCellMar>
            <w:top w:w="0" w:type="dxa"/>
            <w:left w:w="0" w:type="dxa"/>
            <w:bottom w:w="0" w:type="dxa"/>
            <w:right w:w="0" w:type="dxa"/>
          </w:tblCellMar>
        </w:tblPrEx>
        <w:trPr>
          <w:trHeight w:val="48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5" w:hRule="atLeast"/>
        </w:trPr>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绥宁县</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1335</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522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810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690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r>
    </w:tbl>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333333"/>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eastAsia="黑体"/>
          <w:sz w:val="30"/>
          <w:szCs w:val="30"/>
          <w:lang w:val="en-US" w:eastAsia="zh-CN"/>
        </w:rPr>
      </w:pPr>
      <w:r>
        <w:rPr>
          <w:rFonts w:hint="eastAsia" w:eastAsia="黑体"/>
          <w:sz w:val="30"/>
          <w:szCs w:val="30"/>
          <w:lang w:val="en-US" w:eastAsia="zh-CN"/>
        </w:rPr>
        <w:t>十、名词解释</w:t>
      </w: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一般公共预算：是对以税收为主体的财政收入，安排用于保障和改善民生、推动经济社会发展、维护国家安全、维持国家机构正常运转等方面的收支预算，即通常所指的地方财政收入（公共财政预算收入）和地方财政支出（公共财政预算支出）概念。</w:t>
      </w: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3、社会保险基金预算：是对社会保险缴款、一般公共预算安排和其他方式筹集的资金，专项用于社会保险的收支预算。社会保险基金预算应当按照统筹层次和社会保险项目分别编制，做到收支平衡。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numPr>
          <w:ilvl w:val="0"/>
          <w:numId w:val="0"/>
        </w:numPr>
        <w:kinsoku/>
        <w:wordWrap/>
        <w:overflowPunct/>
        <w:topLinePunct w:val="0"/>
        <w:autoSpaceDE/>
        <w:autoSpaceDN/>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4、国有资本经营预算是政府以所有者身份依法取得国有资本收益，并对所得收益进行分配而发生的各项收支预算，是政府预算的重要组成部分。</w:t>
      </w: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333333"/>
          <w:sz w:val="32"/>
          <w:szCs w:val="32"/>
          <w:shd w:val="clear" w:color="auto" w:fill="FFFFFF"/>
          <w:lang w:val="en-US" w:eastAsia="zh-CN"/>
        </w:rPr>
      </w:pPr>
    </w:p>
    <w:p>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Times New Roman"/>
          <w:color w:val="333333"/>
          <w:sz w:val="32"/>
          <w:szCs w:val="32"/>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EF8B8"/>
    <w:multiLevelType w:val="singleLevel"/>
    <w:tmpl w:val="56BEF8B8"/>
    <w:lvl w:ilvl="0" w:tentative="0">
      <w:start w:val="8"/>
      <w:numFmt w:val="chineseCounting"/>
      <w:suff w:val="nothing"/>
      <w:lvlText w:val="%1、"/>
      <w:lvlJc w:val="left"/>
      <w:rPr>
        <w:rFonts w:hint="eastAsia"/>
      </w:rPr>
    </w:lvl>
  </w:abstractNum>
  <w:abstractNum w:abstractNumId="1">
    <w:nsid w:val="65E19F13"/>
    <w:multiLevelType w:val="singleLevel"/>
    <w:tmpl w:val="65E19F1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B6AE1"/>
    <w:rsid w:val="00015CD9"/>
    <w:rsid w:val="000557EB"/>
    <w:rsid w:val="00070AE5"/>
    <w:rsid w:val="00093D7A"/>
    <w:rsid w:val="000A1A30"/>
    <w:rsid w:val="000B6AE1"/>
    <w:rsid w:val="000D4BD7"/>
    <w:rsid w:val="000F7E78"/>
    <w:rsid w:val="00100C5C"/>
    <w:rsid w:val="00155121"/>
    <w:rsid w:val="00176204"/>
    <w:rsid w:val="001A0286"/>
    <w:rsid w:val="001C68F0"/>
    <w:rsid w:val="001D4771"/>
    <w:rsid w:val="001F273F"/>
    <w:rsid w:val="00203D10"/>
    <w:rsid w:val="0021061B"/>
    <w:rsid w:val="00216247"/>
    <w:rsid w:val="002E1DEC"/>
    <w:rsid w:val="002E267D"/>
    <w:rsid w:val="002F2CE5"/>
    <w:rsid w:val="003175C7"/>
    <w:rsid w:val="0035079C"/>
    <w:rsid w:val="00351616"/>
    <w:rsid w:val="00355CE0"/>
    <w:rsid w:val="0035791F"/>
    <w:rsid w:val="003659B7"/>
    <w:rsid w:val="00382858"/>
    <w:rsid w:val="003A3FC8"/>
    <w:rsid w:val="003B5D1D"/>
    <w:rsid w:val="003C4369"/>
    <w:rsid w:val="00443FA5"/>
    <w:rsid w:val="004462AC"/>
    <w:rsid w:val="00446714"/>
    <w:rsid w:val="00447E96"/>
    <w:rsid w:val="00452FBE"/>
    <w:rsid w:val="004A5428"/>
    <w:rsid w:val="004B21D0"/>
    <w:rsid w:val="004B403D"/>
    <w:rsid w:val="004B4C07"/>
    <w:rsid w:val="004B62D2"/>
    <w:rsid w:val="004C4EFA"/>
    <w:rsid w:val="004C619C"/>
    <w:rsid w:val="004F0050"/>
    <w:rsid w:val="0050636A"/>
    <w:rsid w:val="00511BC0"/>
    <w:rsid w:val="005263DE"/>
    <w:rsid w:val="00560BE9"/>
    <w:rsid w:val="005926BE"/>
    <w:rsid w:val="005F022A"/>
    <w:rsid w:val="00611600"/>
    <w:rsid w:val="00621496"/>
    <w:rsid w:val="00631336"/>
    <w:rsid w:val="00635833"/>
    <w:rsid w:val="006651BB"/>
    <w:rsid w:val="00681BF9"/>
    <w:rsid w:val="006A3D3E"/>
    <w:rsid w:val="007422FC"/>
    <w:rsid w:val="0076337D"/>
    <w:rsid w:val="00787EE1"/>
    <w:rsid w:val="007929C0"/>
    <w:rsid w:val="007C10C5"/>
    <w:rsid w:val="00837699"/>
    <w:rsid w:val="00850492"/>
    <w:rsid w:val="00896E93"/>
    <w:rsid w:val="008A41A6"/>
    <w:rsid w:val="008A5F48"/>
    <w:rsid w:val="008B683D"/>
    <w:rsid w:val="008E16D0"/>
    <w:rsid w:val="008F3686"/>
    <w:rsid w:val="00925293"/>
    <w:rsid w:val="00954F24"/>
    <w:rsid w:val="009553BB"/>
    <w:rsid w:val="00963776"/>
    <w:rsid w:val="009962EF"/>
    <w:rsid w:val="009A6349"/>
    <w:rsid w:val="00A14862"/>
    <w:rsid w:val="00A32BC1"/>
    <w:rsid w:val="00A376A1"/>
    <w:rsid w:val="00A6327A"/>
    <w:rsid w:val="00A958EF"/>
    <w:rsid w:val="00AA012D"/>
    <w:rsid w:val="00AF23FF"/>
    <w:rsid w:val="00C012CE"/>
    <w:rsid w:val="00C05C96"/>
    <w:rsid w:val="00C17130"/>
    <w:rsid w:val="00C30CD7"/>
    <w:rsid w:val="00C35D3E"/>
    <w:rsid w:val="00C45E36"/>
    <w:rsid w:val="00C53849"/>
    <w:rsid w:val="00C809CB"/>
    <w:rsid w:val="00CA324F"/>
    <w:rsid w:val="00D01ACA"/>
    <w:rsid w:val="00D1072F"/>
    <w:rsid w:val="00D46030"/>
    <w:rsid w:val="00DB6E6F"/>
    <w:rsid w:val="00DC7C04"/>
    <w:rsid w:val="00E23C25"/>
    <w:rsid w:val="00E26879"/>
    <w:rsid w:val="00E36C70"/>
    <w:rsid w:val="00E460F8"/>
    <w:rsid w:val="00E543E2"/>
    <w:rsid w:val="00EA0CD7"/>
    <w:rsid w:val="00EE1954"/>
    <w:rsid w:val="00EE2F2B"/>
    <w:rsid w:val="00EE7B7E"/>
    <w:rsid w:val="00F20035"/>
    <w:rsid w:val="00F2588F"/>
    <w:rsid w:val="00F4417A"/>
    <w:rsid w:val="00F501D7"/>
    <w:rsid w:val="00F85B3E"/>
    <w:rsid w:val="00F86DC9"/>
    <w:rsid w:val="00F958DD"/>
    <w:rsid w:val="01415262"/>
    <w:rsid w:val="01B956B2"/>
    <w:rsid w:val="07671159"/>
    <w:rsid w:val="10F6799C"/>
    <w:rsid w:val="174F6F43"/>
    <w:rsid w:val="189E1E19"/>
    <w:rsid w:val="193B69D2"/>
    <w:rsid w:val="195E6FCA"/>
    <w:rsid w:val="1C0B0DF4"/>
    <w:rsid w:val="1C900A0B"/>
    <w:rsid w:val="1FAE79D2"/>
    <w:rsid w:val="22BE4A62"/>
    <w:rsid w:val="22F734EE"/>
    <w:rsid w:val="23E96B96"/>
    <w:rsid w:val="2BD50B46"/>
    <w:rsid w:val="37F37C9C"/>
    <w:rsid w:val="37FC1210"/>
    <w:rsid w:val="38721508"/>
    <w:rsid w:val="3D251467"/>
    <w:rsid w:val="474E07F6"/>
    <w:rsid w:val="47F75C42"/>
    <w:rsid w:val="4B105DBC"/>
    <w:rsid w:val="4BD85EAE"/>
    <w:rsid w:val="4D63491B"/>
    <w:rsid w:val="58E24DCC"/>
    <w:rsid w:val="5C563555"/>
    <w:rsid w:val="5EA031AD"/>
    <w:rsid w:val="602C6BE7"/>
    <w:rsid w:val="626B75C6"/>
    <w:rsid w:val="628E10F7"/>
    <w:rsid w:val="6454492A"/>
    <w:rsid w:val="69907033"/>
    <w:rsid w:val="72D5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92E7-EC31-48EA-A162-E5C8DDE5CD2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3483</Words>
  <Characters>3772</Characters>
  <Lines>4</Lines>
  <Paragraphs>7</Paragraphs>
  <TotalTime>25</TotalTime>
  <ScaleCrop>false</ScaleCrop>
  <LinksUpToDate>false</LinksUpToDate>
  <CharactersWithSpaces>3780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2020-02-03T07:22:00Z</dcterms:created>
  <dc:creator>陈杰 null</dc:creator>
  <cp:lastModifiedBy>吴荣荣</cp:lastModifiedBy>
  <cp:lastPrinted>2021-02-08T01:57:00Z</cp:lastPrinted>
  <dcterms:modified xsi:type="dcterms:W3CDTF">2023-03-30T07:59:18Z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135B4F8CB87D439C96BE533FF488017D</vt:lpwstr>
  </property>
</Properties>
</file>