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DD153">
      <w:pPr>
        <w:pStyle w:val="2"/>
        <w:keepNext w:val="0"/>
        <w:keepLines w:val="0"/>
        <w:pageBreakBefore w:val="0"/>
        <w:widowControl w:val="0"/>
        <w:kinsoku/>
        <w:wordWrap/>
        <w:overflowPunct/>
        <w:topLinePunct w:val="0"/>
        <w:autoSpaceDE/>
        <w:autoSpaceDN/>
        <w:bidi w:val="0"/>
        <w:ind w:left="0" w:leftChars="0" w:right="0" w:righ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14:paraId="51674454">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E0F4EC4">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CF291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宋体" w:eastAsia="仿宋_GB2312"/>
          <w:color w:val="000000" w:themeColor="text1"/>
          <w:sz w:val="32"/>
          <w:szCs w:val="32"/>
          <w14:textFill>
            <w14:solidFill>
              <w14:schemeClr w14:val="tx1"/>
            </w14:solidFill>
          </w14:textFill>
        </w:rPr>
      </w:pPr>
    </w:p>
    <w:p w14:paraId="6BBFDEE6">
      <w:pPr>
        <w:pStyle w:val="20"/>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000000" w:themeColor="text1"/>
          <w:sz w:val="32"/>
          <w:szCs w:val="32"/>
          <w14:textFill>
            <w14:solidFill>
              <w14:schemeClr w14:val="tx1"/>
            </w14:solidFill>
          </w14:textFill>
        </w:rPr>
      </w:pPr>
    </w:p>
    <w:p w14:paraId="23C0A821">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仿宋_GB2312" w:hAnsi="宋体" w:eastAsia="仿宋_GB2312"/>
          <w:color w:val="000000" w:themeColor="text1"/>
          <w:sz w:val="32"/>
          <w:szCs w:val="32"/>
          <w14:textFill>
            <w14:solidFill>
              <w14:schemeClr w14:val="tx1"/>
            </w14:solidFill>
          </w14:textFill>
        </w:rPr>
      </w:pPr>
    </w:p>
    <w:p w14:paraId="69C5D7BF">
      <w:pPr>
        <w:pStyle w:val="20"/>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Fonts w:hint="eastAsia" w:ascii="仿宋_GB2312" w:hAnsi="宋体" w:eastAsia="仿宋_GB2312"/>
          <w:color w:val="000000" w:themeColor="text1"/>
          <w:sz w:val="32"/>
          <w:szCs w:val="32"/>
          <w14:textFill>
            <w14:solidFill>
              <w14:schemeClr w14:val="tx1"/>
            </w14:solidFill>
          </w14:textFill>
        </w:rPr>
      </w:pPr>
    </w:p>
    <w:p w14:paraId="37DC35FA">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仿宋_GB2312" w:hAnsi="宋体" w:eastAsia="仿宋_GB2312"/>
          <w:color w:val="000000" w:themeColor="text1"/>
          <w:sz w:val="32"/>
          <w:szCs w:val="32"/>
          <w14:textFill>
            <w14:solidFill>
              <w14:schemeClr w14:val="tx1"/>
            </w14:solidFill>
          </w14:textFill>
        </w:rPr>
      </w:pPr>
    </w:p>
    <w:p w14:paraId="05F3430A">
      <w:pPr>
        <w:keepNext w:val="0"/>
        <w:keepLines w:val="0"/>
        <w:pageBreakBefore w:val="0"/>
        <w:widowControl w:val="0"/>
        <w:kinsoku/>
        <w:wordWrap/>
        <w:overflowPunct/>
        <w:topLinePunct w:val="0"/>
        <w:autoSpaceDE/>
        <w:autoSpaceDN/>
        <w:bidi w:val="0"/>
        <w:adjustRightInd/>
        <w:spacing w:line="60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绥政办</w:t>
      </w:r>
      <w:r>
        <w:rPr>
          <w:rFonts w:hint="eastAsia" w:ascii="仿宋_GB2312" w:hAnsi="仿宋_GB2312" w:eastAsia="仿宋_GB2312" w:cs="仿宋_GB2312"/>
          <w:color w:val="000000" w:themeColor="text1"/>
          <w:sz w:val="32"/>
          <w:szCs w:val="32"/>
          <w14:textFill>
            <w14:solidFill>
              <w14:schemeClr w14:val="tx1"/>
            </w14:solidFill>
          </w14:textFill>
        </w:rPr>
        <w:t>发〔20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号</w:t>
      </w:r>
    </w:p>
    <w:p w14:paraId="3333F3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p>
    <w:p w14:paraId="3A473A01">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绥宁县</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人民政府办公室</w:t>
      </w:r>
    </w:p>
    <w:p w14:paraId="70DD36E7">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关于印发《</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绥宁县</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打好“发展六仗”</w:t>
      </w:r>
    </w:p>
    <w:p w14:paraId="5F322681">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总体方案》的通知</w:t>
      </w:r>
    </w:p>
    <w:p w14:paraId="7FE468A5">
      <w:pPr>
        <w:keepNext w:val="0"/>
        <w:keepLines w:val="0"/>
        <w:pageBreakBefore w:val="0"/>
        <w:widowControl w:val="0"/>
        <w:suppressLineNumbers w:val="0"/>
        <w:kinsoku/>
        <w:wordWrap/>
        <w:overflowPunct/>
        <w:topLinePunct w:val="0"/>
        <w:autoSpaceDE/>
        <w:autoSpaceDN/>
        <w:bidi w:val="0"/>
        <w:adjustRightInd/>
        <w:snapToGrid/>
        <w:ind w:left="0" w:leftChars="0" w:firstLine="623" w:firstLineChars="145"/>
        <w:jc w:val="left"/>
        <w:textAlignment w:val="auto"/>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pPr>
    </w:p>
    <w:p w14:paraId="6F460E4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 xml:space="preserve">各乡镇人民政府，市属、县直有关单位： </w:t>
      </w:r>
    </w:p>
    <w:p w14:paraId="329D7D89">
      <w:pPr>
        <w:keepNext w:val="0"/>
        <w:keepLines w:val="0"/>
        <w:pageBreakBefore w:val="0"/>
        <w:widowControl w:val="0"/>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《绥宁县打好“发展六仗”总体方案》已经县人民政府同意，现印发给你们，请认真抓好组织实施。</w:t>
      </w:r>
    </w:p>
    <w:p w14:paraId="4595A4A8">
      <w:pPr>
        <w:keepNext w:val="0"/>
        <w:keepLines w:val="0"/>
        <w:pageBreakBefore w:val="0"/>
        <w:widowControl w:val="0"/>
        <w:suppressLineNumbers w:val="0"/>
        <w:kinsoku/>
        <w:wordWrap/>
        <w:overflowPunct/>
        <w:topLinePunct w:val="0"/>
        <w:autoSpaceDE/>
        <w:autoSpaceDN/>
        <w:bidi w:val="0"/>
        <w:adjustRightInd/>
        <w:snapToGrid/>
        <w:ind w:left="0" w:leftChars="0" w:firstLine="449" w:firstLineChars="145"/>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p>
    <w:p w14:paraId="003F5B47">
      <w:pPr>
        <w:keepNext w:val="0"/>
        <w:keepLines w:val="0"/>
        <w:pageBreakBefore w:val="0"/>
        <w:widowControl w:val="0"/>
        <w:suppressLineNumbers w:val="0"/>
        <w:kinsoku/>
        <w:wordWrap/>
        <w:overflowPunct/>
        <w:topLinePunct w:val="0"/>
        <w:autoSpaceDE/>
        <w:autoSpaceDN/>
        <w:bidi w:val="0"/>
        <w:adjustRightInd/>
        <w:snapToGrid/>
        <w:ind w:left="0" w:leftChars="0" w:firstLine="449" w:firstLineChars="145"/>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p>
    <w:p w14:paraId="2CEF4534">
      <w:pPr>
        <w:keepNext w:val="0"/>
        <w:keepLines w:val="0"/>
        <w:pageBreakBefore w:val="0"/>
        <w:widowControl w:val="0"/>
        <w:suppressLineNumbers w:val="0"/>
        <w:kinsoku/>
        <w:wordWrap/>
        <w:overflowPunct/>
        <w:topLinePunct w:val="0"/>
        <w:autoSpaceDE/>
        <w:autoSpaceDN/>
        <w:bidi w:val="0"/>
        <w:adjustRightInd/>
        <w:snapToGrid/>
        <w:ind w:left="0" w:leftChars="0" w:firstLine="449" w:firstLineChars="145"/>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 xml:space="preserve">                          绥宁县人民政府办公室</w:t>
      </w:r>
    </w:p>
    <w:p w14:paraId="498CF679">
      <w:pPr>
        <w:keepNext w:val="0"/>
        <w:keepLines w:val="0"/>
        <w:pageBreakBefore w:val="0"/>
        <w:widowControl w:val="0"/>
        <w:suppressLineNumbers w:val="0"/>
        <w:kinsoku/>
        <w:wordWrap/>
        <w:overflowPunct/>
        <w:topLinePunct w:val="0"/>
        <w:autoSpaceDE/>
        <w:autoSpaceDN/>
        <w:bidi w:val="0"/>
        <w:adjustRightInd/>
        <w:snapToGrid/>
        <w:ind w:left="0" w:leftChars="0" w:firstLine="449" w:firstLineChars="145"/>
        <w:jc w:val="left"/>
        <w:textAlignment w:val="auto"/>
        <w:rPr>
          <w:rFonts w:hint="eastAsia" w:ascii="仿宋" w:hAnsi="仿宋" w:eastAsia="仿宋" w:cs="仿宋"/>
          <w:color w:val="000000" w:themeColor="text1"/>
          <w:kern w:val="0"/>
          <w:sz w:val="31"/>
          <w:szCs w:val="31"/>
          <w:lang w:val="en-US" w:eastAsia="zh-CN" w:bidi="ar"/>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 xml:space="preserve">                             2023年3月29日</w:t>
      </w:r>
    </w:p>
    <w:p w14:paraId="370EE49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pPr>
    </w:p>
    <w:p w14:paraId="5B81A7F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绥宁县</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打好“发展六仗”总体方案</w:t>
      </w:r>
    </w:p>
    <w:p w14:paraId="7379A1A6">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ascii="方正小标宋简体" w:hAnsi="方正小标宋简体" w:eastAsia="方正小标宋简体" w:cs="方正小标宋简体"/>
          <w:color w:val="000000" w:themeColor="text1"/>
          <w:kern w:val="0"/>
          <w:sz w:val="32"/>
          <w:szCs w:val="32"/>
          <w:lang w:val="en-US" w:eastAsia="zh-CN" w:bidi="ar"/>
          <w14:textFill>
            <w14:solidFill>
              <w14:schemeClr w14:val="tx1"/>
            </w14:solidFill>
          </w14:textFill>
        </w:rPr>
      </w:pPr>
    </w:p>
    <w:p w14:paraId="1A97A18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为贯彻党的二十大精神和中央、省委、市委、县委经济工作会议精神，落实省委、省政府、市委、市政府打好“发展六仗”决策部署，锚定经济社会高质量发展关键点，推动经济运行整体好转，结合我县实际，特制定本方案。 </w:t>
      </w:r>
    </w:p>
    <w:p w14:paraId="141C54F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color w:val="000000" w:themeColor="text1"/>
          <w:sz w:val="32"/>
          <w:szCs w:val="32"/>
          <w14:textFill>
            <w14:solidFill>
              <w14:schemeClr w14:val="tx1"/>
            </w14:solidFill>
          </w14:textFill>
        </w:rPr>
      </w:pPr>
      <w:r>
        <w:rPr>
          <w:rFonts w:ascii="黑体" w:hAnsi="宋体" w:eastAsia="黑体" w:cs="黑体"/>
          <w:color w:val="000000" w:themeColor="text1"/>
          <w:kern w:val="0"/>
          <w:sz w:val="32"/>
          <w:szCs w:val="32"/>
          <w:lang w:val="en-US" w:eastAsia="zh-CN" w:bidi="ar"/>
          <w14:textFill>
            <w14:solidFill>
              <w14:schemeClr w14:val="tx1"/>
            </w14:solidFill>
          </w14:textFill>
        </w:rPr>
        <w:t xml:space="preserve">一、指导思想 </w:t>
      </w:r>
    </w:p>
    <w:p w14:paraId="6EB3B52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以习近平新时代中国特色社会主义思想为指导，全面贯彻党的二十大精神和中央、省委、市委、县委经济工作会议精神，深入落实习近平总书记对湖南重要讲话重要指示批示精神，坚持稳中求进工作总基调，完整、准确、全面贯彻新发展理念，服务和融入新发展格局，坚持以供给侧结构性改革为主线，坚持创新驱动发展，坚持高质量发展，更好统筹疫情防控和经济社会发展，更好统筹发展和安全，突出做好稳增长、稳就业、稳物价工作，实现质的有效提升和量的合理增长，全面落实“三高四新”战略定位和使命任务，为全面建设社会主义现代化新绥宁开好局起好步。 </w:t>
      </w:r>
    </w:p>
    <w:p w14:paraId="4E135D1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二、主要目标 </w:t>
      </w:r>
    </w:p>
    <w:p w14:paraId="161E76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（一）经济运行稳中提质。</w:t>
      </w:r>
      <w:r>
        <w:rPr>
          <w:rFonts w:hint="eastAsia" w:ascii="仿宋" w:hAnsi="仿宋" w:eastAsia="仿宋" w:cs="仿宋"/>
          <w:color w:val="000000" w:themeColor="text1"/>
          <w:sz w:val="32"/>
          <w:szCs w:val="32"/>
          <w14:textFill>
            <w14:solidFill>
              <w14:schemeClr w14:val="tx1"/>
            </w14:solidFill>
          </w14:textFill>
        </w:rPr>
        <w:t>地区生产总值增长8%左右，社会消费品零售总额增长</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%，固定资产投资增长10%以上，进出口总额增长30%</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14:textFill>
            <w14:solidFill>
              <w14:schemeClr w14:val="tx1"/>
            </w14:solidFill>
          </w14:textFill>
        </w:rPr>
        <w:t>一产业增长</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%，规模工业增加值增长8%，服务业增加值增长10%。产业园区亩均税收增长</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%，地方一般公共预算收入增长</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%以上。</w:t>
      </w:r>
    </w:p>
    <w:p w14:paraId="5F061E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（二）创新能力稳步增强。</w:t>
      </w:r>
      <w:r>
        <w:rPr>
          <w:rFonts w:hint="eastAsia" w:ascii="仿宋" w:hAnsi="仿宋" w:eastAsia="仿宋" w:cs="仿宋"/>
          <w:color w:val="000000" w:themeColor="text1"/>
          <w:spacing w:val="-6"/>
          <w:sz w:val="31"/>
          <w:lang w:eastAsia="zh-CN"/>
          <w14:textFill>
            <w14:solidFill>
              <w14:schemeClr w14:val="tx1"/>
            </w14:solidFill>
          </w14:textFill>
        </w:rPr>
        <w:t>聚焦县域内特色产业楠竹、杂交水稻、油茶、养猪、光伏发电、生态绿色食品等产业领域，攻克一批关键</w:t>
      </w:r>
      <w:r>
        <w:rPr>
          <w:rFonts w:hint="eastAsia" w:ascii="仿宋" w:hAnsi="仿宋" w:eastAsia="仿宋" w:cs="仿宋"/>
          <w:color w:val="000000" w:themeColor="text1"/>
          <w:spacing w:val="-6"/>
          <w:sz w:val="31"/>
          <w14:textFill>
            <w14:solidFill>
              <w14:schemeClr w14:val="tx1"/>
            </w14:solidFill>
          </w14:textFill>
        </w:rPr>
        <w:t>核心技术，</w:t>
      </w:r>
      <w:r>
        <w:rPr>
          <w:rFonts w:hint="eastAsia" w:ascii="仿宋" w:hAnsi="仿宋" w:eastAsia="仿宋" w:cs="仿宋"/>
          <w:color w:val="000000" w:themeColor="text1"/>
          <w:spacing w:val="-6"/>
          <w:sz w:val="31"/>
          <w:lang w:eastAsia="zh-CN"/>
          <w14:textFill>
            <w14:solidFill>
              <w14:schemeClr w14:val="tx1"/>
            </w14:solidFill>
          </w14:textFill>
        </w:rPr>
        <w:t>转化一批科研成果，塑造高质量发展新动能新优势。</w:t>
      </w:r>
      <w:r>
        <w:rPr>
          <w:rFonts w:hint="eastAsia" w:ascii="仿宋" w:hAnsi="仿宋" w:eastAsia="仿宋" w:cs="仿宋"/>
          <w:color w:val="000000" w:themeColor="text1"/>
          <w:spacing w:val="-6"/>
          <w:sz w:val="31"/>
          <w:lang w:val="en-US" w:eastAsia="zh-CN"/>
          <w14:textFill>
            <w14:solidFill>
              <w14:schemeClr w14:val="tx1"/>
            </w14:solidFill>
          </w14:textFill>
        </w:rPr>
        <w:t>全县净增高新技术企业4家以上，</w:t>
      </w:r>
      <w:r>
        <w:rPr>
          <w:rFonts w:hint="eastAsia" w:ascii="仿宋" w:hAnsi="仿宋" w:eastAsia="仿宋" w:cs="仿宋"/>
          <w:color w:val="000000" w:themeColor="text1"/>
          <w:spacing w:val="-6"/>
          <w:sz w:val="31"/>
          <w14:textFill>
            <w14:solidFill>
              <w14:schemeClr w14:val="tx1"/>
            </w14:solidFill>
          </w14:textFill>
        </w:rPr>
        <w:t>全社会研发经费投入增长1</w:t>
      </w:r>
      <w:r>
        <w:rPr>
          <w:rFonts w:hint="eastAsia" w:ascii="仿宋" w:hAnsi="仿宋" w:eastAsia="仿宋" w:cs="仿宋"/>
          <w:color w:val="000000" w:themeColor="text1"/>
          <w:spacing w:val="-6"/>
          <w:sz w:val="31"/>
          <w:lang w:val="en-US" w:eastAsia="zh-CN"/>
          <w14:textFill>
            <w14:solidFill>
              <w14:schemeClr w14:val="tx1"/>
            </w14:solidFill>
          </w14:textFill>
        </w:rPr>
        <w:t>5</w:t>
      </w:r>
      <w:r>
        <w:rPr>
          <w:rFonts w:hint="eastAsia" w:ascii="仿宋" w:hAnsi="仿宋" w:eastAsia="仿宋" w:cs="仿宋"/>
          <w:color w:val="000000" w:themeColor="text1"/>
          <w:spacing w:val="-6"/>
          <w:sz w:val="31"/>
          <w14:textFill>
            <w14:solidFill>
              <w14:schemeClr w14:val="tx1"/>
            </w14:solidFill>
          </w14:textFill>
        </w:rPr>
        <w:t>%，新增</w:t>
      </w:r>
      <w:r>
        <w:rPr>
          <w:rFonts w:hint="eastAsia" w:ascii="仿宋" w:hAnsi="仿宋" w:eastAsia="仿宋" w:cs="仿宋"/>
          <w:color w:val="000000" w:themeColor="text1"/>
          <w:spacing w:val="-6"/>
          <w:sz w:val="31"/>
          <w:lang w:eastAsia="zh-CN"/>
          <w14:textFill>
            <w14:solidFill>
              <w14:schemeClr w14:val="tx1"/>
            </w14:solidFill>
          </w14:textFill>
        </w:rPr>
        <w:t>有效</w:t>
      </w:r>
      <w:r>
        <w:rPr>
          <w:rFonts w:hint="eastAsia" w:ascii="仿宋" w:hAnsi="仿宋" w:eastAsia="仿宋" w:cs="仿宋"/>
          <w:color w:val="000000" w:themeColor="text1"/>
          <w:spacing w:val="-6"/>
          <w:sz w:val="31"/>
          <w14:textFill>
            <w14:solidFill>
              <w14:schemeClr w14:val="tx1"/>
            </w14:solidFill>
          </w14:textFill>
        </w:rPr>
        <w:t>发明专利</w:t>
      </w:r>
      <w:r>
        <w:rPr>
          <w:rFonts w:hint="eastAsia" w:ascii="仿宋" w:hAnsi="仿宋" w:eastAsia="仿宋" w:cs="仿宋"/>
          <w:color w:val="000000" w:themeColor="text1"/>
          <w:spacing w:val="-6"/>
          <w:sz w:val="31"/>
          <w:lang w:val="en-US" w:eastAsia="zh-CN"/>
          <w14:textFill>
            <w14:solidFill>
              <w14:schemeClr w14:val="tx1"/>
            </w14:solidFill>
          </w14:textFill>
        </w:rPr>
        <w:t>3</w:t>
      </w:r>
      <w:r>
        <w:rPr>
          <w:rFonts w:hint="eastAsia" w:ascii="仿宋" w:hAnsi="仿宋" w:eastAsia="仿宋" w:cs="仿宋"/>
          <w:color w:val="000000" w:themeColor="text1"/>
          <w:spacing w:val="-6"/>
          <w:sz w:val="31"/>
          <w14:textFill>
            <w14:solidFill>
              <w14:schemeClr w14:val="tx1"/>
            </w14:solidFill>
          </w14:textFill>
        </w:rPr>
        <w:t>件</w:t>
      </w:r>
      <w:r>
        <w:rPr>
          <w:rFonts w:hint="eastAsia" w:ascii="仿宋" w:hAnsi="仿宋" w:eastAsia="仿宋" w:cs="仿宋"/>
          <w:color w:val="000000" w:themeColor="text1"/>
          <w:spacing w:val="-6"/>
          <w:sz w:val="31"/>
          <w:lang w:eastAsia="zh-CN"/>
          <w14:textFill>
            <w14:solidFill>
              <w14:schemeClr w14:val="tx1"/>
            </w14:solidFill>
          </w14:textFill>
        </w:rPr>
        <w:t>以上</w:t>
      </w:r>
      <w:r>
        <w:rPr>
          <w:rFonts w:hint="eastAsia" w:ascii="仿宋" w:hAnsi="仿宋" w:eastAsia="仿宋" w:cs="仿宋"/>
          <w:color w:val="000000" w:themeColor="text1"/>
          <w:spacing w:val="-6"/>
          <w:sz w:val="31"/>
          <w14:textFill>
            <w14:solidFill>
              <w14:schemeClr w14:val="tx1"/>
            </w14:solidFill>
          </w14:textFill>
        </w:rPr>
        <w:t>，技术合同交易成交额增长15%以上，高新技术产业增加值增长</w:t>
      </w:r>
      <w:r>
        <w:rPr>
          <w:rFonts w:hint="eastAsia" w:ascii="仿宋" w:hAnsi="仿宋" w:eastAsia="仿宋" w:cs="仿宋"/>
          <w:color w:val="000000" w:themeColor="text1"/>
          <w:spacing w:val="-6"/>
          <w:sz w:val="31"/>
          <w:lang w:val="en-US" w:eastAsia="zh-CN"/>
          <w14:textFill>
            <w14:solidFill>
              <w14:schemeClr w14:val="tx1"/>
            </w14:solidFill>
          </w14:textFill>
        </w:rPr>
        <w:t>15</w:t>
      </w:r>
      <w:r>
        <w:rPr>
          <w:rFonts w:hint="eastAsia" w:ascii="仿宋" w:hAnsi="仿宋" w:eastAsia="仿宋" w:cs="仿宋"/>
          <w:color w:val="000000" w:themeColor="text1"/>
          <w:spacing w:val="-6"/>
          <w:sz w:val="31"/>
          <w14:textFill>
            <w14:solidFill>
              <w14:schemeClr w14:val="tx1"/>
            </w14:solidFill>
          </w14:textFill>
        </w:rPr>
        <w:t>%以上。</w:t>
      </w:r>
    </w:p>
    <w:p w14:paraId="13BB615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（三）发展环境更加优化。</w:t>
      </w:r>
      <w:r>
        <w:rPr>
          <w:rFonts w:hint="eastAsia" w:ascii="仿宋" w:hAnsi="仿宋" w:eastAsia="仿宋" w:cs="仿宋"/>
          <w:color w:val="000000" w:themeColor="text1"/>
          <w:sz w:val="32"/>
          <w:szCs w:val="32"/>
          <w:lang w:val="en-US" w:eastAsia="zh-CN"/>
          <w14:textFill>
            <w14:solidFill>
              <w14:schemeClr w14:val="tx1"/>
            </w14:solidFill>
          </w14:textFill>
        </w:rPr>
        <w:t>坚持问题导向、目标导向、结果导向，对标省对县营商环境评价指标体系，对标各类问题短板加大攻坚力度，聚焦激发创新活力与维护公平竞争两大核心诉求，深入落实“十个坚决”，纵深推进优化营商环境三年行动计划，确保在省对县营商环境评价排位进入全省35名以内，产业开发区评价排位进入全省49名以内，为全面落实“三高四新”战略定位和使命任务、奋力建设“美丽绥宁、活力绥宁、幸福绥宁”提供更好支持和保障</w:t>
      </w:r>
      <w:r>
        <w:rPr>
          <w:rFonts w:hint="eastAsia" w:ascii="仿宋" w:hAnsi="仿宋" w:eastAsia="仿宋" w:cs="仿宋"/>
          <w:color w:val="000000" w:themeColor="text1"/>
          <w:sz w:val="32"/>
          <w:szCs w:val="32"/>
          <w:u w:val="none"/>
          <w:lang w:val="en-US" w:eastAsia="zh-CN"/>
          <w14:textFill>
            <w14:solidFill>
              <w14:schemeClr w14:val="tx1"/>
            </w14:solidFill>
          </w14:textFill>
        </w:rPr>
        <w:t>。</w:t>
      </w:r>
    </w:p>
    <w:p w14:paraId="738E9E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（四）重大风险基本可控。</w:t>
      </w:r>
      <w:r>
        <w:rPr>
          <w:rFonts w:hint="eastAsia" w:ascii="仿宋" w:hAnsi="仿宋" w:eastAsia="仿宋" w:cs="仿宋"/>
          <w:color w:val="000000" w:themeColor="text1"/>
          <w:kern w:val="0"/>
          <w:sz w:val="32"/>
          <w:szCs w:val="32"/>
          <w:lang w:val="en-US" w:eastAsia="zh-CN" w:bidi="ar"/>
          <w14:textFill>
            <w14:solidFill>
              <w14:schemeClr w14:val="tx1"/>
            </w14:solidFill>
          </w14:textFill>
        </w:rPr>
        <w:t>持续加力防范化解政府债务风险，确保不发生区域性、系统性金融风险，保交楼、保民生、保稳定各项工作有序推进，疫情防控保健康、防重症更加有效，极端天气类风险妥善应对，确保社会大局稳定。</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p>
    <w:p w14:paraId="550BEF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（五）安全生产平稳有序。</w:t>
      </w:r>
      <w:r>
        <w:rPr>
          <w:rFonts w:hint="eastAsia" w:ascii="仿宋" w:hAnsi="仿宋" w:eastAsia="仿宋" w:cs="仿宋"/>
          <w:color w:val="000000" w:themeColor="text1"/>
          <w:sz w:val="32"/>
          <w:szCs w:val="32"/>
          <w:lang w:val="en-US" w:eastAsia="zh-CN"/>
          <w14:textFill>
            <w14:solidFill>
              <w14:schemeClr w14:val="tx1"/>
            </w14:solidFill>
          </w14:textFill>
        </w:rPr>
        <w:t>确保全县生产安全事故起数和死亡人数同比持续下降，下降幅度居全市前列。确保全县不发生较大及以上生产安全事故。不发生因自然灾害引发的人员伤亡。有效遏制一次死亡3人以上的非生产经营性安全事故。安全生产和消防工作进入全省、全市优秀行列。为邵阳市获得省人民政府真抓实干督查激励中防范遏制生产安全事故取得明显成效的地区项目奖励，完成我县安全生产各项任务。</w:t>
      </w:r>
    </w:p>
    <w:p w14:paraId="01A5E7B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（六）民生保障持续提升。</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持续增进民生福祉，兜牢基本民生底线，高质量完成好2023年省、市“十大重点民生实事”和重点民生监测项目，确保就业特别是重点群体就业稳定，城镇新增就业3200人，城镇调查失业率控制在5.5%以内，居民收入增长与经济增长基本同步，医疗、教育、养老、住房等重点领域保障能力和水平进一步提升，生态环境质量持续改善。 </w:t>
      </w:r>
    </w:p>
    <w:p w14:paraId="298CCFB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三、重点任务 </w:t>
      </w:r>
    </w:p>
    <w:p w14:paraId="0A344DA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（一）打好经济增长主动仗，推动经济运行整体好转。</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激发释放消费潜力。</w:t>
      </w:r>
      <w:r>
        <w:rPr>
          <w:rFonts w:hint="eastAsia" w:ascii="仿宋" w:hAnsi="仿宋" w:eastAsia="仿宋" w:cs="仿宋"/>
          <w:color w:val="000000" w:themeColor="text1"/>
          <w:kern w:val="0"/>
          <w:sz w:val="32"/>
          <w:szCs w:val="32"/>
          <w:lang w:val="en-US" w:eastAsia="zh-CN" w:bidi="ar"/>
          <w14:textFill>
            <w14:solidFill>
              <w14:schemeClr w14:val="tx1"/>
            </w14:solidFill>
          </w14:textFill>
        </w:rPr>
        <w:t>把恢复和扩大消费摆在优先位置。在政策引导、活动促进、环境吸引上持续发力，提升传统消费、发展服务消费、培育新型消费、优化消费环境，力争服务业对经济增长贡献率超过50%。</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着力扩大有效投资。</w:t>
      </w:r>
      <w:r>
        <w:rPr>
          <w:rFonts w:hint="eastAsia" w:ascii="仿宋" w:hAnsi="仿宋" w:eastAsia="仿宋" w:cs="仿宋"/>
          <w:color w:val="000000" w:themeColor="text1"/>
          <w:kern w:val="0"/>
          <w:sz w:val="32"/>
          <w:szCs w:val="32"/>
          <w:lang w:val="en-US" w:eastAsia="zh-CN" w:bidi="ar"/>
          <w14:textFill>
            <w14:solidFill>
              <w14:schemeClr w14:val="tx1"/>
            </w14:solidFill>
          </w14:textFill>
        </w:rPr>
        <w:t>紧跟国家投资政策动向，突出抓好产业项目和基础设施项目，系统布局一批支撑引领转型升级的新基建项目，加大农业农村领域投资，加快推进一批重大项目建设，铺排县重点项目74个以上、年度计划投资35亿元以上，更加有效撬动民间投资积极性。</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推进高水平对外开放。</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加快融入共建“一带一路”高质量发展，更大力度推动外贸稳规模、优结构，促进外资稳存量、扩增量。推动湘商回归，争取湘商回归新注册企业达10家，项目投资15亿元，落地外资标志性项目。</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培育壮大产业动能。</w:t>
      </w:r>
      <w:r>
        <w:rPr>
          <w:rFonts w:hint="eastAsia" w:ascii="仿宋" w:hAnsi="仿宋" w:eastAsia="仿宋" w:cs="仿宋"/>
          <w:color w:val="000000" w:themeColor="text1"/>
          <w:kern w:val="0"/>
          <w:sz w:val="32"/>
          <w:szCs w:val="32"/>
          <w:lang w:val="en-US" w:eastAsia="zh-CN" w:bidi="ar"/>
          <w14:textFill>
            <w14:solidFill>
              <w14:schemeClr w14:val="tx1"/>
            </w14:solidFill>
          </w14:textFill>
        </w:rPr>
        <w:t>继续抓住企业、产业、产业链、产业生态“四个着力点”，培育壮大市场主体，加快新兴产业、优势产业发展，提高制造业核心竞争力，加快产业融合步伐，狠抓“五好”园区建设，提升现代服务业发展水平，保障产业链供应链安全。</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增强区域发展动能。</w:t>
      </w:r>
      <w:r>
        <w:rPr>
          <w:rFonts w:hint="eastAsia" w:ascii="仿宋" w:hAnsi="仿宋" w:eastAsia="仿宋" w:cs="仿宋"/>
          <w:color w:val="000000" w:themeColor="text1"/>
          <w:kern w:val="0"/>
          <w:sz w:val="32"/>
          <w:szCs w:val="32"/>
          <w:lang w:val="en-US" w:eastAsia="zh-CN" w:bidi="ar"/>
          <w14:textFill>
            <w14:solidFill>
              <w14:schemeClr w14:val="tx1"/>
            </w14:solidFill>
          </w14:textFill>
        </w:rPr>
        <w:t>立足区域资源禀赋和产业基础，加快推进强城区战略，着力推进区域特色发展、协调发展，加快新型城镇化建设，推动县域经济高质量发展。</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强化发展要素保障。</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着力推进制度改革，强化资金、土地、能源、数据、人才等基础要素保障，有效降低企业成本，持续加大招商引资，畅通内外循环。 </w:t>
      </w:r>
    </w:p>
    <w:p w14:paraId="165ECF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 xml:space="preserve">（二）打好科技创新攻坚仗，推动创新发展能力持续增强。 </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加强关键核心技术攻坚。</w:t>
      </w:r>
      <w:r>
        <w:rPr>
          <w:rFonts w:hint="eastAsia" w:ascii="仿宋" w:hAnsi="仿宋" w:eastAsia="仿宋" w:cs="仿宋"/>
          <w:color w:val="000000" w:themeColor="text1"/>
          <w:spacing w:val="-6"/>
          <w:sz w:val="31"/>
          <w:lang w:eastAsia="zh-CN"/>
          <w14:textFill>
            <w14:solidFill>
              <w14:schemeClr w14:val="tx1"/>
            </w14:solidFill>
          </w14:textFill>
        </w:rPr>
        <w:t>坚持问题和需求导向，实施</w:t>
      </w:r>
      <w:r>
        <w:rPr>
          <w:rFonts w:hint="eastAsia" w:ascii="仿宋" w:hAnsi="仿宋" w:eastAsia="仿宋" w:cs="仿宋"/>
          <w:color w:val="000000" w:themeColor="text1"/>
          <w:spacing w:val="-6"/>
          <w:sz w:val="31"/>
          <w:lang w:val="en-US" w:eastAsia="zh-CN"/>
          <w14:textFill>
            <w14:solidFill>
              <w14:schemeClr w14:val="tx1"/>
            </w14:solidFill>
          </w14:textFill>
        </w:rPr>
        <w:t>2项左右科技重大专项和重点研发项目，力争突破关键技术2项以上，开发重大产品（工艺、品种）2个以上。</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加强创新成果转化攻坚。</w:t>
      </w:r>
      <w:r>
        <w:rPr>
          <w:rFonts w:hint="eastAsia" w:ascii="仿宋" w:hAnsi="仿宋" w:eastAsia="仿宋" w:cs="仿宋"/>
          <w:color w:val="000000" w:themeColor="text1"/>
          <w:spacing w:val="-6"/>
          <w:sz w:val="31"/>
          <w14:textFill>
            <w14:solidFill>
              <w14:schemeClr w14:val="tx1"/>
            </w14:solidFill>
          </w14:textFill>
        </w:rPr>
        <w:t>强化企业科技创新主体地位</w:t>
      </w:r>
      <w:r>
        <w:rPr>
          <w:rFonts w:hint="eastAsia" w:ascii="仿宋" w:hAnsi="仿宋" w:eastAsia="仿宋" w:cs="仿宋"/>
          <w:color w:val="000000" w:themeColor="text1"/>
          <w:spacing w:val="-6"/>
          <w:sz w:val="31"/>
          <w:lang w:eastAsia="zh-CN"/>
          <w14:textFill>
            <w14:solidFill>
              <w14:schemeClr w14:val="tx1"/>
            </w14:solidFill>
          </w14:textFill>
        </w:rPr>
        <w:t>，</w:t>
      </w:r>
      <w:r>
        <w:rPr>
          <w:rFonts w:hint="eastAsia" w:ascii="仿宋" w:hAnsi="仿宋" w:eastAsia="仿宋" w:cs="仿宋"/>
          <w:color w:val="000000" w:themeColor="text1"/>
          <w:spacing w:val="-6"/>
          <w:sz w:val="31"/>
          <w14:textFill>
            <w14:solidFill>
              <w14:schemeClr w14:val="tx1"/>
            </w14:solidFill>
          </w14:textFill>
        </w:rPr>
        <w:t>实行产业出题、科技答题、金融助力，推动“科技一产业一金融”良性循环，提高科技成果转化和产业化水平。</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加强创新平台建设攻坚。</w:t>
      </w:r>
      <w:r>
        <w:rPr>
          <w:rFonts w:hint="eastAsia" w:ascii="仿宋" w:hAnsi="仿宋" w:eastAsia="仿宋" w:cs="仿宋"/>
          <w:color w:val="000000" w:themeColor="text1"/>
          <w:spacing w:val="-6"/>
          <w:sz w:val="31"/>
          <w:lang w:eastAsia="zh-CN"/>
          <w14:textFill>
            <w14:solidFill>
              <w14:schemeClr w14:val="tx1"/>
            </w14:solidFill>
          </w14:textFill>
        </w:rPr>
        <w:t>聚焦高新技术产业、战略性新兴产业，加快科创功能平台联动发展，</w:t>
      </w:r>
      <w:r>
        <w:rPr>
          <w:rFonts w:hint="eastAsia" w:ascii="仿宋" w:hAnsi="仿宋" w:eastAsia="仿宋" w:cs="仿宋"/>
          <w:color w:val="000000" w:themeColor="text1"/>
          <w:spacing w:val="-6"/>
          <w:sz w:val="31"/>
          <w14:textFill>
            <w14:solidFill>
              <w14:schemeClr w14:val="tx1"/>
            </w14:solidFill>
          </w14:textFill>
        </w:rPr>
        <w:t>推动创新平台提质升级，打造</w:t>
      </w:r>
      <w:r>
        <w:rPr>
          <w:rFonts w:hint="eastAsia" w:ascii="仿宋" w:hAnsi="仿宋" w:eastAsia="仿宋" w:cs="仿宋"/>
          <w:color w:val="000000" w:themeColor="text1"/>
          <w:spacing w:val="-6"/>
          <w:sz w:val="31"/>
          <w:lang w:eastAsia="zh-CN"/>
          <w14:textFill>
            <w14:solidFill>
              <w14:schemeClr w14:val="tx1"/>
            </w14:solidFill>
          </w14:textFill>
        </w:rPr>
        <w:t>具有区域特色的科技创新平台</w:t>
      </w:r>
      <w:r>
        <w:rPr>
          <w:rFonts w:hint="eastAsia" w:ascii="仿宋" w:hAnsi="仿宋" w:eastAsia="仿宋" w:cs="仿宋"/>
          <w:color w:val="000000" w:themeColor="text1"/>
          <w:spacing w:val="-6"/>
          <w:sz w:val="31"/>
          <w14:textFill>
            <w14:solidFill>
              <w14:schemeClr w14:val="tx1"/>
            </w14:solidFill>
          </w14:textFill>
        </w:rPr>
        <w:t>。</w:t>
      </w:r>
      <w:r>
        <w:rPr>
          <w:rFonts w:hint="eastAsia" w:ascii="仿宋" w:hAnsi="仿宋" w:eastAsia="仿宋" w:cs="仿宋"/>
          <w:color w:val="000000" w:themeColor="text1"/>
          <w:spacing w:val="-6"/>
          <w:sz w:val="31"/>
          <w:lang w:val="en-US" w:eastAsia="zh-CN"/>
          <w14:textFill>
            <w14:solidFill>
              <w14:schemeClr w14:val="tx1"/>
            </w14:solidFill>
          </w14:textFill>
        </w:rPr>
        <w:t>持续建设企业研发平台。创建省级工程技术研究中心或重点实验室、企业技术中心、工业设计中心、企业研发中心1个以上，争取培育申报省级新型研发机构1家以上。</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加强创新人才队伍建设攻坚。</w:t>
      </w:r>
      <w:r>
        <w:rPr>
          <w:rFonts w:hint="eastAsia" w:ascii="仿宋" w:hAnsi="仿宋" w:eastAsia="仿宋" w:cs="仿宋"/>
          <w:color w:val="000000" w:themeColor="text1"/>
          <w:sz w:val="32"/>
          <w:szCs w:val="32"/>
          <w14:textFill>
            <w14:solidFill>
              <w14:schemeClr w14:val="tx1"/>
            </w14:solidFill>
          </w14:textFill>
        </w:rPr>
        <w:t>深入推进“绿洲人才</w:t>
      </w:r>
      <w:r>
        <w:rPr>
          <w:rFonts w:hint="eastAsia" w:ascii="仿宋" w:hAnsi="仿宋" w:eastAsia="仿宋" w:cs="仿宋"/>
          <w:color w:val="000000" w:themeColor="text1"/>
          <w:sz w:val="32"/>
          <w:szCs w:val="32"/>
          <w:lang w:eastAsia="zh-CN"/>
          <w14:textFill>
            <w14:solidFill>
              <w14:schemeClr w14:val="tx1"/>
            </w14:solidFill>
          </w14:textFill>
        </w:rPr>
        <w:t>行动</w:t>
      </w:r>
      <w:r>
        <w:rPr>
          <w:rFonts w:hint="eastAsia" w:ascii="仿宋" w:hAnsi="仿宋" w:eastAsia="仿宋" w:cs="仿宋"/>
          <w:color w:val="000000" w:themeColor="text1"/>
          <w:sz w:val="32"/>
          <w:szCs w:val="32"/>
          <w14:textFill>
            <w14:solidFill>
              <w14:schemeClr w14:val="tx1"/>
            </w14:solidFill>
          </w14:textFill>
        </w:rPr>
        <w:t>计划”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健全创新人才引进培育体系，优化人才服务水平,充分激发科研人才创新动力和活力。</w:t>
      </w:r>
    </w:p>
    <w:p w14:paraId="29F7506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（三）打好优化发展环境持久战，激发市场主体活力。</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深化重点领域改革。</w:t>
      </w:r>
      <w:r>
        <w:rPr>
          <w:rFonts w:hint="eastAsia" w:ascii="仿宋" w:hAnsi="仿宋" w:eastAsia="仿宋" w:cs="仿宋"/>
          <w:color w:val="000000" w:themeColor="text1"/>
          <w:kern w:val="0"/>
          <w:sz w:val="32"/>
          <w:szCs w:val="32"/>
          <w:lang w:val="en-US" w:eastAsia="zh-CN" w:bidi="ar"/>
          <w14:textFill>
            <w14:solidFill>
              <w14:schemeClr w14:val="tx1"/>
            </w14:solidFill>
          </w14:textFill>
        </w:rPr>
        <w:t>持续深化国资国企改革，推进要素市场化配置综合改革，抓好民营经济“六个一”工作，提升获得信贷水平，创新金融服务和产品，常态化开展“送政策、解难题、优服务”等纾困增效专项行动，持续减税降费，进一步降低市场主体制度性交易成本。</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优化政务服务。</w:t>
      </w:r>
      <w:r>
        <w:rPr>
          <w:rFonts w:hint="eastAsia" w:ascii="仿宋" w:hAnsi="仿宋" w:eastAsia="仿宋" w:cs="仿宋"/>
          <w:color w:val="000000" w:themeColor="text1"/>
          <w:kern w:val="0"/>
          <w:sz w:val="32"/>
          <w:szCs w:val="32"/>
          <w:lang w:val="en-US" w:eastAsia="zh-CN" w:bidi="ar"/>
          <w14:textFill>
            <w14:solidFill>
              <w14:schemeClr w14:val="tx1"/>
            </w14:solidFill>
          </w14:textFill>
        </w:rPr>
        <w:t>用好“湘易办”超级服务端，持续打造“一件事一次办”升级版，巩固扩大“跨省通办”事项范围，优化“专窗改综窗”改革，推进政务数据共享攻坚行动，打造工程项目审批制度改革3.0版，加强优化营商环境110平台建设，完成公共资源交易信息化平台“六统一”。</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强化法治保障。</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全面落实“三项制度”，推动人民法院与行政机关部门建立信息数据共享机制、行政应诉监督机制、共同化解行政争议机制，持续开展破产积案攻坚行动，全面推进企业合规案件办理，加大涉企业纠纷多元解纷力度，继续开展涉金融、涉民营企业案件专项执行行动，推进信用提升工程建设，防范和化解拖欠中小企业账款。 </w:t>
      </w:r>
    </w:p>
    <w:p w14:paraId="5A4958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（四）打好防范化解风险阻击仗，推动重大风险基本可控。</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防范化解政府债务风险。</w:t>
      </w:r>
      <w:r>
        <w:rPr>
          <w:rFonts w:hint="eastAsia" w:ascii="仿宋" w:hAnsi="仿宋" w:eastAsia="仿宋" w:cs="仿宋"/>
          <w:color w:val="000000" w:themeColor="text1"/>
          <w:kern w:val="0"/>
          <w:sz w:val="32"/>
          <w:szCs w:val="32"/>
          <w:lang w:val="en-US" w:eastAsia="zh-CN" w:bidi="ar"/>
          <w14:textFill>
            <w14:solidFill>
              <w14:schemeClr w14:val="tx1"/>
            </w14:solidFill>
          </w14:textFill>
        </w:rPr>
        <w:t>围绕“控增量、化存量、防断链、推转型、促发展”落实系列举措，坚决防止违规举债、虚假化债，落实“六个一批”风险缓释措施，优化专项债和政策资金使用，统筹盘活闲置低效国有资产、资源、资金，加快平台公司市场化转型。</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防范化解金融风险。</w:t>
      </w:r>
      <w:r>
        <w:rPr>
          <w:rFonts w:hint="eastAsia" w:ascii="仿宋" w:hAnsi="仿宋" w:eastAsia="仿宋" w:cs="仿宋"/>
          <w:color w:val="000000" w:themeColor="text1"/>
          <w:kern w:val="0"/>
          <w:sz w:val="32"/>
          <w:szCs w:val="32"/>
          <w:lang w:val="en-US" w:eastAsia="zh-CN" w:bidi="ar"/>
          <w14:textFill>
            <w14:solidFill>
              <w14:schemeClr w14:val="tx1"/>
            </w14:solidFill>
          </w14:textFill>
        </w:rPr>
        <w:t>强化金融组织、私募股权投资机构监管，加大涉众型和互联网金融风险排查整治，严厉打击非法集资活动，推进重大案件风险处置，防范化解涉众型金融风险、辖内地方法人金融机构风险，确保不发生区域性、系统性金融风险。</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防范化解房地产风险。</w:t>
      </w:r>
      <w:r>
        <w:rPr>
          <w:rFonts w:hint="eastAsia" w:ascii="仿宋" w:hAnsi="仿宋" w:eastAsia="仿宋" w:cs="仿宋"/>
          <w:color w:val="000000" w:themeColor="text1"/>
          <w:kern w:val="0"/>
          <w:sz w:val="32"/>
          <w:szCs w:val="32"/>
          <w:lang w:val="en-US" w:eastAsia="zh-CN" w:bidi="ar"/>
          <w14:textFill>
            <w14:solidFill>
              <w14:schemeClr w14:val="tx1"/>
            </w14:solidFill>
          </w14:textFill>
        </w:rPr>
        <w:t>扎实做好保交楼、保民生、保稳定各项工作，加大对房地产项目、承建企业、材料供应商合理融资的支持力度，推动房地产业逐步向新发展模式平稳过渡。</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科学做好疫情防控。</w:t>
      </w:r>
      <w:r>
        <w:rPr>
          <w:rFonts w:hint="eastAsia" w:ascii="仿宋" w:hAnsi="仿宋" w:eastAsia="仿宋" w:cs="仿宋"/>
          <w:color w:val="000000" w:themeColor="text1"/>
          <w:kern w:val="0"/>
          <w:sz w:val="32"/>
          <w:szCs w:val="32"/>
          <w:lang w:val="en-US" w:eastAsia="zh-CN" w:bidi="ar"/>
          <w14:textFill>
            <w14:solidFill>
              <w14:schemeClr w14:val="tx1"/>
            </w14:solidFill>
          </w14:textFill>
        </w:rPr>
        <w:t>认真落实“乙类乙管”各项举措，着力保健康、防重症，加快推进疫苗接种和科普宣传，加强基层防疫能力建设，做好医疗资源和药品储备，加强重点群体防护救治，强化疫情监测研判，做好心理援助。</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防范极端天气的不利影响。</w:t>
      </w:r>
      <w:r>
        <w:rPr>
          <w:rFonts w:hint="eastAsia" w:ascii="仿宋" w:hAnsi="仿宋" w:eastAsia="仿宋" w:cs="仿宋"/>
          <w:color w:val="000000" w:themeColor="text1"/>
          <w:kern w:val="0"/>
          <w:sz w:val="32"/>
          <w:szCs w:val="32"/>
          <w:lang w:val="en-US" w:eastAsia="zh-CN" w:bidi="ar"/>
          <w14:textFill>
            <w14:solidFill>
              <w14:schemeClr w14:val="tx1"/>
            </w14:solidFill>
          </w14:textFill>
        </w:rPr>
        <w:t>积极做好防汛抗旱、低温雨雪冰冻等极端天气条件下能源电力、</w:t>
      </w:r>
      <w:r>
        <w:rPr>
          <w:rFonts w:hint="eastAsia" w:ascii="仿宋" w:hAnsi="仿宋" w:eastAsia="仿宋" w:cs="仿宋"/>
          <w:color w:val="000000" w:themeColor="text1"/>
          <w:spacing w:val="-6"/>
          <w:kern w:val="0"/>
          <w:sz w:val="32"/>
          <w:szCs w:val="32"/>
          <w:lang w:val="en-US" w:eastAsia="zh-CN" w:bidi="ar"/>
          <w14:textFill>
            <w14:solidFill>
              <w14:schemeClr w14:val="tx1"/>
            </w14:solidFill>
          </w14:textFill>
        </w:rPr>
        <w:t>农业生产等各方面保障工作，强化应急处置，做好防灾救灾准备。</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p>
    <w:p w14:paraId="7D88E26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（五）打好安全生产翻身仗，提升全</w:t>
      </w: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县</w:t>
      </w: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本质安全水平。</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强化安全隐患排查整治。</w:t>
      </w:r>
      <w:r>
        <w:rPr>
          <w:rFonts w:hint="eastAsia" w:ascii="仿宋" w:hAnsi="仿宋" w:eastAsia="仿宋" w:cs="仿宋"/>
          <w:color w:val="000000" w:themeColor="text1"/>
          <w:kern w:val="0"/>
          <w:sz w:val="32"/>
          <w:szCs w:val="32"/>
          <w:lang w:val="en-US" w:eastAsia="zh-CN" w:bidi="ar"/>
          <w14:textFill>
            <w14:solidFill>
              <w14:schemeClr w14:val="tx1"/>
            </w14:solidFill>
          </w14:textFill>
        </w:rPr>
        <w:t>深入开展重点行业领域安全风险隐患排查整治工作，建立健全风险分级管控和隐患排查治理双重预防性工作机制，继续落实重大事故隐患“一单四制”治理，推动安全风险、隐患实现“清零”。</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破解深层次矛盾问题。</w:t>
      </w:r>
      <w:r>
        <w:rPr>
          <w:rFonts w:hint="eastAsia" w:ascii="仿宋" w:hAnsi="仿宋" w:eastAsia="仿宋" w:cs="仿宋"/>
          <w:color w:val="000000" w:themeColor="text1"/>
          <w:kern w:val="0"/>
          <w:sz w:val="32"/>
          <w:szCs w:val="32"/>
          <w:lang w:val="en-US" w:eastAsia="zh-CN" w:bidi="ar"/>
          <w14:textFill>
            <w14:solidFill>
              <w14:schemeClr w14:val="tx1"/>
            </w14:solidFill>
          </w14:textFill>
        </w:rPr>
        <w:t>聚焦安全事故深层次原因，进一步健全完善安全生产责任机制和安委会（专委会）工作机制，严格监管执法、严厉打非治违，标本兼治推动解决行业领域安全生产突出问题和顽瘴痼疾。</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提升本质安全水平。</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强化安全源头把关，加快实施宣传阵地建设、基层基础建设和应急能力建设，集中开展“幸福敲门、安全到家”宣传行动，加快五级联动等应急系统信息化建设，推动形成群防群治工作格局。 </w:t>
      </w:r>
    </w:p>
    <w:p w14:paraId="6B21DE9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（六）打好重点民生保障仗，推动人民生活品质稳步提升。</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促进就业增收。</w:t>
      </w:r>
      <w:r>
        <w:rPr>
          <w:rFonts w:hint="eastAsia" w:ascii="仿宋" w:hAnsi="仿宋" w:eastAsia="仿宋" w:cs="仿宋"/>
          <w:color w:val="000000" w:themeColor="text1"/>
          <w:kern w:val="0"/>
          <w:sz w:val="32"/>
          <w:szCs w:val="32"/>
          <w:lang w:val="en-US" w:eastAsia="zh-CN" w:bidi="ar"/>
          <w14:textFill>
            <w14:solidFill>
              <w14:schemeClr w14:val="tx1"/>
            </w14:solidFill>
          </w14:textFill>
        </w:rPr>
        <w:t>统筹稳增长与保就业、优政策与稳就业、强服务与促就业的关系，突出抓好高校毕业生、农民工、脱贫人口等重点群体就业工作，加强新就业形态劳动者权益保障，稳住就业基本盘。</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提升公共服务保障。</w:t>
      </w:r>
      <w:r>
        <w:rPr>
          <w:rFonts w:hint="eastAsia" w:ascii="仿宋" w:hAnsi="仿宋" w:eastAsia="仿宋" w:cs="仿宋"/>
          <w:color w:val="000000" w:themeColor="text1"/>
          <w:kern w:val="0"/>
          <w:sz w:val="32"/>
          <w:szCs w:val="32"/>
          <w:lang w:val="en-US" w:eastAsia="zh-CN" w:bidi="ar"/>
          <w14:textFill>
            <w14:solidFill>
              <w14:schemeClr w14:val="tx1"/>
            </w14:solidFill>
          </w14:textFill>
        </w:rPr>
        <w:t>推动优质医疗资源扩容下沉和区域均衡布局，稳步提升城乡低保、残疾人“两项补贴”标准，着力解决教育、养老、住房保障等急难愁盼问题，坚决兜牢基本民生底线。</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改善生态环境。</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协同推进降碳、减污、扩绿、增长，持续开展“夏季攻势”，实施“碳达峰十大行动”，着力整治大气、水体、土壤污染，加快自然生态修复，推动经济社会发展绿色转型，建设美丽绥宁。 </w:t>
      </w:r>
    </w:p>
    <w:p w14:paraId="5ADCEA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四、组织实施 </w:t>
      </w:r>
    </w:p>
    <w:p w14:paraId="3CB1DE4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（一）加强组织领导。</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成立绥宁县打好“发展六仗”领导小组（名单附件1），由县长负总责，常务副县长为总牵头，分管副县长任责任领导，相关单位负责人为成员，办公室设县政府办，每仗都建立工作专班，其中打好经济增长主动仗、打好优化发展环境持久仗、打好防范化解风险阻击仗、打好安全生产翻身仗、打好重点民生保障仗等五仗的工作专班，由县政府办协助常务副县长工作的副主任担任召集人，县发展和改革局、县财政局、县应急管理局、县人力资源和社会保障局分别为牵头单位，其主要负责人为副召集人，各项工作相关单位为责任单位；打好科技创新攻坚仗工作专班由县政府办协助分管科技的副县长工作的副主任担任召集人，县发展和改革局为牵头单位，其主要负责人为副召集人，各项工作相关单位为责任单位。各级各部门要加强协同配合，形成工作合力，确保各项工作高效推进。 </w:t>
      </w:r>
    </w:p>
    <w:p w14:paraId="57D5F297">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66" w:firstLineChars="145"/>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（二）实行清单管理。</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县直</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各部门要结合职能职责，对本方案明确的工作任务进行细化分解，明确本领域实施推进的项目清单、任务清单或政策清单。“发展六仗”各责任单位要明确牵头负责人、具体责任股室，承担多项任务的单位要加强内部统筹，确保各项工作高效推进。 </w:t>
      </w:r>
    </w:p>
    <w:p w14:paraId="3F6DD137">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466" w:firstLineChars="145"/>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（三）强化调度考核。</w:t>
      </w:r>
      <w:r>
        <w:rPr>
          <w:rFonts w:hint="eastAsia" w:ascii="仿宋" w:hAnsi="仿宋" w:eastAsia="仿宋" w:cs="仿宋"/>
          <w:color w:val="000000" w:themeColor="text1"/>
          <w:kern w:val="0"/>
          <w:sz w:val="32"/>
          <w:szCs w:val="32"/>
          <w:lang w:val="en-US" w:eastAsia="zh-CN" w:bidi="ar"/>
          <w14:textFill>
            <w14:solidFill>
              <w14:schemeClr w14:val="tx1"/>
            </w14:solidFill>
          </w14:textFill>
        </w:rPr>
        <w:t>建立“旬简报、月通报、季总结”工作调度机制，由各工作专班召集人具体负责调度，相关情况及时报县政府。各责任单位要将“发展六仗”目标任务纳入本单位年度重点工作计划，主要负责人要抓紧组织研究，认真谋划，定期调度；各牵头单位要以责无旁贷的高度责任感，牵头抓总，做好统筹协调，并定期研究解决工作推进中遇到的困难和问题，及时破解任务落实的“中梗阻”；各责任单位要积极主动履职尽责，扎实推进各项工作落细落地，努力争取省政府2023年真抓实干督查激励奖项。贯彻落实省《总体方案》和重点工作任务纳入全县绩效考核，和县政府“三重点”工作一同部署、一同推进、一同考核。</w:t>
      </w:r>
    </w:p>
    <w:p w14:paraId="58BF763C">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lang w:val="en-US" w:eastAsia="zh-CN"/>
          <w14:textFill>
            <w14:solidFill>
              <w14:schemeClr w14:val="tx1"/>
            </w14:solidFill>
          </w14:textFill>
        </w:rPr>
      </w:pPr>
    </w:p>
    <w:p w14:paraId="0A27E2C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附件：1.绥宁县打好“发展六仗”领导小组人员名单 </w:t>
      </w:r>
    </w:p>
    <w:p w14:paraId="4B6456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2.绥宁县打好经济增长主动仗工作方案</w:t>
      </w:r>
    </w:p>
    <w:p w14:paraId="6B106C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3.绥宁县打好科技创新攻坚仗工作方案</w:t>
      </w:r>
    </w:p>
    <w:p w14:paraId="08F1C2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4.绥宁县打好优化发展环境持久仗工作方案</w:t>
      </w:r>
    </w:p>
    <w:p w14:paraId="5A5C3B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5.绥宁县打好防范化解风险阻击仗工作方案</w:t>
      </w:r>
    </w:p>
    <w:p w14:paraId="288DF0AB">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6.绥宁县安全生产“翻身仗”工作实施方案</w:t>
      </w:r>
    </w:p>
    <w:p w14:paraId="321814DB">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7.2023年绥宁县重点民生保障仗工作实施方案</w:t>
      </w:r>
    </w:p>
    <w:p w14:paraId="5DBFCED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2B5AB85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40D8833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1E1A8FD5">
      <w:pPr>
        <w:pStyle w:val="8"/>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78A2076C">
      <w:pPr>
        <w:pStyle w:val="8"/>
        <w:ind w:left="0" w:leftChars="0" w:firstLine="0" w:firstLineChars="0"/>
        <w:jc w:val="cente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绥宁县打好“发展六仗”领导小组人员名单</w:t>
      </w:r>
    </w:p>
    <w:p w14:paraId="46270FD5">
      <w:pPr>
        <w:pStyle w:val="8"/>
        <w:ind w:left="0" w:leftChars="0" w:firstLine="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22CF287C">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组  长：夏贤钦  县委副书记、县长  </w:t>
      </w:r>
    </w:p>
    <w:p w14:paraId="388E9ED6">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副组长：陵建华  县委常委、常务副县长 </w:t>
      </w:r>
    </w:p>
    <w:p w14:paraId="4EFA9C79">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梁恩雄  县委常委、副县长  </w:t>
      </w:r>
    </w:p>
    <w:p w14:paraId="24593F5B">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黄先伟  县人民政府副县长  </w:t>
      </w:r>
    </w:p>
    <w:p w14:paraId="4C9C107B">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周元彪  县人民政府副县长  </w:t>
      </w:r>
    </w:p>
    <w:p w14:paraId="41A80391">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黎  军  县人民政府副县长  </w:t>
      </w:r>
    </w:p>
    <w:p w14:paraId="63071204">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彭遵礼  县人民政府副县长  </w:t>
      </w:r>
    </w:p>
    <w:p w14:paraId="03034A0E">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黄文勇  县人民政府副县长  </w:t>
      </w:r>
    </w:p>
    <w:p w14:paraId="5158F60B">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杨昌盛  县人民政府副县长提名人选  </w:t>
      </w:r>
    </w:p>
    <w:p w14:paraId="17FC19FD">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周向谦  县人民政府副县长（挂职）  </w:t>
      </w:r>
    </w:p>
    <w:p w14:paraId="3309E7D3">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禹春辉  县人民政府副县长（挂职）  </w:t>
      </w:r>
    </w:p>
    <w:p w14:paraId="6ACD8D91">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成员为县政府办正、副主任，市属、县直各单位主要负责人，各乡镇人民政府主要负责人。</w:t>
      </w:r>
    </w:p>
    <w:p w14:paraId="0EC558AB">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领导小组下设办公室及6个工作专班，县人民政府办公室</w:t>
      </w:r>
      <w:r>
        <w:rPr>
          <w:rFonts w:hint="eastAsia" w:ascii="仿宋" w:hAnsi="仿宋" w:eastAsia="仿宋" w:cs="仿宋"/>
          <w:color w:val="000000" w:themeColor="text1"/>
          <w:spacing w:val="6"/>
          <w:kern w:val="0"/>
          <w:sz w:val="32"/>
          <w:szCs w:val="32"/>
          <w:lang w:val="en-US" w:eastAsia="zh-CN" w:bidi="ar"/>
          <w14:textFill>
            <w14:solidFill>
              <w14:schemeClr w14:val="tx1"/>
            </w14:solidFill>
          </w14:textFill>
        </w:rPr>
        <w:t>主任贺恩森同志兼任办公室主任，县人民政府办公室副主任</w:t>
      </w:r>
      <w:r>
        <w:rPr>
          <w:rFonts w:hint="eastAsia" w:ascii="仿宋" w:hAnsi="仿宋" w:eastAsia="仿宋" w:cs="仿宋"/>
          <w:color w:val="000000" w:themeColor="text1"/>
          <w:kern w:val="0"/>
          <w:sz w:val="32"/>
          <w:szCs w:val="32"/>
          <w:lang w:val="en-US" w:eastAsia="zh-CN" w:bidi="ar"/>
          <w14:textFill>
            <w14:solidFill>
              <w14:schemeClr w14:val="tx1"/>
            </w14:solidFill>
          </w14:textFill>
        </w:rPr>
        <w:t>唐伯贫同志兼任办公室常务副主任。</w:t>
      </w:r>
    </w:p>
    <w:p w14:paraId="4DC69968">
      <w:pPr>
        <w:pStyle w:val="8"/>
        <w:ind w:left="0" w:leftChars="0" w:firstLine="640" w:firstLineChars="0"/>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6个工作专班组成人员及单位在各子方案中予以明确。</w:t>
      </w:r>
    </w:p>
    <w:p w14:paraId="5BF0C26C">
      <w:pPr>
        <w:rPr>
          <w:rFonts w:hint="eastAsia" w:ascii="黑体" w:hAnsi="黑体" w:eastAsia="黑体" w:cs="黑体"/>
          <w:color w:val="000000" w:themeColor="text1"/>
          <w:sz w:val="32"/>
          <w:szCs w:val="32"/>
          <w14:textFill>
            <w14:solidFill>
              <w14:schemeClr w14:val="tx1"/>
            </w14:solidFill>
          </w14:textFill>
        </w:rPr>
      </w:pPr>
    </w:p>
    <w:p w14:paraId="1D7A5DCA">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719360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绥宁县打好经济增长主动仗工作方案</w:t>
      </w:r>
    </w:p>
    <w:p w14:paraId="13D14F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b/>
          <w:bCs/>
          <w:color w:val="000000" w:themeColor="text1"/>
          <w:szCs w:val="21"/>
          <w14:textFill>
            <w14:solidFill>
              <w14:schemeClr w14:val="tx1"/>
            </w14:solidFill>
          </w14:textFill>
        </w:rPr>
      </w:pPr>
    </w:p>
    <w:p w14:paraId="33755B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为抢抓国、省宏观政策和环境利好机遇，加快我县经济运行整体好转，确保开好局、起好步，全力打好经济增长主动仗，特制定本工作方案。</w:t>
      </w:r>
    </w:p>
    <w:p w14:paraId="736C2C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一、工作目标</w:t>
      </w:r>
    </w:p>
    <w:p w14:paraId="677CD9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全面落实省委“三高四新”战路定位和使命任务，持续把握“稳进高新”工作思路，把实施扩大内需战略同深化供给侧结构性改革有机结合起来，推动经济</w:t>
      </w:r>
      <w:r>
        <w:rPr>
          <w:rFonts w:hint="eastAsia" w:ascii="仿宋" w:hAnsi="仿宋" w:eastAsia="仿宋" w:cs="仿宋"/>
          <w:color w:val="000000" w:themeColor="text1"/>
          <w:sz w:val="32"/>
          <w:szCs w:val="32"/>
          <w:lang w:eastAsia="zh-CN"/>
          <w14:textFill>
            <w14:solidFill>
              <w14:schemeClr w14:val="tx1"/>
            </w14:solidFill>
          </w14:textFill>
        </w:rPr>
        <w:t>实现量的合理增长和质的有效提升。</w:t>
      </w:r>
      <w:r>
        <w:rPr>
          <w:rFonts w:hint="eastAsia" w:ascii="仿宋" w:hAnsi="仿宋" w:eastAsia="仿宋" w:cs="仿宋"/>
          <w:color w:val="000000" w:themeColor="text1"/>
          <w:sz w:val="32"/>
          <w:szCs w:val="32"/>
          <w14:textFill>
            <w14:solidFill>
              <w14:schemeClr w14:val="tx1"/>
            </w14:solidFill>
          </w14:textFill>
        </w:rPr>
        <w:t>全县经济总量再上新台阶。经济总量稳步增长，地区生产总值增长8%左右，总量达到125亿元。</w:t>
      </w:r>
      <w:r>
        <w:rPr>
          <w:rFonts w:hint="eastAsia" w:ascii="仿宋" w:hAnsi="仿宋" w:eastAsia="仿宋" w:cs="仿宋"/>
          <w:color w:val="000000" w:themeColor="text1"/>
          <w:sz w:val="32"/>
          <w:szCs w:val="32"/>
          <w:lang w:eastAsia="zh-CN"/>
          <w14:textFill>
            <w14:solidFill>
              <w14:schemeClr w14:val="tx1"/>
            </w14:solidFill>
          </w14:textFill>
        </w:rPr>
        <w:t>投资、消费、出口等</w:t>
      </w:r>
      <w:r>
        <w:rPr>
          <w:rFonts w:hint="eastAsia" w:ascii="仿宋" w:hAnsi="仿宋" w:eastAsia="仿宋" w:cs="仿宋"/>
          <w:color w:val="000000" w:themeColor="text1"/>
          <w:sz w:val="32"/>
          <w:szCs w:val="32"/>
          <w14:textFill>
            <w14:solidFill>
              <w14:schemeClr w14:val="tx1"/>
            </w14:solidFill>
          </w14:textFill>
        </w:rPr>
        <w:t>有效需求加快恢复，社会消费品零售总额增长</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%，固定资产投资增长10%以上，进出口总额增长30%。产业支撑更加有力，农业基础地位持续巩固，一产业增长</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%，制造业核心竞争力进一步增强，规模工业增加值增长8%，现代服务业与先进制造业加快融合，服务业增加值增长10%。质量效益持续提升，产业</w:t>
      </w:r>
      <w:r>
        <w:rPr>
          <w:rFonts w:hint="eastAsia" w:ascii="仿宋" w:hAnsi="仿宋" w:eastAsia="仿宋" w:cs="仿宋"/>
          <w:color w:val="000000" w:themeColor="text1"/>
          <w:sz w:val="32"/>
          <w:szCs w:val="32"/>
          <w:lang w:eastAsia="zh-CN"/>
          <w14:textFill>
            <w14:solidFill>
              <w14:schemeClr w14:val="tx1"/>
            </w14:solidFill>
          </w14:textFill>
        </w:rPr>
        <w:t>开发区</w:t>
      </w:r>
      <w:r>
        <w:rPr>
          <w:rFonts w:hint="eastAsia" w:ascii="仿宋" w:hAnsi="仿宋" w:eastAsia="仿宋" w:cs="仿宋"/>
          <w:color w:val="000000" w:themeColor="text1"/>
          <w:sz w:val="32"/>
          <w:szCs w:val="32"/>
          <w14:textFill>
            <w14:solidFill>
              <w14:schemeClr w14:val="tx1"/>
            </w14:solidFill>
          </w14:textFill>
        </w:rPr>
        <w:t>亩均税收增长</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%，地方一般公共预算收入增长</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%以上，城乡区域发展更加协调。</w:t>
      </w:r>
    </w:p>
    <w:p w14:paraId="457055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二、工作任务</w:t>
      </w:r>
    </w:p>
    <w:p w14:paraId="150D16C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激发释放消费潜力。</w:t>
      </w:r>
      <w:r>
        <w:rPr>
          <w:rFonts w:hint="eastAsia" w:ascii="仿宋" w:hAnsi="仿宋" w:eastAsia="仿宋" w:cs="仿宋"/>
          <w:color w:val="000000" w:themeColor="text1"/>
          <w:sz w:val="32"/>
          <w:szCs w:val="32"/>
          <w14:textFill>
            <w14:solidFill>
              <w14:schemeClr w14:val="tx1"/>
            </w14:solidFill>
          </w14:textFill>
        </w:rPr>
        <w:t>把恢复和扩大消费摆在优先位置，力争社会消费品零售总额突破60亿元。</w:t>
      </w:r>
      <w:r>
        <w:rPr>
          <w:rFonts w:hint="eastAsia" w:ascii="仿宋" w:hAnsi="仿宋" w:eastAsia="仿宋" w:cs="仿宋"/>
          <w:b/>
          <w:bCs/>
          <w:color w:val="000000" w:themeColor="text1"/>
          <w:sz w:val="32"/>
          <w:szCs w:val="32"/>
          <w14:textFill>
            <w14:solidFill>
              <w14:schemeClr w14:val="tx1"/>
            </w14:solidFill>
          </w14:textFill>
        </w:rPr>
        <w:t>着力扩大有效投资。</w:t>
      </w:r>
      <w:r>
        <w:rPr>
          <w:rFonts w:hint="eastAsia" w:ascii="仿宋" w:hAnsi="仿宋" w:eastAsia="仿宋" w:cs="仿宋"/>
          <w:color w:val="000000" w:themeColor="text1"/>
          <w:sz w:val="32"/>
          <w:szCs w:val="32"/>
          <w14:textFill>
            <w14:solidFill>
              <w14:schemeClr w14:val="tx1"/>
            </w14:solidFill>
          </w14:textFill>
        </w:rPr>
        <w:t>方向上紧跟国、省政策动向，领域上突出产业和基础设施建设，结构上突出有效带动社会投资，充分发挥投资稳增长、调结构、促升级的关键作用。</w:t>
      </w:r>
      <w:r>
        <w:rPr>
          <w:rFonts w:hint="eastAsia" w:ascii="仿宋" w:hAnsi="仿宋" w:eastAsia="仿宋" w:cs="仿宋"/>
          <w:b/>
          <w:bCs/>
          <w:color w:val="000000" w:themeColor="text1"/>
          <w:sz w:val="32"/>
          <w:szCs w:val="32"/>
          <w14:textFill>
            <w14:solidFill>
              <w14:schemeClr w14:val="tx1"/>
            </w14:solidFill>
          </w14:textFill>
        </w:rPr>
        <w:t>推进高水平对外开放。</w:t>
      </w:r>
      <w:r>
        <w:rPr>
          <w:rFonts w:hint="eastAsia" w:ascii="仿宋" w:hAnsi="仿宋" w:eastAsia="仿宋" w:cs="仿宋"/>
          <w:color w:val="000000" w:themeColor="text1"/>
          <w:sz w:val="32"/>
          <w:szCs w:val="32"/>
          <w14:textFill>
            <w14:solidFill>
              <w14:schemeClr w14:val="tx1"/>
            </w14:solidFill>
          </w14:textFill>
        </w:rPr>
        <w:t>加快构建以融入“一带一路”、粤港澳大湾区、西部陆海通道为重点的全方位对外开放新格局，全面提升对外开放层次，实际到位外资</w:t>
      </w:r>
      <w:r>
        <w:rPr>
          <w:rFonts w:hint="eastAsia" w:ascii="仿宋" w:hAnsi="仿宋" w:eastAsia="仿宋" w:cs="仿宋"/>
          <w:color w:val="000000" w:themeColor="text1"/>
          <w:sz w:val="32"/>
          <w:szCs w:val="32"/>
          <w:lang w:val="en-US" w:eastAsia="zh-CN"/>
          <w14:textFill>
            <w14:solidFill>
              <w14:schemeClr w14:val="tx1"/>
            </w14:solidFill>
          </w14:textFill>
        </w:rPr>
        <w:t>200万美元，</w:t>
      </w:r>
      <w:r>
        <w:rPr>
          <w:rFonts w:hint="eastAsia" w:ascii="仿宋" w:hAnsi="仿宋" w:eastAsia="仿宋" w:cs="仿宋"/>
          <w:color w:val="000000" w:themeColor="text1"/>
          <w:sz w:val="32"/>
          <w:szCs w:val="32"/>
          <w14:textFill>
            <w14:solidFill>
              <w14:schemeClr w14:val="tx1"/>
            </w14:solidFill>
          </w14:textFill>
        </w:rPr>
        <w:t>实际到位内资</w:t>
      </w:r>
      <w:r>
        <w:rPr>
          <w:rFonts w:hint="eastAsia" w:ascii="仿宋" w:hAnsi="仿宋" w:eastAsia="仿宋" w:cs="仿宋"/>
          <w:color w:val="000000" w:themeColor="text1"/>
          <w:sz w:val="32"/>
          <w:szCs w:val="32"/>
          <w:lang w:val="en-US" w:eastAsia="zh-CN"/>
          <w14:textFill>
            <w14:solidFill>
              <w14:schemeClr w14:val="tx1"/>
            </w14:solidFill>
          </w14:textFill>
        </w:rPr>
        <w:t>33亿元。</w:t>
      </w:r>
      <w:r>
        <w:rPr>
          <w:rFonts w:hint="eastAsia" w:ascii="仿宋" w:hAnsi="仿宋" w:eastAsia="仿宋" w:cs="仿宋"/>
          <w:b/>
          <w:bCs/>
          <w:color w:val="000000" w:themeColor="text1"/>
          <w:sz w:val="32"/>
          <w:szCs w:val="32"/>
          <w14:textFill>
            <w14:solidFill>
              <w14:schemeClr w14:val="tx1"/>
            </w14:solidFill>
          </w14:textFill>
        </w:rPr>
        <w:t>培育壮大产业动能。</w:t>
      </w:r>
      <w:r>
        <w:rPr>
          <w:rFonts w:hint="eastAsia" w:ascii="仿宋" w:hAnsi="仿宋" w:eastAsia="仿宋" w:cs="仿宋"/>
          <w:color w:val="000000" w:themeColor="text1"/>
          <w:sz w:val="32"/>
          <w:szCs w:val="32"/>
          <w14:textFill>
            <w14:solidFill>
              <w14:schemeClr w14:val="tx1"/>
            </w14:solidFill>
          </w14:textFill>
        </w:rPr>
        <w:t>抓住企业、产业、产业链、产业生态“四个着力点”，在巩固传统优势产业领先地位的同时，积极开辟新领域、新赛道。</w:t>
      </w:r>
      <w:r>
        <w:rPr>
          <w:rFonts w:hint="eastAsia" w:ascii="仿宋" w:hAnsi="仿宋" w:eastAsia="仿宋" w:cs="仿宋"/>
          <w:b/>
          <w:bCs/>
          <w:color w:val="000000" w:themeColor="text1"/>
          <w:sz w:val="32"/>
          <w:szCs w:val="32"/>
          <w14:textFill>
            <w14:solidFill>
              <w14:schemeClr w14:val="tx1"/>
            </w14:solidFill>
          </w14:textFill>
        </w:rPr>
        <w:t>增强区域发展动能。</w:t>
      </w:r>
      <w:r>
        <w:rPr>
          <w:rFonts w:hint="eastAsia" w:ascii="仿宋" w:hAnsi="仿宋" w:eastAsia="仿宋" w:cs="仿宋"/>
          <w:color w:val="000000" w:themeColor="text1"/>
          <w:sz w:val="32"/>
          <w:szCs w:val="32"/>
          <w14:textFill>
            <w14:solidFill>
              <w14:schemeClr w14:val="tx1"/>
            </w14:solidFill>
          </w14:textFill>
        </w:rPr>
        <w:t>立足区域资源禀赋和产业基础，着力推进区域特色发展、协调发展，推动形成相互促进、协调互补的区域发展新格局。</w:t>
      </w:r>
      <w:r>
        <w:rPr>
          <w:rFonts w:hint="eastAsia" w:ascii="仿宋" w:hAnsi="仿宋" w:eastAsia="仿宋" w:cs="仿宋"/>
          <w:b/>
          <w:bCs/>
          <w:color w:val="000000" w:themeColor="text1"/>
          <w:sz w:val="32"/>
          <w:szCs w:val="32"/>
          <w14:textFill>
            <w14:solidFill>
              <w14:schemeClr w14:val="tx1"/>
            </w14:solidFill>
          </w14:textFill>
        </w:rPr>
        <w:t>强化发展要素保障。</w:t>
      </w:r>
      <w:r>
        <w:rPr>
          <w:rFonts w:hint="eastAsia" w:ascii="仿宋" w:hAnsi="仿宋" w:eastAsia="仿宋" w:cs="仿宋"/>
          <w:color w:val="000000" w:themeColor="text1"/>
          <w:sz w:val="32"/>
          <w:szCs w:val="32"/>
          <w14:textFill>
            <w14:solidFill>
              <w14:schemeClr w14:val="tx1"/>
            </w14:solidFill>
          </w14:textFill>
        </w:rPr>
        <w:t>强化资金、资源、能源、数据、人才等基础要素保障，为经济稳定增长提供坚实支撑。</w:t>
      </w:r>
    </w:p>
    <w:p w14:paraId="7CDDA5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三、推进机制</w:t>
      </w:r>
    </w:p>
    <w:p w14:paraId="3D787C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成立绥宁县打好经济增长主动仗工作专班，由县政府办</w:t>
      </w:r>
      <w:r>
        <w:rPr>
          <w:rFonts w:hint="eastAsia" w:ascii="仿宋" w:hAnsi="仿宋" w:eastAsia="仿宋" w:cs="仿宋"/>
          <w:color w:val="000000" w:themeColor="text1"/>
          <w:sz w:val="32"/>
          <w:szCs w:val="32"/>
          <w:lang w:eastAsia="zh-CN"/>
          <w14:textFill>
            <w14:solidFill>
              <w14:schemeClr w14:val="tx1"/>
            </w14:solidFill>
          </w14:textFill>
        </w:rPr>
        <w:t>副主任</w:t>
      </w:r>
      <w:r>
        <w:rPr>
          <w:rFonts w:hint="eastAsia" w:ascii="仿宋" w:hAnsi="仿宋" w:eastAsia="仿宋" w:cs="仿宋"/>
          <w:color w:val="000000" w:themeColor="text1"/>
          <w:sz w:val="32"/>
          <w:szCs w:val="32"/>
          <w14:textFill>
            <w14:solidFill>
              <w14:schemeClr w14:val="tx1"/>
            </w14:solidFill>
          </w14:textFill>
        </w:rPr>
        <w:t>唐伯贫任召集人，</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局长唐友柏为副召集人，专班办公室设</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，负责日常协调和调度工作</w:t>
      </w:r>
      <w:r>
        <w:rPr>
          <w:rFonts w:hint="eastAsia" w:ascii="仿宋" w:hAnsi="仿宋" w:eastAsia="仿宋" w:cs="仿宋"/>
          <w:color w:val="000000" w:themeColor="text1"/>
          <w:sz w:val="32"/>
          <w:szCs w:val="32"/>
          <w:lang w:eastAsia="zh-CN"/>
          <w14:textFill>
            <w14:solidFill>
              <w14:schemeClr w14:val="tx1"/>
            </w14:solidFill>
          </w14:textFill>
        </w:rPr>
        <w:t>，由唐友柏同志兼任办公室主任，发改局副局长唐中魁任办公室副主任</w:t>
      </w:r>
      <w:r>
        <w:rPr>
          <w:rFonts w:hint="eastAsia" w:ascii="仿宋" w:hAnsi="仿宋" w:eastAsia="仿宋" w:cs="仿宋"/>
          <w:color w:val="000000" w:themeColor="text1"/>
          <w:sz w:val="32"/>
          <w:szCs w:val="32"/>
          <w14:textFill>
            <w14:solidFill>
              <w14:schemeClr w14:val="tx1"/>
            </w14:solidFill>
          </w14:textFill>
        </w:rPr>
        <w:t>。成员单位包括：县委组织部、县委统战部、</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、县财政局、县人力资源和社会保障局、县自然资源局、县住房和城乡建设局、县交通运输局、县农业农村水利局、县商务局、县文</w:t>
      </w:r>
      <w:r>
        <w:rPr>
          <w:rFonts w:hint="eastAsia" w:ascii="仿宋" w:hAnsi="仿宋" w:eastAsia="仿宋" w:cs="仿宋"/>
          <w:color w:val="000000" w:themeColor="text1"/>
          <w:sz w:val="32"/>
          <w:szCs w:val="32"/>
          <w:lang w:eastAsia="zh-CN"/>
          <w14:textFill>
            <w14:solidFill>
              <w14:schemeClr w14:val="tx1"/>
            </w14:solidFill>
          </w14:textFill>
        </w:rPr>
        <w:t>化旅游广电体育</w:t>
      </w:r>
      <w:r>
        <w:rPr>
          <w:rFonts w:hint="eastAsia" w:ascii="仿宋" w:hAnsi="仿宋" w:eastAsia="仿宋" w:cs="仿宋"/>
          <w:color w:val="000000" w:themeColor="text1"/>
          <w:sz w:val="32"/>
          <w:szCs w:val="32"/>
          <w14:textFill>
            <w14:solidFill>
              <w14:schemeClr w14:val="tx1"/>
            </w14:solidFill>
          </w14:textFill>
        </w:rPr>
        <w:t>局、</w:t>
      </w:r>
      <w:r>
        <w:rPr>
          <w:rFonts w:hint="eastAsia" w:ascii="仿宋" w:hAnsi="仿宋" w:eastAsia="仿宋" w:cs="仿宋"/>
          <w:color w:val="000000" w:themeColor="text1"/>
          <w:sz w:val="32"/>
          <w:szCs w:val="32"/>
          <w:lang w:eastAsia="zh-CN"/>
          <w14:textFill>
            <w14:solidFill>
              <w14:schemeClr w14:val="tx1"/>
            </w14:solidFill>
          </w14:textFill>
        </w:rPr>
        <w:t>县市场监督管理局</w:t>
      </w:r>
      <w:r>
        <w:rPr>
          <w:rFonts w:hint="eastAsia" w:ascii="仿宋" w:hAnsi="仿宋" w:eastAsia="仿宋" w:cs="仿宋"/>
          <w:color w:val="000000" w:themeColor="text1"/>
          <w:sz w:val="32"/>
          <w:szCs w:val="32"/>
          <w14:textFill>
            <w14:solidFill>
              <w14:schemeClr w14:val="tx1"/>
            </w14:solidFill>
          </w14:textFill>
        </w:rPr>
        <w:t>、县教育局、县税务局、县林业局、</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城市管理</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综合执法局、</w:t>
      </w:r>
      <w:r>
        <w:rPr>
          <w:rFonts w:hint="eastAsia" w:ascii="仿宋" w:hAnsi="仿宋" w:eastAsia="仿宋" w:cs="仿宋"/>
          <w:color w:val="000000" w:themeColor="text1"/>
          <w:sz w:val="32"/>
          <w:szCs w:val="32"/>
          <w:lang w:eastAsia="zh-CN"/>
          <w14:textFill>
            <w14:solidFill>
              <w14:schemeClr w14:val="tx1"/>
            </w14:solidFill>
          </w14:textFill>
        </w:rPr>
        <w:t>县邮政公司</w:t>
      </w:r>
      <w:r>
        <w:rPr>
          <w:rFonts w:hint="eastAsia" w:ascii="仿宋" w:hAnsi="仿宋" w:eastAsia="仿宋" w:cs="仿宋"/>
          <w:color w:val="000000" w:themeColor="text1"/>
          <w:sz w:val="32"/>
          <w:szCs w:val="32"/>
          <w14:textFill>
            <w14:solidFill>
              <w14:schemeClr w14:val="tx1"/>
            </w14:solidFill>
          </w14:textFill>
        </w:rPr>
        <w:t>、县行政审批服务局、县城投公司、县农</w:t>
      </w:r>
      <w:r>
        <w:rPr>
          <w:rFonts w:hint="eastAsia" w:ascii="仿宋" w:hAnsi="仿宋" w:eastAsia="仿宋" w:cs="仿宋"/>
          <w:color w:val="000000" w:themeColor="text1"/>
          <w:sz w:val="32"/>
          <w:szCs w:val="32"/>
          <w:lang w:eastAsia="zh-CN"/>
          <w14:textFill>
            <w14:solidFill>
              <w14:schemeClr w14:val="tx1"/>
            </w14:solidFill>
          </w14:textFill>
        </w:rPr>
        <w:t>投</w:t>
      </w:r>
      <w:r>
        <w:rPr>
          <w:rFonts w:hint="eastAsia" w:ascii="仿宋" w:hAnsi="仿宋" w:eastAsia="仿宋" w:cs="仿宋"/>
          <w:color w:val="000000" w:themeColor="text1"/>
          <w:sz w:val="32"/>
          <w:szCs w:val="32"/>
          <w14:textFill>
            <w14:solidFill>
              <w14:schemeClr w14:val="tx1"/>
            </w14:solidFill>
          </w14:textFill>
        </w:rPr>
        <w:t>公司、市生态环境局绥宁分局、</w:t>
      </w:r>
      <w:r>
        <w:rPr>
          <w:rFonts w:hint="eastAsia" w:ascii="仿宋" w:hAnsi="仿宋" w:eastAsia="仿宋" w:cs="仿宋"/>
          <w:color w:val="000000" w:themeColor="text1"/>
          <w:sz w:val="32"/>
          <w:szCs w:val="32"/>
          <w:lang w:eastAsia="zh-CN"/>
          <w14:textFill>
            <w14:solidFill>
              <w14:schemeClr w14:val="tx1"/>
            </w14:solidFill>
          </w14:textFill>
        </w:rPr>
        <w:t>县楠竹产业发展中心、</w:t>
      </w:r>
      <w:r>
        <w:rPr>
          <w:rFonts w:hint="eastAsia" w:ascii="仿宋" w:hAnsi="仿宋" w:eastAsia="仿宋" w:cs="仿宋"/>
          <w:color w:val="000000" w:themeColor="text1"/>
          <w:sz w:val="32"/>
          <w:szCs w:val="32"/>
          <w14:textFill>
            <w14:solidFill>
              <w14:schemeClr w14:val="tx1"/>
            </w14:solidFill>
          </w14:textFill>
        </w:rPr>
        <w:t>县乡村振兴局、</w:t>
      </w:r>
      <w:r>
        <w:rPr>
          <w:rFonts w:hint="eastAsia" w:ascii="仿宋" w:hAnsi="仿宋" w:eastAsia="仿宋" w:cs="仿宋"/>
          <w:color w:val="000000" w:themeColor="text1"/>
          <w:sz w:val="32"/>
          <w:szCs w:val="32"/>
          <w:lang w:eastAsia="zh-CN"/>
          <w14:textFill>
            <w14:solidFill>
              <w14:schemeClr w14:val="tx1"/>
            </w14:solidFill>
          </w14:textFill>
        </w:rPr>
        <w:t>县供电公司</w:t>
      </w:r>
      <w:r>
        <w:rPr>
          <w:rFonts w:hint="eastAsia" w:ascii="仿宋" w:hAnsi="仿宋" w:eastAsia="仿宋" w:cs="仿宋"/>
          <w:color w:val="000000" w:themeColor="text1"/>
          <w:sz w:val="32"/>
          <w:szCs w:val="32"/>
          <w14:textFill>
            <w14:solidFill>
              <w14:schemeClr w14:val="tx1"/>
            </w14:solidFill>
          </w14:textFill>
        </w:rPr>
        <w:t>、县金融服务中心、</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14:textFill>
            <w14:solidFill>
              <w14:schemeClr w14:val="tx1"/>
            </w14:solidFill>
          </w14:textFill>
        </w:rPr>
        <w:t>、县农商银行等。</w:t>
      </w:r>
    </w:p>
    <w:p w14:paraId="18D251E5">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6A5B3B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20"/>
          <w:sz w:val="32"/>
          <w:szCs w:val="32"/>
          <w14:textFill>
            <w14:solidFill>
              <w14:schemeClr w14:val="tx1"/>
            </w14:solidFill>
          </w14:textFill>
        </w:rPr>
        <w:t>附表：绥宁县打好“经济增长主动仗”重点工作任务责任分解表</w:t>
      </w:r>
    </w:p>
    <w:p w14:paraId="268E9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531" w:right="1531" w:bottom="1440" w:left="1701" w:header="851" w:footer="1276" w:gutter="0"/>
          <w:cols w:space="0" w:num="1"/>
          <w:rtlGutter w:val="0"/>
          <w:docGrid w:type="lines" w:linePitch="312" w:charSpace="0"/>
        </w:sectPr>
      </w:pPr>
    </w:p>
    <w:p w14:paraId="50BAA3DF">
      <w:pPr>
        <w:rPr>
          <w:rFonts w:hint="eastAsia" w:ascii="黑体" w:hAnsi="黑体" w:eastAsia="黑体" w:cs="黑体"/>
          <w:b w:val="0"/>
          <w:bCs w:val="0"/>
          <w:color w:val="000000" w:themeColor="text1"/>
          <w:spacing w:val="-20"/>
          <w:sz w:val="32"/>
          <w:szCs w:val="32"/>
          <w14:textFill>
            <w14:solidFill>
              <w14:schemeClr w14:val="tx1"/>
            </w14:solidFill>
          </w14:textFill>
        </w:rPr>
      </w:pPr>
      <w:r>
        <w:rPr>
          <w:rFonts w:hint="eastAsia" w:ascii="黑体" w:hAnsi="黑体" w:eastAsia="黑体" w:cs="黑体"/>
          <w:b w:val="0"/>
          <w:bCs w:val="0"/>
          <w:color w:val="000000" w:themeColor="text1"/>
          <w:spacing w:val="-20"/>
          <w:sz w:val="32"/>
          <w:szCs w:val="32"/>
          <w14:textFill>
            <w14:solidFill>
              <w14:schemeClr w14:val="tx1"/>
            </w14:solidFill>
          </w14:textFill>
        </w:rPr>
        <w:t>附表</w:t>
      </w:r>
    </w:p>
    <w:p w14:paraId="15A69A03">
      <w:pPr>
        <w:jc w:val="cente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绥宁县打好“经济增长主动仗”重点工作任务责任分解表</w:t>
      </w:r>
    </w:p>
    <w:tbl>
      <w:tblPr>
        <w:tblStyle w:val="9"/>
        <w:tblW w:w="14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95"/>
        <w:gridCol w:w="4005"/>
        <w:gridCol w:w="1140"/>
        <w:gridCol w:w="1980"/>
      </w:tblGrid>
      <w:tr w14:paraId="192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825" w:type="dxa"/>
            <w:noWrap w:val="0"/>
            <w:vAlign w:val="center"/>
          </w:tcPr>
          <w:p w14:paraId="38967CED">
            <w:pPr>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序号</w:t>
            </w:r>
          </w:p>
        </w:tc>
        <w:tc>
          <w:tcPr>
            <w:tcW w:w="6495" w:type="dxa"/>
            <w:noWrap w:val="0"/>
            <w:vAlign w:val="center"/>
          </w:tcPr>
          <w:p w14:paraId="40F0F08D">
            <w:pPr>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重点工作任务</w:t>
            </w:r>
          </w:p>
        </w:tc>
        <w:tc>
          <w:tcPr>
            <w:tcW w:w="4005" w:type="dxa"/>
            <w:noWrap w:val="0"/>
            <w:vAlign w:val="center"/>
          </w:tcPr>
          <w:p w14:paraId="1D4C234F">
            <w:pPr>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主要责任单位</w:t>
            </w:r>
          </w:p>
        </w:tc>
        <w:tc>
          <w:tcPr>
            <w:tcW w:w="1140" w:type="dxa"/>
            <w:noWrap w:val="0"/>
            <w:vAlign w:val="center"/>
          </w:tcPr>
          <w:p w14:paraId="207F15DC">
            <w:pPr>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责任人</w:t>
            </w:r>
          </w:p>
        </w:tc>
        <w:tc>
          <w:tcPr>
            <w:tcW w:w="1980" w:type="dxa"/>
            <w:noWrap w:val="0"/>
            <w:vAlign w:val="center"/>
          </w:tcPr>
          <w:p w14:paraId="66364818">
            <w:pPr>
              <w:jc w:val="cente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县级责任领导</w:t>
            </w:r>
          </w:p>
        </w:tc>
      </w:tr>
      <w:tr w14:paraId="1195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445" w:type="dxa"/>
            <w:gridSpan w:val="5"/>
            <w:noWrap w:val="0"/>
            <w:vAlign w:val="center"/>
          </w:tcPr>
          <w:p w14:paraId="5E43B8CF">
            <w:pPr>
              <w:jc w:val="center"/>
              <w:rPr>
                <w:rFonts w:hint="eastAsia" w:ascii="宋体" w:hAnsi="宋体" w:cs="宋体"/>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一、主要指标</w:t>
            </w:r>
          </w:p>
        </w:tc>
      </w:tr>
      <w:tr w14:paraId="0EF6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25" w:type="dxa"/>
            <w:noWrap w:val="0"/>
            <w:vAlign w:val="center"/>
          </w:tcPr>
          <w:p w14:paraId="0ACB3FA7">
            <w:pPr>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6495" w:type="dxa"/>
            <w:noWrap w:val="0"/>
            <w:vAlign w:val="center"/>
          </w:tcPr>
          <w:p w14:paraId="68C35C4E">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地区生产总值增长8%左右，总量达到125亿元。</w:t>
            </w:r>
          </w:p>
        </w:tc>
        <w:tc>
          <w:tcPr>
            <w:tcW w:w="4005" w:type="dxa"/>
            <w:noWrap w:val="0"/>
            <w:vAlign w:val="center"/>
          </w:tcPr>
          <w:p w14:paraId="441B938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县发展和改革局牵头，各乡镇人民政府负责（以下均包括各乡镇人民政府）</w:t>
            </w:r>
          </w:p>
        </w:tc>
        <w:tc>
          <w:tcPr>
            <w:tcW w:w="1140" w:type="dxa"/>
            <w:noWrap w:val="0"/>
            <w:vAlign w:val="center"/>
          </w:tcPr>
          <w:p w14:paraId="562F9EC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0CA0DE0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0F285D9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54A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5" w:type="dxa"/>
            <w:noWrap w:val="0"/>
            <w:vAlign w:val="center"/>
          </w:tcPr>
          <w:p w14:paraId="0EC41F97">
            <w:pPr>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6495" w:type="dxa"/>
            <w:noWrap w:val="0"/>
            <w:vAlign w:val="center"/>
          </w:tcPr>
          <w:p w14:paraId="27B7A689">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社会消费品零售总额增长</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%，总量突破60亿元。</w:t>
            </w:r>
          </w:p>
        </w:tc>
        <w:tc>
          <w:tcPr>
            <w:tcW w:w="4005" w:type="dxa"/>
            <w:noWrap w:val="0"/>
            <w:vAlign w:val="center"/>
          </w:tcPr>
          <w:p w14:paraId="7E703CE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县商务局牵头</w:t>
            </w:r>
          </w:p>
        </w:tc>
        <w:tc>
          <w:tcPr>
            <w:tcW w:w="1140" w:type="dxa"/>
            <w:noWrap w:val="0"/>
            <w:vAlign w:val="center"/>
          </w:tcPr>
          <w:p w14:paraId="49A63DA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3B58F92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1E1C5D03">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0387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4E850BFB">
            <w:pPr>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6495" w:type="dxa"/>
            <w:noWrap w:val="0"/>
            <w:vAlign w:val="center"/>
          </w:tcPr>
          <w:p w14:paraId="14B2AD77">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固定资产投资增10%以上。</w:t>
            </w:r>
          </w:p>
        </w:tc>
        <w:tc>
          <w:tcPr>
            <w:tcW w:w="4005" w:type="dxa"/>
            <w:noWrap w:val="0"/>
            <w:vAlign w:val="center"/>
          </w:tcPr>
          <w:p w14:paraId="5BD7F60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县发展和改革局牵头</w:t>
            </w:r>
          </w:p>
        </w:tc>
        <w:tc>
          <w:tcPr>
            <w:tcW w:w="1140" w:type="dxa"/>
            <w:noWrap w:val="0"/>
            <w:vAlign w:val="center"/>
          </w:tcPr>
          <w:p w14:paraId="4CCE21A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49B768B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4DD1BA4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134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5" w:type="dxa"/>
            <w:noWrap w:val="0"/>
            <w:vAlign w:val="center"/>
          </w:tcPr>
          <w:p w14:paraId="2FF37086">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6495" w:type="dxa"/>
            <w:noWrap w:val="0"/>
            <w:vAlign w:val="center"/>
          </w:tcPr>
          <w:p w14:paraId="3590DA1E">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进出口总额增长30%，突破1.7亿元。</w:t>
            </w:r>
          </w:p>
        </w:tc>
        <w:tc>
          <w:tcPr>
            <w:tcW w:w="4005" w:type="dxa"/>
            <w:noWrap w:val="0"/>
            <w:vAlign w:val="center"/>
          </w:tcPr>
          <w:p w14:paraId="6BB4B9A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县商务局牵头，</w:t>
            </w:r>
            <w:r>
              <w:rPr>
                <w:rFonts w:hint="eastAsia" w:ascii="宋体" w:hAnsi="宋体" w:cs="宋体"/>
                <w:color w:val="000000" w:themeColor="text1"/>
                <w:szCs w:val="21"/>
                <w:lang w:eastAsia="zh-CN"/>
                <w14:textFill>
                  <w14:solidFill>
                    <w14:schemeClr w14:val="tx1"/>
                  </w14:solidFill>
                </w14:textFill>
              </w:rPr>
              <w:t>绥宁产业开发区管理委员会</w:t>
            </w:r>
            <w:r>
              <w:rPr>
                <w:rFonts w:hint="eastAsia" w:ascii="宋体" w:hAnsi="宋体" w:cs="宋体"/>
                <w:color w:val="000000" w:themeColor="text1"/>
                <w:szCs w:val="21"/>
                <w14:textFill>
                  <w14:solidFill>
                    <w14:schemeClr w14:val="tx1"/>
                  </w14:solidFill>
                </w14:textFill>
              </w:rPr>
              <w:t>等负责</w:t>
            </w:r>
          </w:p>
        </w:tc>
        <w:tc>
          <w:tcPr>
            <w:tcW w:w="1140" w:type="dxa"/>
            <w:noWrap w:val="0"/>
            <w:vAlign w:val="center"/>
          </w:tcPr>
          <w:p w14:paraId="7D5163E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71E34B3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47BAB28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393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25" w:type="dxa"/>
            <w:noWrap w:val="0"/>
            <w:vAlign w:val="center"/>
          </w:tcPr>
          <w:p w14:paraId="7CE57EDD">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6495" w:type="dxa"/>
            <w:noWrap w:val="0"/>
            <w:vAlign w:val="center"/>
          </w:tcPr>
          <w:p w14:paraId="4C7194A7">
            <w:pPr>
              <w:jc w:val="left"/>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一产业增长</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p>
        </w:tc>
        <w:tc>
          <w:tcPr>
            <w:tcW w:w="4005" w:type="dxa"/>
            <w:noWrap w:val="0"/>
            <w:vAlign w:val="center"/>
          </w:tcPr>
          <w:p w14:paraId="20FEBE5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县农业农村水利局牵头</w:t>
            </w:r>
          </w:p>
        </w:tc>
        <w:tc>
          <w:tcPr>
            <w:tcW w:w="1140" w:type="dxa"/>
            <w:noWrap w:val="0"/>
            <w:vAlign w:val="center"/>
          </w:tcPr>
          <w:p w14:paraId="44DE83A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  彬</w:t>
            </w:r>
          </w:p>
        </w:tc>
        <w:tc>
          <w:tcPr>
            <w:tcW w:w="1980" w:type="dxa"/>
            <w:noWrap w:val="0"/>
            <w:vAlign w:val="center"/>
          </w:tcPr>
          <w:p w14:paraId="2998E11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梁恩雄</w:t>
            </w:r>
          </w:p>
        </w:tc>
      </w:tr>
      <w:tr w14:paraId="5A66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433EF0E9">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6495" w:type="dxa"/>
            <w:noWrap w:val="0"/>
            <w:vAlign w:val="center"/>
          </w:tcPr>
          <w:p w14:paraId="7E6DF95C">
            <w:pPr>
              <w:jc w:val="left"/>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规模工业增加值增长8%</w:t>
            </w:r>
            <w:r>
              <w:rPr>
                <w:rFonts w:hint="eastAsia" w:ascii="宋体" w:hAnsi="宋体" w:cs="宋体"/>
                <w:color w:val="000000" w:themeColor="text1"/>
                <w:szCs w:val="21"/>
                <w:lang w:eastAsia="zh-CN"/>
                <w14:textFill>
                  <w14:solidFill>
                    <w14:schemeClr w14:val="tx1"/>
                  </w14:solidFill>
                </w14:textFill>
              </w:rPr>
              <w:t>。</w:t>
            </w:r>
          </w:p>
        </w:tc>
        <w:tc>
          <w:tcPr>
            <w:tcW w:w="4005" w:type="dxa"/>
            <w:noWrap w:val="0"/>
            <w:vAlign w:val="center"/>
          </w:tcPr>
          <w:p w14:paraId="123712A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县发展和改革局牵头，</w:t>
            </w:r>
            <w:r>
              <w:rPr>
                <w:rFonts w:hint="eastAsia" w:ascii="宋体" w:hAnsi="宋体" w:cs="宋体"/>
                <w:color w:val="000000" w:themeColor="text1"/>
                <w:szCs w:val="21"/>
                <w:lang w:eastAsia="zh-CN"/>
                <w14:textFill>
                  <w14:solidFill>
                    <w14:schemeClr w14:val="tx1"/>
                  </w14:solidFill>
                </w14:textFill>
              </w:rPr>
              <w:t>绥宁产业开发区管理委员会</w:t>
            </w:r>
            <w:r>
              <w:rPr>
                <w:rFonts w:hint="eastAsia" w:ascii="宋体" w:hAnsi="宋体" w:cs="宋体"/>
                <w:color w:val="000000" w:themeColor="text1"/>
                <w:szCs w:val="21"/>
                <w14:textFill>
                  <w14:solidFill>
                    <w14:schemeClr w14:val="tx1"/>
                  </w14:solidFill>
                </w14:textFill>
              </w:rPr>
              <w:t>等负责</w:t>
            </w:r>
          </w:p>
        </w:tc>
        <w:tc>
          <w:tcPr>
            <w:tcW w:w="1140" w:type="dxa"/>
            <w:noWrap w:val="0"/>
            <w:vAlign w:val="center"/>
          </w:tcPr>
          <w:p w14:paraId="05EC55D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5F0D560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45E9FBAA">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黄先伟</w:t>
            </w:r>
          </w:p>
        </w:tc>
      </w:tr>
      <w:tr w14:paraId="3D23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25" w:type="dxa"/>
            <w:noWrap w:val="0"/>
            <w:vAlign w:val="center"/>
          </w:tcPr>
          <w:p w14:paraId="2916CB9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6495" w:type="dxa"/>
            <w:noWrap w:val="0"/>
            <w:vAlign w:val="center"/>
          </w:tcPr>
          <w:p w14:paraId="5327F6EA">
            <w:pPr>
              <w:jc w:val="left"/>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服务业增加值增长10%</w:t>
            </w:r>
            <w:r>
              <w:rPr>
                <w:rFonts w:hint="eastAsia" w:ascii="宋体" w:hAnsi="宋体" w:cs="宋体"/>
                <w:color w:val="000000" w:themeColor="text1"/>
                <w:szCs w:val="21"/>
                <w:lang w:eastAsia="zh-CN"/>
                <w14:textFill>
                  <w14:solidFill>
                    <w14:schemeClr w14:val="tx1"/>
                  </w14:solidFill>
                </w14:textFill>
              </w:rPr>
              <w:t>。</w:t>
            </w:r>
          </w:p>
        </w:tc>
        <w:tc>
          <w:tcPr>
            <w:tcW w:w="4005" w:type="dxa"/>
            <w:noWrap w:val="0"/>
            <w:vAlign w:val="center"/>
          </w:tcPr>
          <w:p w14:paraId="63C8FB5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县发展和改革局牵头</w:t>
            </w:r>
          </w:p>
        </w:tc>
        <w:tc>
          <w:tcPr>
            <w:tcW w:w="1140" w:type="dxa"/>
            <w:noWrap w:val="0"/>
            <w:vAlign w:val="center"/>
          </w:tcPr>
          <w:p w14:paraId="0D9383E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tc>
        <w:tc>
          <w:tcPr>
            <w:tcW w:w="1980" w:type="dxa"/>
            <w:noWrap w:val="0"/>
            <w:vAlign w:val="center"/>
          </w:tcPr>
          <w:p w14:paraId="78F8B37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0912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B707A42">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6495" w:type="dxa"/>
            <w:noWrap w:val="0"/>
            <w:vAlign w:val="center"/>
          </w:tcPr>
          <w:p w14:paraId="4EFDB40D">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产业园区亩均税收增长</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w:t>
            </w:r>
          </w:p>
        </w:tc>
        <w:tc>
          <w:tcPr>
            <w:tcW w:w="4005" w:type="dxa"/>
            <w:noWrap w:val="0"/>
            <w:vAlign w:val="center"/>
          </w:tcPr>
          <w:p w14:paraId="58C4755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绥宁产业开发区管理委员会</w:t>
            </w:r>
            <w:r>
              <w:rPr>
                <w:rFonts w:hint="eastAsia" w:ascii="宋体" w:hAnsi="宋体" w:cs="宋体"/>
                <w:color w:val="000000" w:themeColor="text1"/>
                <w:szCs w:val="21"/>
                <w14:textFill>
                  <w14:solidFill>
                    <w14:schemeClr w14:val="tx1"/>
                  </w14:solidFill>
                </w14:textFill>
              </w:rPr>
              <w:t>牵头，县发展和改革局等负责</w:t>
            </w:r>
          </w:p>
        </w:tc>
        <w:tc>
          <w:tcPr>
            <w:tcW w:w="1140" w:type="dxa"/>
            <w:noWrap w:val="0"/>
            <w:vAlign w:val="center"/>
          </w:tcPr>
          <w:p w14:paraId="72F1565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4647F98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4EE8E73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1813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25" w:type="dxa"/>
            <w:noWrap w:val="0"/>
            <w:vAlign w:val="center"/>
          </w:tcPr>
          <w:p w14:paraId="600F4E38">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6495" w:type="dxa"/>
            <w:noWrap w:val="0"/>
            <w:vAlign w:val="center"/>
          </w:tcPr>
          <w:p w14:paraId="456938AC">
            <w:pPr>
              <w:jc w:val="left"/>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地方一般公共预算收入增长</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p>
        </w:tc>
        <w:tc>
          <w:tcPr>
            <w:tcW w:w="4005" w:type="dxa"/>
            <w:noWrap w:val="0"/>
            <w:vAlign w:val="center"/>
          </w:tcPr>
          <w:p w14:paraId="1ECD5F3F">
            <w:pP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县财政局牵头，县税务局</w:t>
            </w:r>
            <w:r>
              <w:rPr>
                <w:rFonts w:hint="eastAsia" w:ascii="宋体" w:hAnsi="宋体" w:cs="宋体"/>
                <w:color w:val="000000" w:themeColor="text1"/>
                <w:szCs w:val="21"/>
                <w:lang w:eastAsia="zh-CN"/>
                <w14:textFill>
                  <w14:solidFill>
                    <w14:schemeClr w14:val="tx1"/>
                  </w14:solidFill>
                </w14:textFill>
              </w:rPr>
              <w:t>负责</w:t>
            </w:r>
          </w:p>
        </w:tc>
        <w:tc>
          <w:tcPr>
            <w:tcW w:w="1140" w:type="dxa"/>
            <w:noWrap w:val="0"/>
            <w:vAlign w:val="center"/>
          </w:tcPr>
          <w:p w14:paraId="16C1208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罗  兴</w:t>
            </w:r>
          </w:p>
          <w:p w14:paraId="6E4CE28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  杰</w:t>
            </w:r>
          </w:p>
        </w:tc>
        <w:tc>
          <w:tcPr>
            <w:tcW w:w="1980" w:type="dxa"/>
            <w:noWrap w:val="0"/>
            <w:vAlign w:val="center"/>
          </w:tcPr>
          <w:p w14:paraId="50497F3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3268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445" w:type="dxa"/>
            <w:gridSpan w:val="5"/>
            <w:noWrap w:val="0"/>
            <w:vAlign w:val="center"/>
          </w:tcPr>
          <w:p w14:paraId="304316E0">
            <w:pPr>
              <w:jc w:val="center"/>
              <w:rPr>
                <w:rFonts w:hint="eastAsia"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二、重点工作</w:t>
            </w:r>
          </w:p>
        </w:tc>
      </w:tr>
      <w:tr w14:paraId="5703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445" w:type="dxa"/>
            <w:gridSpan w:val="5"/>
            <w:noWrap w:val="0"/>
            <w:vAlign w:val="center"/>
          </w:tcPr>
          <w:p w14:paraId="5D99C799">
            <w:pPr>
              <w:jc w:val="center"/>
              <w:rPr>
                <w:rFonts w:hint="eastAsia" w:ascii="宋体" w:hAnsi="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(一)激发释放消费潜力</w:t>
            </w:r>
          </w:p>
        </w:tc>
      </w:tr>
      <w:tr w14:paraId="270B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25" w:type="dxa"/>
            <w:noWrap w:val="0"/>
            <w:vAlign w:val="center"/>
          </w:tcPr>
          <w:p w14:paraId="0E3BC1F1">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68852F63">
            <w:pPr>
              <w:jc w:val="left"/>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开展系列消费促进活动。开展“味道绥宁”“爱我绥宁 畅游黄桑”“湘西南土货节”“网上年货节”等特色消费促进活动，开展“数商兴农”专项行动和汽车</w:t>
            </w:r>
            <w:r>
              <w:rPr>
                <w:rFonts w:hint="eastAsia" w:ascii="宋体" w:hAnsi="宋体" w:cs="仿宋"/>
                <w:color w:val="000000" w:themeColor="text1"/>
                <w:szCs w:val="21"/>
                <w:lang w:eastAsia="zh-CN"/>
                <w14:textFill>
                  <w14:solidFill>
                    <w14:schemeClr w14:val="tx1"/>
                  </w14:solidFill>
                </w14:textFill>
              </w:rPr>
              <w:t>电器</w:t>
            </w:r>
            <w:r>
              <w:rPr>
                <w:rFonts w:hint="eastAsia" w:ascii="宋体" w:hAnsi="宋体" w:cs="仿宋"/>
                <w:color w:val="000000" w:themeColor="text1"/>
                <w:szCs w:val="21"/>
                <w14:textFill>
                  <w14:solidFill>
                    <w14:schemeClr w14:val="tx1"/>
                  </w14:solidFill>
                </w14:textFill>
              </w:rPr>
              <w:t>下乡活动</w:t>
            </w:r>
            <w:r>
              <w:rPr>
                <w:rFonts w:hint="eastAsia" w:ascii="宋体" w:hAnsi="宋体" w:cs="仿宋"/>
                <w:color w:val="000000" w:themeColor="text1"/>
                <w:szCs w:val="21"/>
                <w:lang w:eastAsia="zh-CN"/>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举办绥宁县第</w:t>
            </w:r>
            <w:r>
              <w:rPr>
                <w:rFonts w:hint="eastAsia" w:ascii="宋体" w:hAnsi="宋体" w:cs="仿宋"/>
                <w:color w:val="000000" w:themeColor="text1"/>
                <w:szCs w:val="21"/>
                <w:lang w:eastAsia="zh-CN"/>
                <w14:textFill>
                  <w14:solidFill>
                    <w14:schemeClr w14:val="tx1"/>
                  </w14:solidFill>
                </w14:textFill>
              </w:rPr>
              <w:t>三</w:t>
            </w:r>
            <w:r>
              <w:rPr>
                <w:rFonts w:hint="eastAsia" w:ascii="宋体" w:hAnsi="宋体" w:cs="仿宋"/>
                <w:color w:val="000000" w:themeColor="text1"/>
                <w:szCs w:val="21"/>
                <w14:textFill>
                  <w14:solidFill>
                    <w14:schemeClr w14:val="tx1"/>
                  </w14:solidFill>
                </w14:textFill>
              </w:rPr>
              <w:t>届电商年货节等促销活动</w:t>
            </w:r>
            <w:r>
              <w:rPr>
                <w:rFonts w:hint="eastAsia" w:ascii="宋体" w:hAnsi="宋体" w:cs="仿宋"/>
                <w:color w:val="000000" w:themeColor="text1"/>
                <w:szCs w:val="21"/>
                <w:lang w:eastAsia="zh-CN"/>
                <w14:textFill>
                  <w14:solidFill>
                    <w14:schemeClr w14:val="tx1"/>
                  </w14:solidFill>
                </w14:textFill>
              </w:rPr>
              <w:t>。</w:t>
            </w:r>
          </w:p>
        </w:tc>
        <w:tc>
          <w:tcPr>
            <w:tcW w:w="4005" w:type="dxa"/>
            <w:noWrap w:val="0"/>
            <w:vAlign w:val="center"/>
          </w:tcPr>
          <w:p w14:paraId="2A42D9A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县商务局牵头，</w:t>
            </w:r>
            <w:r>
              <w:rPr>
                <w:rFonts w:hint="eastAsia" w:ascii="宋体" w:hAnsi="宋体" w:cs="仿宋"/>
                <w:color w:val="000000" w:themeColor="text1"/>
                <w:szCs w:val="21"/>
                <w14:textFill>
                  <w14:solidFill>
                    <w14:schemeClr w14:val="tx1"/>
                  </w14:solidFill>
                </w14:textFill>
              </w:rPr>
              <w:t>县文化旅游广体局负责</w:t>
            </w:r>
          </w:p>
        </w:tc>
        <w:tc>
          <w:tcPr>
            <w:tcW w:w="1140" w:type="dxa"/>
            <w:noWrap w:val="0"/>
            <w:vAlign w:val="center"/>
          </w:tcPr>
          <w:p w14:paraId="5BAEE70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6E1E707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苏仁华</w:t>
            </w:r>
          </w:p>
        </w:tc>
        <w:tc>
          <w:tcPr>
            <w:tcW w:w="1980" w:type="dxa"/>
            <w:noWrap w:val="0"/>
            <w:vAlign w:val="center"/>
          </w:tcPr>
          <w:p w14:paraId="284A99E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0BD5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25" w:type="dxa"/>
            <w:noWrap w:val="0"/>
            <w:vAlign w:val="center"/>
          </w:tcPr>
          <w:p w14:paraId="6490F7C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71AB68AD">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支持刚性和改善性住房消费。支持以旧换新、以小换大、生育多子女家庭住房消费。降低住房商业贷款首付比例，满足房地产企业合理融资需求，保持土地平稳供应并优化结构，确保房地产市场平稳健康发展。</w:t>
            </w:r>
          </w:p>
        </w:tc>
        <w:tc>
          <w:tcPr>
            <w:tcW w:w="4005" w:type="dxa"/>
            <w:noWrap w:val="0"/>
            <w:vAlign w:val="center"/>
          </w:tcPr>
          <w:p w14:paraId="7415373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县住房和城乡建设局牵头</w:t>
            </w:r>
          </w:p>
        </w:tc>
        <w:tc>
          <w:tcPr>
            <w:tcW w:w="1140" w:type="dxa"/>
            <w:noWrap w:val="0"/>
            <w:vAlign w:val="center"/>
          </w:tcPr>
          <w:p w14:paraId="48AB1CD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黄始伟</w:t>
            </w:r>
          </w:p>
        </w:tc>
        <w:tc>
          <w:tcPr>
            <w:tcW w:w="1980" w:type="dxa"/>
            <w:noWrap w:val="0"/>
            <w:vAlign w:val="center"/>
          </w:tcPr>
          <w:p w14:paraId="44BB9838">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杨昌盛</w:t>
            </w:r>
          </w:p>
        </w:tc>
      </w:tr>
      <w:tr w14:paraId="7CB3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2BE5DF6E">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6495" w:type="dxa"/>
            <w:noWrap w:val="0"/>
            <w:vAlign w:val="center"/>
          </w:tcPr>
          <w:p w14:paraId="507F78A5">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促进旅游消费恢复。加快推进精品旅游线路重点县、花园阁湿地保护与修复、上堡与花园阁旅游示范村基础设施等项目建设，争创花园阁湿地公园国家4A景区。保护利用好红色旅游文化，修缮红七军指挥所旧址。加强古镇古寨传统村落及康养等文化旅游宣传，升级打造上堡、六鹅洞、铁杉林等地民宿集群，力争旅游业总收入达20亿元左右、旅游及相关产业增加值占地区生产总值比重达5.6%。</w:t>
            </w:r>
          </w:p>
        </w:tc>
        <w:tc>
          <w:tcPr>
            <w:tcW w:w="4005" w:type="dxa"/>
            <w:noWrap w:val="0"/>
            <w:vAlign w:val="center"/>
          </w:tcPr>
          <w:p w14:paraId="1AC2CE1A">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县文化旅游广电体育局牵头，</w:t>
            </w:r>
            <w:r>
              <w:rPr>
                <w:rFonts w:hint="eastAsia" w:ascii="宋体" w:hAnsi="宋体" w:cs="宋体"/>
                <w:color w:val="000000" w:themeColor="text1"/>
                <w:szCs w:val="21"/>
                <w14:textFill>
                  <w14:solidFill>
                    <w14:schemeClr w14:val="tx1"/>
                  </w14:solidFill>
                </w14:textFill>
              </w:rPr>
              <w:t>县住房和城乡建设局</w:t>
            </w:r>
            <w:r>
              <w:rPr>
                <w:rFonts w:hint="eastAsia"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lang w:eastAsia="zh-CN"/>
                <w14:textFill>
                  <w14:solidFill>
                    <w14:schemeClr w14:val="tx1"/>
                  </w14:solidFill>
                </w14:textFill>
              </w:rPr>
              <w:t>寨市保护处、</w:t>
            </w:r>
            <w:r>
              <w:rPr>
                <w:rFonts w:hint="eastAsia" w:ascii="宋体" w:hAnsi="宋体" w:cs="仿宋"/>
                <w:color w:val="000000" w:themeColor="text1"/>
                <w:szCs w:val="21"/>
                <w14:textFill>
                  <w14:solidFill>
                    <w14:schemeClr w14:val="tx1"/>
                  </w14:solidFill>
                </w14:textFill>
              </w:rPr>
              <w:t>花园阁湿地</w:t>
            </w:r>
            <w:r>
              <w:rPr>
                <w:rFonts w:hint="eastAsia" w:ascii="宋体" w:hAnsi="宋体" w:cs="仿宋"/>
                <w:color w:val="000000" w:themeColor="text1"/>
                <w:szCs w:val="21"/>
                <w:lang w:eastAsia="zh-CN"/>
                <w14:textFill>
                  <w14:solidFill>
                    <w14:schemeClr w14:val="tx1"/>
                  </w14:solidFill>
                </w14:textFill>
              </w:rPr>
              <w:t>公园</w:t>
            </w:r>
            <w:r>
              <w:rPr>
                <w:rFonts w:hint="eastAsia" w:ascii="宋体" w:hAnsi="宋体" w:cs="仿宋"/>
                <w:color w:val="000000" w:themeColor="text1"/>
                <w:szCs w:val="21"/>
                <w14:textFill>
                  <w14:solidFill>
                    <w14:schemeClr w14:val="tx1"/>
                  </w14:solidFill>
                </w14:textFill>
              </w:rPr>
              <w:t>管理处负责</w:t>
            </w:r>
          </w:p>
        </w:tc>
        <w:tc>
          <w:tcPr>
            <w:tcW w:w="1140" w:type="dxa"/>
            <w:noWrap w:val="0"/>
            <w:vAlign w:val="center"/>
          </w:tcPr>
          <w:p w14:paraId="644D4EA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苏仁华</w:t>
            </w:r>
          </w:p>
          <w:p w14:paraId="1EBCF9F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黄始伟</w:t>
            </w:r>
          </w:p>
          <w:p w14:paraId="40937720">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唐卫雄</w:t>
            </w:r>
          </w:p>
          <w:p w14:paraId="72ACA13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李永智</w:t>
            </w:r>
          </w:p>
        </w:tc>
        <w:tc>
          <w:tcPr>
            <w:tcW w:w="1980" w:type="dxa"/>
            <w:noWrap w:val="0"/>
            <w:vAlign w:val="center"/>
          </w:tcPr>
          <w:p w14:paraId="4CB0CEC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4249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25" w:type="dxa"/>
            <w:noWrap w:val="0"/>
            <w:vAlign w:val="center"/>
          </w:tcPr>
          <w:p w14:paraId="12BC063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6495" w:type="dxa"/>
            <w:noWrap w:val="0"/>
            <w:vAlign w:val="center"/>
          </w:tcPr>
          <w:p w14:paraId="3142DA4A">
            <w:pPr>
              <w:jc w:val="left"/>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14:textFill>
                  <w14:solidFill>
                    <w14:schemeClr w14:val="tx1"/>
                  </w14:solidFill>
                </w14:textFill>
              </w:rPr>
              <w:t>大力发展新型消费。促进绿色消费、数字消费、健康消费，挖掘壮大首店首发、预制菜、国潮等消费热点，大力发展体验式、参与式、沉浸式消费。实施“电子商务强主体”工程，</w:t>
            </w:r>
            <w:r>
              <w:rPr>
                <w:rFonts w:hint="eastAsia" w:ascii="宋体" w:hAnsi="宋体" w:cs="仿宋"/>
                <w:color w:val="000000" w:themeColor="text1"/>
                <w:szCs w:val="21"/>
                <w:lang w:eastAsia="zh-CN"/>
                <w14:textFill>
                  <w14:solidFill>
                    <w14:schemeClr w14:val="tx1"/>
                  </w14:solidFill>
                </w14:textFill>
              </w:rPr>
              <w:t>引导电商企业进驻电子商务创业孵化基地。加大电子商务知识普及技能培训，完善电子商务进农村公共服务中心以及物流中心建设，拓展农村电商服务站点功能。</w:t>
            </w:r>
            <w:r>
              <w:rPr>
                <w:rFonts w:hint="eastAsia" w:ascii="宋体" w:hAnsi="宋体" w:cs="仿宋"/>
                <w:color w:val="000000" w:themeColor="text1"/>
                <w:szCs w:val="21"/>
                <w14:textFill>
                  <w14:solidFill>
                    <w14:schemeClr w14:val="tx1"/>
                  </w14:solidFill>
                </w14:textFill>
              </w:rPr>
              <w:t>规范发展直播电商、社区电商，进一步做强</w:t>
            </w:r>
            <w:r>
              <w:rPr>
                <w:rFonts w:hint="eastAsia" w:ascii="宋体" w:hAnsi="宋体" w:cs="仿宋_GB2312"/>
                <w:color w:val="000000" w:themeColor="text1"/>
                <w:szCs w:val="21"/>
                <w14:textFill>
                  <w14:solidFill>
                    <w14:schemeClr w14:val="tx1"/>
                  </w14:solidFill>
                </w14:textFill>
              </w:rPr>
              <w:t>“神奇绿洲，醉美绥宁”绥宁县电商短视频直播人才创业孵化大赛。规范发展“夜间经济”，打造1-2个夜间经济地标和商旅文融合打卡地</w:t>
            </w:r>
            <w:r>
              <w:rPr>
                <w:rFonts w:hint="eastAsia" w:ascii="宋体" w:hAnsi="宋体" w:cs="仿宋_GB2312"/>
                <w:color w:val="000000" w:themeColor="text1"/>
                <w:szCs w:val="21"/>
                <w:lang w:eastAsia="zh-CN"/>
                <w14:textFill>
                  <w14:solidFill>
                    <w14:schemeClr w14:val="tx1"/>
                  </w14:solidFill>
                </w14:textFill>
              </w:rPr>
              <w:t>。</w:t>
            </w:r>
          </w:p>
        </w:tc>
        <w:tc>
          <w:tcPr>
            <w:tcW w:w="4005" w:type="dxa"/>
            <w:noWrap w:val="0"/>
            <w:vAlign w:val="center"/>
          </w:tcPr>
          <w:p w14:paraId="2961F5E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县商务局牵头 ，县文</w:t>
            </w:r>
            <w:r>
              <w:rPr>
                <w:rFonts w:hint="eastAsia" w:ascii="宋体" w:hAnsi="宋体" w:cs="宋体"/>
                <w:color w:val="000000" w:themeColor="text1"/>
                <w:szCs w:val="21"/>
                <w:lang w:eastAsia="zh-CN"/>
                <w14:textFill>
                  <w14:solidFill>
                    <w14:schemeClr w14:val="tx1"/>
                  </w14:solidFill>
                </w14:textFill>
              </w:rPr>
              <w:t>化</w:t>
            </w:r>
            <w:r>
              <w:rPr>
                <w:rFonts w:hint="eastAsia" w:ascii="宋体" w:hAnsi="宋体" w:cs="宋体"/>
                <w:color w:val="000000" w:themeColor="text1"/>
                <w:szCs w:val="21"/>
                <w14:textFill>
                  <w14:solidFill>
                    <w14:schemeClr w14:val="tx1"/>
                  </w14:solidFill>
                </w14:textFill>
              </w:rPr>
              <w:t>旅</w:t>
            </w:r>
            <w:r>
              <w:rPr>
                <w:rFonts w:hint="eastAsia" w:ascii="宋体" w:hAnsi="宋体" w:cs="宋体"/>
                <w:color w:val="000000" w:themeColor="text1"/>
                <w:szCs w:val="21"/>
                <w:lang w:eastAsia="zh-CN"/>
                <w14:textFill>
                  <w14:solidFill>
                    <w14:schemeClr w14:val="tx1"/>
                  </w14:solidFill>
                </w14:textFill>
              </w:rPr>
              <w:t>游</w:t>
            </w:r>
            <w:r>
              <w:rPr>
                <w:rFonts w:hint="eastAsia" w:ascii="宋体" w:hAnsi="宋体" w:cs="宋体"/>
                <w:color w:val="000000" w:themeColor="text1"/>
                <w:szCs w:val="21"/>
                <w14:textFill>
                  <w14:solidFill>
                    <w14:schemeClr w14:val="tx1"/>
                  </w14:solidFill>
                </w14:textFill>
              </w:rPr>
              <w:t>广</w:t>
            </w:r>
            <w:r>
              <w:rPr>
                <w:rFonts w:hint="eastAsia" w:ascii="宋体" w:hAnsi="宋体" w:cs="宋体"/>
                <w:color w:val="000000" w:themeColor="text1"/>
                <w:szCs w:val="21"/>
                <w:lang w:eastAsia="zh-CN"/>
                <w14:textFill>
                  <w14:solidFill>
                    <w14:schemeClr w14:val="tx1"/>
                  </w14:solidFill>
                </w14:textFill>
              </w:rPr>
              <w:t>电</w:t>
            </w:r>
            <w:r>
              <w:rPr>
                <w:rFonts w:hint="eastAsia" w:ascii="宋体" w:hAnsi="宋体" w:cs="宋体"/>
                <w:color w:val="000000" w:themeColor="text1"/>
                <w:szCs w:val="21"/>
                <w14:textFill>
                  <w14:solidFill>
                    <w14:schemeClr w14:val="tx1"/>
                  </w14:solidFill>
                </w14:textFill>
              </w:rPr>
              <w:t>体</w:t>
            </w:r>
            <w:r>
              <w:rPr>
                <w:rFonts w:hint="eastAsia" w:ascii="宋体" w:hAnsi="宋体" w:cs="宋体"/>
                <w:color w:val="000000" w:themeColor="text1"/>
                <w:szCs w:val="21"/>
                <w:lang w:eastAsia="zh-CN"/>
                <w14:textFill>
                  <w14:solidFill>
                    <w14:schemeClr w14:val="tx1"/>
                  </w14:solidFill>
                </w14:textFill>
              </w:rPr>
              <w:t>育</w:t>
            </w:r>
            <w:r>
              <w:rPr>
                <w:rFonts w:hint="eastAsia" w:ascii="宋体" w:hAnsi="宋体" w:cs="宋体"/>
                <w:color w:val="000000" w:themeColor="text1"/>
                <w:szCs w:val="21"/>
                <w14:textFill>
                  <w14:solidFill>
                    <w14:schemeClr w14:val="tx1"/>
                  </w14:solidFill>
                </w14:textFill>
              </w:rPr>
              <w:t>局、</w:t>
            </w:r>
            <w:r>
              <w:rPr>
                <w:rFonts w:hint="eastAsia" w:ascii="宋体" w:hAnsi="宋体" w:cs="宋体"/>
                <w:color w:val="000000" w:themeColor="text1"/>
                <w:szCs w:val="21"/>
                <w:lang w:eastAsia="zh-CN"/>
                <w14:textFill>
                  <w14:solidFill>
                    <w14:schemeClr w14:val="tx1"/>
                  </w14:solidFill>
                </w14:textFill>
              </w:rPr>
              <w:t>县城市管理和综合执法局</w:t>
            </w:r>
            <w:r>
              <w:rPr>
                <w:rFonts w:hint="eastAsia" w:ascii="宋体" w:hAnsi="宋体" w:cs="宋体"/>
                <w:color w:val="000000" w:themeColor="text1"/>
                <w:szCs w:val="21"/>
                <w14:textFill>
                  <w14:solidFill>
                    <w14:schemeClr w14:val="tx1"/>
                  </w14:solidFill>
                </w14:textFill>
              </w:rPr>
              <w:t>、县自然资源局等负责</w:t>
            </w:r>
          </w:p>
        </w:tc>
        <w:tc>
          <w:tcPr>
            <w:tcW w:w="1140" w:type="dxa"/>
            <w:noWrap w:val="0"/>
            <w:vAlign w:val="center"/>
          </w:tcPr>
          <w:p w14:paraId="046FD7A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5F7A21F3">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苏仁华</w:t>
            </w:r>
          </w:p>
          <w:p w14:paraId="0160A1B1">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颜永福</w:t>
            </w:r>
          </w:p>
          <w:p w14:paraId="4AA4B06D">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丁再荣</w:t>
            </w:r>
          </w:p>
        </w:tc>
        <w:tc>
          <w:tcPr>
            <w:tcW w:w="1980" w:type="dxa"/>
            <w:noWrap w:val="0"/>
            <w:vAlign w:val="center"/>
          </w:tcPr>
          <w:p w14:paraId="302898B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14A8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25" w:type="dxa"/>
            <w:noWrap w:val="0"/>
            <w:vAlign w:val="center"/>
          </w:tcPr>
          <w:p w14:paraId="1519901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6495" w:type="dxa"/>
            <w:noWrap w:val="0"/>
            <w:vAlign w:val="center"/>
          </w:tcPr>
          <w:p w14:paraId="6D3DC4A2">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引进培育商贸企业。支持百强连锁企业</w:t>
            </w:r>
            <w:r>
              <w:rPr>
                <w:rFonts w:hint="eastAsia" w:ascii="宋体" w:hAnsi="宋体" w:cs="仿宋"/>
                <w:color w:val="000000" w:themeColor="text1"/>
                <w:szCs w:val="21"/>
                <w:lang w:eastAsia="zh-CN"/>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大宗商品消费企业在我县设立采购中心和销售公司，支持大型连锁企业做大做强，力争全县新增批发、零售、住宿、餐饮企业30家以上。</w:t>
            </w:r>
          </w:p>
        </w:tc>
        <w:tc>
          <w:tcPr>
            <w:tcW w:w="4005" w:type="dxa"/>
            <w:noWrap w:val="0"/>
            <w:vAlign w:val="center"/>
          </w:tcPr>
          <w:p w14:paraId="26C93FE3">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县商务局牵头，县发展和改革局等负责</w:t>
            </w:r>
          </w:p>
        </w:tc>
        <w:tc>
          <w:tcPr>
            <w:tcW w:w="1140" w:type="dxa"/>
            <w:noWrap w:val="0"/>
            <w:vAlign w:val="center"/>
          </w:tcPr>
          <w:p w14:paraId="7E58B76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03C28B6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tc>
        <w:tc>
          <w:tcPr>
            <w:tcW w:w="1980" w:type="dxa"/>
            <w:noWrap w:val="0"/>
            <w:vAlign w:val="center"/>
          </w:tcPr>
          <w:p w14:paraId="2AE0EE8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06A6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825" w:type="dxa"/>
            <w:noWrap w:val="0"/>
            <w:vAlign w:val="center"/>
          </w:tcPr>
          <w:p w14:paraId="401BB709">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6495" w:type="dxa"/>
            <w:noWrap w:val="0"/>
            <w:vAlign w:val="center"/>
          </w:tcPr>
          <w:p w14:paraId="044C1117">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优化提升消费环境。完善以县城为中心、乡镇为重点、村为基础的农村商业体系，</w:t>
            </w:r>
            <w:r>
              <w:rPr>
                <w:rFonts w:hint="eastAsia" w:ascii="宋体" w:hAnsi="宋体" w:cs="仿宋"/>
                <w:color w:val="000000" w:themeColor="text1"/>
                <w:szCs w:val="21"/>
                <w:lang w:eastAsia="zh-CN"/>
                <w14:textFill>
                  <w14:solidFill>
                    <w14:schemeClr w14:val="tx1"/>
                  </w14:solidFill>
                </w14:textFill>
              </w:rPr>
              <w:t>实施武阳、金屋塘、麻塘、绿洲大道等农贸市场建设工程</w:t>
            </w:r>
            <w:r>
              <w:rPr>
                <w:rFonts w:hint="eastAsia" w:ascii="宋体" w:hAnsi="宋体" w:cs="仿宋"/>
                <w:color w:val="000000" w:themeColor="text1"/>
                <w:szCs w:val="21"/>
                <w14:textFill>
                  <w14:solidFill>
                    <w14:schemeClr w14:val="tx1"/>
                  </w14:solidFill>
                </w14:textFill>
              </w:rPr>
              <w:t>。支持大汉风情商业街二期建设，打造县城区域消费中心。推进</w:t>
            </w:r>
            <w:r>
              <w:rPr>
                <w:rFonts w:hint="eastAsia" w:ascii="宋体" w:hAnsi="宋体" w:cs="仿宋"/>
                <w:color w:val="000000" w:themeColor="text1"/>
                <w:szCs w:val="21"/>
                <w:lang w:eastAsia="zh-CN"/>
                <w14:textFill>
                  <w14:solidFill>
                    <w14:schemeClr w14:val="tx1"/>
                  </w14:solidFill>
                </w14:textFill>
              </w:rPr>
              <w:t>东山乡等地</w:t>
            </w:r>
            <w:r>
              <w:rPr>
                <w:rFonts w:hint="eastAsia" w:ascii="宋体" w:hAnsi="宋体" w:cs="仿宋"/>
                <w:color w:val="000000" w:themeColor="text1"/>
                <w:szCs w:val="21"/>
                <w14:textFill>
                  <w14:solidFill>
                    <w14:schemeClr w14:val="tx1"/>
                  </w14:solidFill>
                </w14:textFill>
              </w:rPr>
              <w:t>农产品产地冷藏保鲜物流体系</w:t>
            </w:r>
            <w:r>
              <w:rPr>
                <w:rFonts w:hint="eastAsia" w:ascii="宋体" w:hAnsi="宋体" w:cs="仿宋"/>
                <w:color w:val="000000" w:themeColor="text1"/>
                <w:szCs w:val="21"/>
                <w:lang w:eastAsia="zh-CN"/>
                <w14:textFill>
                  <w14:solidFill>
                    <w14:schemeClr w14:val="tx1"/>
                  </w14:solidFill>
                </w14:textFill>
              </w:rPr>
              <w:t>和绥宁县农产品冷链物流中心</w:t>
            </w:r>
            <w:r>
              <w:rPr>
                <w:rFonts w:hint="eastAsia" w:ascii="宋体" w:hAnsi="宋体" w:cs="仿宋"/>
                <w:color w:val="000000" w:themeColor="text1"/>
                <w:szCs w:val="21"/>
                <w14:textFill>
                  <w14:solidFill>
                    <w14:schemeClr w14:val="tx1"/>
                  </w14:solidFill>
                </w14:textFill>
              </w:rPr>
              <w:t>建设。加强消费者权益保护，完善消费维权机制。</w:t>
            </w:r>
          </w:p>
        </w:tc>
        <w:tc>
          <w:tcPr>
            <w:tcW w:w="4005" w:type="dxa"/>
            <w:noWrap w:val="0"/>
            <w:vAlign w:val="center"/>
          </w:tcPr>
          <w:p w14:paraId="5B003693">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县商务局牵头，县发展和改革局、县文旅广体局、</w:t>
            </w:r>
            <w:r>
              <w:rPr>
                <w:rFonts w:hint="eastAsia" w:ascii="宋体" w:hAnsi="宋体" w:cs="仿宋"/>
                <w:color w:val="000000" w:themeColor="text1"/>
                <w:szCs w:val="21"/>
                <w:lang w:eastAsia="zh-CN"/>
                <w14:textFill>
                  <w14:solidFill>
                    <w14:schemeClr w14:val="tx1"/>
                  </w14:solidFill>
                </w14:textFill>
              </w:rPr>
              <w:t>县市场监督管理局</w:t>
            </w:r>
            <w:r>
              <w:rPr>
                <w:rFonts w:hint="eastAsia" w:ascii="宋体" w:hAnsi="宋体" w:cs="仿宋"/>
                <w:color w:val="000000" w:themeColor="text1"/>
                <w:szCs w:val="21"/>
                <w14:textFill>
                  <w14:solidFill>
                    <w14:schemeClr w14:val="tx1"/>
                  </w14:solidFill>
                </w14:textFill>
              </w:rPr>
              <w:t>、县农业农村水利局、县畜牧水产事务中心等负责</w:t>
            </w:r>
          </w:p>
        </w:tc>
        <w:tc>
          <w:tcPr>
            <w:tcW w:w="1140" w:type="dxa"/>
            <w:noWrap w:val="0"/>
            <w:vAlign w:val="center"/>
          </w:tcPr>
          <w:p w14:paraId="6CB37FB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3C3E591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32997E5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苏仁华</w:t>
            </w:r>
          </w:p>
          <w:p w14:paraId="4AC6B31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向祖金</w:t>
            </w:r>
          </w:p>
          <w:p w14:paraId="587D156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  彬</w:t>
            </w:r>
          </w:p>
          <w:p w14:paraId="2A2B014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杨通生</w:t>
            </w:r>
          </w:p>
        </w:tc>
        <w:tc>
          <w:tcPr>
            <w:tcW w:w="1980" w:type="dxa"/>
            <w:noWrap w:val="0"/>
            <w:vAlign w:val="center"/>
          </w:tcPr>
          <w:p w14:paraId="435FAAD7">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4DE2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45" w:type="dxa"/>
            <w:gridSpan w:val="5"/>
            <w:noWrap w:val="0"/>
            <w:vAlign w:val="center"/>
          </w:tcPr>
          <w:p w14:paraId="10BAFDC9">
            <w:pPr>
              <w:jc w:val="center"/>
              <w:rPr>
                <w:rFonts w:hint="eastAsia" w:ascii="仿宋" w:hAnsi="仿宋" w:eastAsia="仿宋" w:cs="仿宋"/>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（二）着力扩大有效投资</w:t>
            </w:r>
          </w:p>
        </w:tc>
      </w:tr>
      <w:tr w14:paraId="18D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25" w:type="dxa"/>
            <w:noWrap w:val="0"/>
            <w:vAlign w:val="center"/>
          </w:tcPr>
          <w:p w14:paraId="670BAFC1">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13EA5F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抓好重大产业项目建设。抓好牛头岭风电场、</w:t>
            </w:r>
            <w:r>
              <w:rPr>
                <w:rFonts w:hint="eastAsia" w:ascii="宋体" w:hAnsi="宋体" w:cs="仿宋_GB2312"/>
                <w:color w:val="000000" w:themeColor="text1"/>
                <w:szCs w:val="21"/>
                <w14:textFill>
                  <w14:solidFill>
                    <w14:schemeClr w14:val="tx1"/>
                  </w14:solidFill>
                </w14:textFill>
              </w:rPr>
              <w:t>220KV变电站电化学储能、竹</w:t>
            </w:r>
            <w:r>
              <w:rPr>
                <w:rFonts w:hint="eastAsia" w:ascii="宋体" w:hAnsi="宋体" w:cs="仿宋_GB2312"/>
                <w:color w:val="000000" w:themeColor="text1"/>
                <w:szCs w:val="21"/>
                <w:lang w:eastAsia="zh-CN"/>
                <w14:textFill>
                  <w14:solidFill>
                    <w14:schemeClr w14:val="tx1"/>
                  </w14:solidFill>
                </w14:textFill>
              </w:rPr>
              <w:t>竹纤维资源化开发</w:t>
            </w:r>
            <w:r>
              <w:rPr>
                <w:rFonts w:hint="eastAsia" w:ascii="宋体" w:hAnsi="宋体" w:cs="仿宋_GB2312"/>
                <w:color w:val="000000" w:themeColor="text1"/>
                <w:szCs w:val="21"/>
                <w14:textFill>
                  <w14:solidFill>
                    <w14:schemeClr w14:val="tx1"/>
                  </w14:solidFill>
                </w14:textFill>
              </w:rPr>
              <w:t>、湖南九通竹缠绕管材、沣城高档体育滑板、整县集中式和分布式光伏发电、现代化畜禽屠宰冷链及深加工项目</w:t>
            </w:r>
            <w:r>
              <w:rPr>
                <w:rFonts w:hint="eastAsia" w:ascii="宋体" w:hAnsi="宋体" w:cs="仿宋_GB2312"/>
                <w:color w:val="000000" w:themeColor="text1"/>
                <w:szCs w:val="21"/>
                <w:lang w:eastAsia="zh-CN"/>
                <w14:textFill>
                  <w14:solidFill>
                    <w14:schemeClr w14:val="tx1"/>
                  </w14:solidFill>
                </w14:textFill>
              </w:rPr>
              <w:t>、鸿登产业综合体</w:t>
            </w:r>
            <w:r>
              <w:rPr>
                <w:rFonts w:hint="eastAsia" w:ascii="宋体" w:hAnsi="宋体" w:cs="仿宋_GB2312"/>
                <w:color w:val="000000" w:themeColor="text1"/>
                <w:szCs w:val="21"/>
                <w14:textFill>
                  <w14:solidFill>
                    <w14:schemeClr w14:val="tx1"/>
                  </w14:solidFill>
                </w14:textFill>
              </w:rPr>
              <w:t>等重</w:t>
            </w:r>
            <w:r>
              <w:rPr>
                <w:rFonts w:hint="eastAsia" w:ascii="宋体" w:hAnsi="宋体" w:cs="仿宋"/>
                <w:color w:val="000000" w:themeColor="text1"/>
                <w:szCs w:val="21"/>
                <w14:textFill>
                  <w14:solidFill>
                    <w14:schemeClr w14:val="tx1"/>
                  </w14:solidFill>
                </w14:textFill>
              </w:rPr>
              <w:t>大产业项目。</w:t>
            </w:r>
          </w:p>
        </w:tc>
        <w:tc>
          <w:tcPr>
            <w:tcW w:w="4005" w:type="dxa"/>
            <w:noWrap w:val="0"/>
            <w:vAlign w:val="center"/>
          </w:tcPr>
          <w:p w14:paraId="3C86CB18">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县发展和改革局牵头，</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、县畜牧水产事务中心负责</w:t>
            </w:r>
          </w:p>
        </w:tc>
        <w:tc>
          <w:tcPr>
            <w:tcW w:w="1140" w:type="dxa"/>
            <w:noWrap w:val="0"/>
            <w:vAlign w:val="center"/>
          </w:tcPr>
          <w:p w14:paraId="700039C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7D82890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p w14:paraId="5F0AB90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杨通生</w:t>
            </w:r>
          </w:p>
        </w:tc>
        <w:tc>
          <w:tcPr>
            <w:tcW w:w="1980" w:type="dxa"/>
            <w:noWrap w:val="0"/>
            <w:vAlign w:val="center"/>
          </w:tcPr>
          <w:p w14:paraId="3342354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5536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2A2F3443">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4C9268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抓好重大基础设施项目建设。抓好秀水水库左右干渠、高标准农田建设、G356乐安至寨牙段改造、</w:t>
            </w:r>
            <w:r>
              <w:rPr>
                <w:rFonts w:hint="eastAsia" w:ascii="宋体" w:hAnsi="宋体" w:cs="仿宋"/>
                <w:color w:val="000000" w:themeColor="text1"/>
                <w:szCs w:val="21"/>
                <w:lang w:eastAsia="zh-CN"/>
                <w14:textFill>
                  <w14:solidFill>
                    <w14:schemeClr w14:val="tx1"/>
                  </w14:solidFill>
                </w14:textFill>
              </w:rPr>
              <w:t>佘家河水环境治理、</w:t>
            </w:r>
            <w:r>
              <w:rPr>
                <w:rFonts w:hint="eastAsia" w:ascii="宋体" w:hAnsi="宋体" w:cs="仿宋"/>
                <w:color w:val="000000" w:themeColor="text1"/>
                <w:szCs w:val="21"/>
                <w14:textFill>
                  <w14:solidFill>
                    <w14:schemeClr w14:val="tx1"/>
                  </w14:solidFill>
                </w14:textFill>
              </w:rPr>
              <w:t>人民医院提标扩能一期、县城三水厂、四片两路棚户区改造</w:t>
            </w:r>
            <w:r>
              <w:rPr>
                <w:rFonts w:hint="eastAsia" w:ascii="宋体" w:hAnsi="宋体" w:cs="仿宋"/>
                <w:color w:val="000000" w:themeColor="text1"/>
                <w:szCs w:val="21"/>
                <w:lang w:eastAsia="zh-CN"/>
                <w14:textFill>
                  <w14:solidFill>
                    <w14:schemeClr w14:val="tx1"/>
                  </w14:solidFill>
                </w14:textFill>
              </w:rPr>
              <w:t>、文化艺术中心</w:t>
            </w:r>
            <w:r>
              <w:rPr>
                <w:rFonts w:hint="eastAsia" w:ascii="宋体" w:hAnsi="宋体" w:cs="仿宋"/>
                <w:color w:val="000000" w:themeColor="text1"/>
                <w:szCs w:val="21"/>
                <w14:textFill>
                  <w14:solidFill>
                    <w14:schemeClr w14:val="tx1"/>
                  </w14:solidFill>
                </w14:textFill>
              </w:rPr>
              <w:t>等重大基础设施建设。</w:t>
            </w:r>
          </w:p>
        </w:tc>
        <w:tc>
          <w:tcPr>
            <w:tcW w:w="4005" w:type="dxa"/>
            <w:noWrap w:val="0"/>
            <w:vAlign w:val="center"/>
          </w:tcPr>
          <w:p w14:paraId="7CAD02FC">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县发展和改革局牵头，</w:t>
            </w:r>
            <w:r>
              <w:rPr>
                <w:rFonts w:hint="eastAsia" w:ascii="宋体" w:hAnsi="宋体" w:cs="宋体"/>
                <w:color w:val="000000" w:themeColor="text1"/>
                <w:szCs w:val="21"/>
                <w14:textFill>
                  <w14:solidFill>
                    <w14:schemeClr w14:val="tx1"/>
                  </w14:solidFill>
                </w14:textFill>
              </w:rPr>
              <w:t>县住房和城乡建设局</w:t>
            </w:r>
            <w:r>
              <w:rPr>
                <w:rFonts w:hint="eastAsia" w:ascii="宋体" w:hAnsi="宋体" w:cs="仿宋"/>
                <w:color w:val="000000" w:themeColor="text1"/>
                <w:szCs w:val="21"/>
                <w14:textFill>
                  <w14:solidFill>
                    <w14:schemeClr w14:val="tx1"/>
                  </w14:solidFill>
                </w14:textFill>
              </w:rPr>
              <w:t>、县农业农村水利局、县交通运输局、县卫生健康局</w:t>
            </w:r>
            <w:r>
              <w:rPr>
                <w:rFonts w:hint="eastAsia" w:ascii="宋体" w:hAnsi="宋体" w:cs="仿宋"/>
                <w:color w:val="000000" w:themeColor="text1"/>
                <w:szCs w:val="21"/>
                <w:lang w:eastAsia="zh-CN"/>
                <w14:textFill>
                  <w14:solidFill>
                    <w14:schemeClr w14:val="tx1"/>
                  </w14:solidFill>
                </w14:textFill>
              </w:rPr>
              <w:t>、县城投公司</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2206176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唐友柏</w:t>
            </w:r>
          </w:p>
          <w:p w14:paraId="79EF8EE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黄始伟</w:t>
            </w:r>
          </w:p>
          <w:p w14:paraId="123AD25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彬</w:t>
            </w:r>
          </w:p>
          <w:p w14:paraId="3FECD75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陈又清</w:t>
            </w:r>
          </w:p>
          <w:p w14:paraId="1616A8F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莫丛英</w:t>
            </w:r>
          </w:p>
          <w:p w14:paraId="2849F2DF">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龙景佳</w:t>
            </w:r>
          </w:p>
        </w:tc>
        <w:tc>
          <w:tcPr>
            <w:tcW w:w="1980" w:type="dxa"/>
            <w:noWrap w:val="0"/>
            <w:vAlign w:val="center"/>
          </w:tcPr>
          <w:p w14:paraId="175E894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3742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74894B05">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6495" w:type="dxa"/>
            <w:noWrap w:val="0"/>
            <w:vAlign w:val="center"/>
          </w:tcPr>
          <w:p w14:paraId="00AE382D">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实施物流发展“强基补链”工程。扩大电子商务进农村综合示范覆盖面，推进物流通道和城乡客运一体化等交通枢纽建设，开通快递进村路线，</w:t>
            </w:r>
            <w:r>
              <w:rPr>
                <w:rFonts w:hint="eastAsia" w:ascii="宋体" w:hAnsi="宋体" w:cs="仿宋"/>
                <w:color w:val="000000" w:themeColor="text1"/>
                <w:szCs w:val="21"/>
                <w:lang w:eastAsia="zh-CN"/>
                <w14:textFill>
                  <w14:solidFill>
                    <w14:schemeClr w14:val="tx1"/>
                  </w14:solidFill>
                </w14:textFill>
              </w:rPr>
              <w:t>建立三级物流体系，开通快递进村线路，</w:t>
            </w:r>
            <w:r>
              <w:rPr>
                <w:rFonts w:hint="eastAsia" w:ascii="宋体" w:hAnsi="宋体" w:cs="仿宋"/>
                <w:color w:val="000000" w:themeColor="text1"/>
                <w:szCs w:val="21"/>
                <w14:textFill>
                  <w14:solidFill>
                    <w14:schemeClr w14:val="tx1"/>
                  </w14:solidFill>
                </w14:textFill>
              </w:rPr>
              <w:t>补齐冷链物流和农村物流短板，切实破解“快递进村难”问题，推动构建“通道十枢纽十网络十平台”的现代物流运行体系。</w:t>
            </w:r>
          </w:p>
        </w:tc>
        <w:tc>
          <w:tcPr>
            <w:tcW w:w="4005" w:type="dxa"/>
            <w:noWrap w:val="0"/>
            <w:vAlign w:val="center"/>
          </w:tcPr>
          <w:p w14:paraId="126C3040">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县商务局牵头，县发展和改革局，县交通运输局、</w:t>
            </w:r>
            <w:r>
              <w:rPr>
                <w:rFonts w:hint="eastAsia" w:ascii="宋体" w:hAnsi="宋体" w:cs="仿宋"/>
                <w:color w:val="000000" w:themeColor="text1"/>
                <w:szCs w:val="21"/>
                <w:lang w:eastAsia="zh-CN"/>
                <w14:textFill>
                  <w14:solidFill>
                    <w14:schemeClr w14:val="tx1"/>
                  </w14:solidFill>
                </w14:textFill>
              </w:rPr>
              <w:t>县邮政公司</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61AC7C0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4CF2F3F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587A545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陈又清</w:t>
            </w:r>
          </w:p>
          <w:p w14:paraId="74C34E52">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陈志剑</w:t>
            </w:r>
          </w:p>
        </w:tc>
        <w:tc>
          <w:tcPr>
            <w:tcW w:w="1980" w:type="dxa"/>
            <w:noWrap w:val="0"/>
            <w:vAlign w:val="center"/>
          </w:tcPr>
          <w:p w14:paraId="1CD34B90">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4CF2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28093BCF">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6495" w:type="dxa"/>
            <w:noWrap w:val="0"/>
            <w:vAlign w:val="center"/>
          </w:tcPr>
          <w:p w14:paraId="6EC9EEF2">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加快信息基础设施建设。加快5G、移动物联网、千兆光网等信息基础设施建设，建成5G基站200座以上。促进智慧高速、智能仓储物流示范基地等融合基础设施智能升级。全县城区和乡镇所在地实现5G网络全覆盖。</w:t>
            </w:r>
          </w:p>
        </w:tc>
        <w:tc>
          <w:tcPr>
            <w:tcW w:w="4005" w:type="dxa"/>
            <w:noWrap w:val="0"/>
            <w:vAlign w:val="center"/>
          </w:tcPr>
          <w:p w14:paraId="29B6532F">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县发展和改革局负责</w:t>
            </w:r>
          </w:p>
        </w:tc>
        <w:tc>
          <w:tcPr>
            <w:tcW w:w="1140" w:type="dxa"/>
            <w:noWrap w:val="0"/>
            <w:vAlign w:val="center"/>
          </w:tcPr>
          <w:p w14:paraId="554915A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tc>
        <w:tc>
          <w:tcPr>
            <w:tcW w:w="1980" w:type="dxa"/>
            <w:noWrap w:val="0"/>
            <w:vAlign w:val="center"/>
          </w:tcPr>
          <w:p w14:paraId="6D56D90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00A7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208BD3BD">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6495" w:type="dxa"/>
            <w:noWrap w:val="0"/>
            <w:vAlign w:val="center"/>
          </w:tcPr>
          <w:p w14:paraId="7AAF4700">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加强农业基础设施建设。新建高标准农田2.8万亩，实施设施农业建设提升行动，利用好杂交水稻制种奖励资金和秸秆综合示范工程，支持建设杂交水稻制种产业园、秸秆生物肥料等设施农业基地5个。完善农业防灾减灾设施，保障农业农村用水饮水安全。健全县、乡、村三级物流服务网络，推进县域农产品冷链配送仓储中心建设，完善农产品产地冷藏保鲜设施体系。</w:t>
            </w:r>
          </w:p>
        </w:tc>
        <w:tc>
          <w:tcPr>
            <w:tcW w:w="4005" w:type="dxa"/>
            <w:noWrap w:val="0"/>
            <w:vAlign w:val="center"/>
          </w:tcPr>
          <w:p w14:paraId="67DB12F1">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县农业农村水利局牵头，县商务局等负责</w:t>
            </w:r>
          </w:p>
        </w:tc>
        <w:tc>
          <w:tcPr>
            <w:tcW w:w="1140" w:type="dxa"/>
            <w:noWrap w:val="0"/>
            <w:vAlign w:val="center"/>
          </w:tcPr>
          <w:p w14:paraId="73A96E80">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李  彬</w:t>
            </w:r>
          </w:p>
          <w:p w14:paraId="74CD557C">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徐邦东</w:t>
            </w:r>
          </w:p>
        </w:tc>
        <w:tc>
          <w:tcPr>
            <w:tcW w:w="1980" w:type="dxa"/>
            <w:noWrap w:val="0"/>
            <w:vAlign w:val="center"/>
          </w:tcPr>
          <w:p w14:paraId="3E590ED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梁恩雄</w:t>
            </w:r>
          </w:p>
        </w:tc>
      </w:tr>
      <w:tr w14:paraId="58C6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7D26F575">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6495" w:type="dxa"/>
            <w:noWrap w:val="0"/>
            <w:vAlign w:val="center"/>
          </w:tcPr>
          <w:p w14:paraId="3210C921">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激发民间投资活力。打通制约民间投资增长的报建审批、融资服务、要素保障等堵点，完善社会资本投融资合作对接机制。选择一批规模适度、经济可行的经营性项目向社会公开推介。鼓励支持社会资本通过独资、股权合作等方式，参与城市更新等重大工程和补短板项目。</w:t>
            </w:r>
          </w:p>
        </w:tc>
        <w:tc>
          <w:tcPr>
            <w:tcW w:w="4005" w:type="dxa"/>
            <w:noWrap w:val="0"/>
            <w:vAlign w:val="center"/>
          </w:tcPr>
          <w:p w14:paraId="2AD98ABF">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县发展和改革局、县住房和城乡建设局、县交通运输局、县农业农村水利局、县金融服务中心</w:t>
            </w:r>
            <w:r>
              <w:rPr>
                <w:rFonts w:hint="eastAsia" w:ascii="宋体" w:hAnsi="宋体" w:cs="仿宋"/>
                <w:color w:val="000000" w:themeColor="text1"/>
                <w:szCs w:val="21"/>
                <w:lang w:eastAsia="zh-CN"/>
                <w14:textFill>
                  <w14:solidFill>
                    <w14:schemeClr w14:val="tx1"/>
                  </w14:solidFill>
                </w14:textFill>
              </w:rPr>
              <w:t>、县城投公司、县农投公司</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054AB8F6">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唐友柏</w:t>
            </w:r>
          </w:p>
          <w:p w14:paraId="10BD7453">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黄始伟</w:t>
            </w:r>
          </w:p>
          <w:p w14:paraId="5483A15F">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陈又清</w:t>
            </w:r>
          </w:p>
          <w:p w14:paraId="30D9CA38">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李  彬</w:t>
            </w:r>
          </w:p>
          <w:p w14:paraId="18431F59">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张克俭</w:t>
            </w:r>
          </w:p>
          <w:p w14:paraId="2C7385AC">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龙景佳</w:t>
            </w:r>
          </w:p>
          <w:p w14:paraId="24225681">
            <w:pPr>
              <w:pStyle w:val="12"/>
              <w:ind w:left="0" w:leftChars="0" w:firstLine="210" w:firstLineChars="1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陈立新</w:t>
            </w:r>
          </w:p>
        </w:tc>
        <w:tc>
          <w:tcPr>
            <w:tcW w:w="1980" w:type="dxa"/>
            <w:noWrap w:val="0"/>
            <w:vAlign w:val="center"/>
          </w:tcPr>
          <w:p w14:paraId="2A3999C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0A5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25" w:type="dxa"/>
            <w:noWrap w:val="0"/>
            <w:vAlign w:val="center"/>
          </w:tcPr>
          <w:p w14:paraId="664D8253">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6495" w:type="dxa"/>
            <w:noWrap w:val="0"/>
            <w:vAlign w:val="center"/>
          </w:tcPr>
          <w:p w14:paraId="3D8FDB46">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推进政府投资管理系统性创新。持续优化落实投资管理“五举措”，深化投资项目审批制度改革，健全容缺审批机制。完善项目滚动开发机制，加强项目开发储备，深化项目前期工作，确保项目质量。开展投资“赛马”激励，对重大项目实施进度快的单位在用地指标、建设资金等方面给予支持，对实施进度滞后的单位予以通报。</w:t>
            </w:r>
          </w:p>
        </w:tc>
        <w:tc>
          <w:tcPr>
            <w:tcW w:w="4005" w:type="dxa"/>
            <w:noWrap w:val="0"/>
            <w:vAlign w:val="center"/>
          </w:tcPr>
          <w:p w14:paraId="72CA7B3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县发展和改革局牵头，县自然资源局、县财政局</w:t>
            </w:r>
            <w:r>
              <w:rPr>
                <w:rFonts w:hint="eastAsia" w:ascii="宋体" w:hAnsi="宋体" w:cs="宋体"/>
                <w:color w:val="000000" w:themeColor="text1"/>
                <w:szCs w:val="21"/>
                <w:lang w:eastAsia="zh-CN"/>
                <w14:textFill>
                  <w14:solidFill>
                    <w14:schemeClr w14:val="tx1"/>
                  </w14:solidFill>
                </w14:textFill>
              </w:rPr>
              <w:t>、县住房和城乡建设局</w:t>
            </w:r>
            <w:r>
              <w:rPr>
                <w:rFonts w:hint="eastAsia" w:ascii="宋体" w:hAnsi="宋体" w:cs="宋体"/>
                <w:color w:val="000000" w:themeColor="text1"/>
                <w:szCs w:val="21"/>
                <w14:textFill>
                  <w14:solidFill>
                    <w14:schemeClr w14:val="tx1"/>
                  </w14:solidFill>
                </w14:textFill>
              </w:rPr>
              <w:t>负责</w:t>
            </w:r>
          </w:p>
        </w:tc>
        <w:tc>
          <w:tcPr>
            <w:tcW w:w="1140" w:type="dxa"/>
            <w:noWrap w:val="0"/>
            <w:vAlign w:val="center"/>
          </w:tcPr>
          <w:p w14:paraId="58AE404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72F14DAD">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丁再荣</w:t>
            </w:r>
          </w:p>
          <w:p w14:paraId="56EA17CC">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兴</w:t>
            </w:r>
          </w:p>
          <w:p w14:paraId="75A31F6C">
            <w:pPr>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黄始伟</w:t>
            </w:r>
          </w:p>
        </w:tc>
        <w:tc>
          <w:tcPr>
            <w:tcW w:w="1980" w:type="dxa"/>
            <w:noWrap w:val="0"/>
            <w:vAlign w:val="center"/>
          </w:tcPr>
          <w:p w14:paraId="311E5F1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5978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445" w:type="dxa"/>
            <w:gridSpan w:val="5"/>
            <w:noWrap w:val="0"/>
            <w:vAlign w:val="center"/>
          </w:tcPr>
          <w:p w14:paraId="3BF9D190">
            <w:pPr>
              <w:jc w:val="center"/>
              <w:rPr>
                <w:rFonts w:hint="eastAsia" w:ascii="仿宋" w:hAnsi="仿宋" w:eastAsia="仿宋" w:cs="仿宋"/>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(三)推进高水平对外开放</w:t>
            </w:r>
          </w:p>
        </w:tc>
      </w:tr>
      <w:tr w14:paraId="02D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825" w:type="dxa"/>
            <w:noWrap w:val="0"/>
            <w:vAlign w:val="center"/>
          </w:tcPr>
          <w:p w14:paraId="16CE38EC">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2C89E40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加快融入共建“一带一路”高质量发展。推进湘商产业园出口监管仓</w:t>
            </w:r>
            <w:r>
              <w:rPr>
                <w:rFonts w:hint="eastAsia" w:ascii="宋体" w:hAnsi="宋体" w:cs="仿宋"/>
                <w:color w:val="000000" w:themeColor="text1"/>
                <w:szCs w:val="21"/>
                <w:lang w:eastAsia="zh-CN"/>
                <w14:textFill>
                  <w14:solidFill>
                    <w14:schemeClr w14:val="tx1"/>
                  </w14:solidFill>
                </w14:textFill>
              </w:rPr>
              <w:t>投入运营</w:t>
            </w:r>
            <w:r>
              <w:rPr>
                <w:rFonts w:hint="eastAsia" w:ascii="宋体" w:hAnsi="宋体" w:cs="仿宋"/>
                <w:color w:val="000000" w:themeColor="text1"/>
                <w:szCs w:val="21"/>
                <w14:textFill>
                  <w14:solidFill>
                    <w14:schemeClr w14:val="tx1"/>
                  </w14:solidFill>
                </w14:textFill>
              </w:rPr>
              <w:t>。利用好湖南自贸雨花区块高桥版块湖南出口产品集聚区邵阳馆绥宁专区机遇，积极布展绥宁市场采购贸易专场活动。组织县内</w:t>
            </w:r>
            <w:r>
              <w:rPr>
                <w:rFonts w:hint="eastAsia" w:ascii="宋体" w:hAnsi="宋体" w:cs="仿宋_GB2312"/>
                <w:color w:val="000000" w:themeColor="text1"/>
                <w:szCs w:val="21"/>
                <w14:textFill>
                  <w14:solidFill>
                    <w14:schemeClr w14:val="tx1"/>
                  </w14:solidFill>
                </w14:textFill>
              </w:rPr>
              <w:t>箱包、</w:t>
            </w:r>
            <w:r>
              <w:rPr>
                <w:rFonts w:ascii="宋体" w:hAnsi="宋体" w:cs="仿宋_GB2312"/>
                <w:color w:val="000000" w:themeColor="text1"/>
                <w:szCs w:val="21"/>
                <w14:textFill>
                  <w14:solidFill>
                    <w14:schemeClr w14:val="tx1"/>
                  </w14:solidFill>
                </w14:textFill>
              </w:rPr>
              <w:t>苗家剪纸、苗绣、</w:t>
            </w:r>
            <w:r>
              <w:rPr>
                <w:rFonts w:hint="eastAsia" w:ascii="宋体" w:hAnsi="宋体" w:cs="仿宋_GB2312"/>
                <w:color w:val="000000" w:themeColor="text1"/>
                <w:szCs w:val="21"/>
                <w14:textFill>
                  <w14:solidFill>
                    <w14:schemeClr w14:val="tx1"/>
                  </w14:solidFill>
                </w14:textFill>
              </w:rPr>
              <w:t>竹木调理枕 、农产品</w:t>
            </w:r>
            <w:r>
              <w:rPr>
                <w:rFonts w:ascii="宋体" w:hAnsi="宋体" w:cs="仿宋_GB2312"/>
                <w:color w:val="000000" w:themeColor="text1"/>
                <w:szCs w:val="21"/>
                <w14:textFill>
                  <w14:solidFill>
                    <w14:schemeClr w14:val="tx1"/>
                  </w14:solidFill>
                </w14:textFill>
              </w:rPr>
              <w:t>（灌辣椒、金秋梨、万花茶、雕花蜜饯）、茶叶、竹工艺品、竹缠绕管道、竹</w:t>
            </w:r>
            <w:r>
              <w:rPr>
                <w:rFonts w:hint="eastAsia" w:ascii="宋体" w:hAnsi="宋体" w:cs="仿宋_GB2312"/>
                <w:color w:val="000000" w:themeColor="text1"/>
                <w:szCs w:val="21"/>
                <w:lang w:eastAsia="zh-CN"/>
                <w14:textFill>
                  <w14:solidFill>
                    <w14:schemeClr w14:val="tx1"/>
                  </w14:solidFill>
                </w14:textFill>
              </w:rPr>
              <w:t>制</w:t>
            </w:r>
            <w:r>
              <w:rPr>
                <w:rFonts w:ascii="宋体" w:hAnsi="宋体" w:cs="仿宋_GB2312"/>
                <w:color w:val="000000" w:themeColor="text1"/>
                <w:szCs w:val="21"/>
                <w14:textFill>
                  <w14:solidFill>
                    <w14:schemeClr w14:val="tx1"/>
                  </w14:solidFill>
                </w14:textFill>
              </w:rPr>
              <w:t>西餐具</w:t>
            </w:r>
            <w:r>
              <w:rPr>
                <w:rFonts w:hint="eastAsia" w:ascii="宋体" w:hAnsi="宋体" w:cs="仿宋_GB2312"/>
                <w:color w:val="000000" w:themeColor="text1"/>
                <w:szCs w:val="21"/>
                <w14:textFill>
                  <w14:solidFill>
                    <w14:schemeClr w14:val="tx1"/>
                  </w14:solidFill>
                </w14:textFill>
              </w:rPr>
              <w:t>等多个行业企业积极参加</w:t>
            </w:r>
            <w:r>
              <w:rPr>
                <w:rFonts w:hint="eastAsia" w:ascii="宋体" w:hAnsi="宋体" w:cs="仿宋"/>
                <w:color w:val="000000" w:themeColor="text1"/>
                <w:szCs w:val="21"/>
                <w14:textFill>
                  <w14:solidFill>
                    <w14:schemeClr w14:val="tx1"/>
                  </w14:solidFill>
                </w14:textFill>
              </w:rPr>
              <w:t>第三届中非经贸博览会，扩大我县产品对外出口额，力争全年对外贸易增长20%以上。</w:t>
            </w:r>
          </w:p>
        </w:tc>
        <w:tc>
          <w:tcPr>
            <w:tcW w:w="4005" w:type="dxa"/>
            <w:noWrap w:val="0"/>
            <w:vAlign w:val="center"/>
          </w:tcPr>
          <w:p w14:paraId="5DB2235B">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县商务局牵头，县发展和改革局、</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7E8C0C7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0476025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4DFD3AF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2112DCD0">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145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825" w:type="dxa"/>
            <w:noWrap w:val="0"/>
            <w:vAlign w:val="center"/>
          </w:tcPr>
          <w:p w14:paraId="3825786D">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7581BA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推动外贸扩规提质。推动进口与出口、货物贸易和服务贸易、贸易和产业协调发展，深入实施外贸主体创新行动，提升以竹代塑、竹制体育滑板、集装箱板材等重点产业外向度，巩固提升“一带一路”等市场，推动湘商产业园出口监管仓运营使用。聚焦外贸企业堵点难点问题，持续开展企业稳外贸行动，推进外贸企业技改扩能和科技创新，扩大价值链中高端产品出口和优质消费品、重要设备、关键 零部件进口。加快引导企业走出去，扩大对外投资总量。</w:t>
            </w:r>
          </w:p>
        </w:tc>
        <w:tc>
          <w:tcPr>
            <w:tcW w:w="4005" w:type="dxa"/>
            <w:noWrap w:val="0"/>
            <w:vAlign w:val="center"/>
          </w:tcPr>
          <w:p w14:paraId="497B935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县商务局牵头，</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4339268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79DE45F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757EE0F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2143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825" w:type="dxa"/>
            <w:noWrap w:val="0"/>
            <w:vAlign w:val="center"/>
          </w:tcPr>
          <w:p w14:paraId="6F96BB42">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6495" w:type="dxa"/>
            <w:noWrap w:val="0"/>
            <w:vAlign w:val="center"/>
          </w:tcPr>
          <w:p w14:paraId="579503CE">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更大力度吸引和利用外资。着力扩增量、稳存量、提质量、优环境，推进全员招商、全域招商、全程招商。围绕新能源、生物医药、楠竹产业、特色农产品等开展精准招商。加大现代服务业引资力度。积极参加“邵洽周”、上交会、“广交会”等活动。发挥商协会作用，持续开展“迎老乡、回故乡、建家乡”活动，推动以情招商、以商招商。提升园区招商服务能力，强化产业链、供应链和龙头项目招商，更大力度吸引和利用外资，推动招商引资从规模数量型向质量效益型转变，力争在楠竹、农副产品精深加工、文化旅游、城市开发建设等方面招引5个以上重大产业项目，累计投资达</w:t>
            </w:r>
            <w:r>
              <w:rPr>
                <w:rFonts w:hint="eastAsia" w:ascii="宋体" w:hAnsi="宋体" w:cs="仿宋"/>
                <w:color w:val="000000" w:themeColor="text1"/>
                <w:szCs w:val="21"/>
                <w:lang w:val="en-US" w:eastAsia="zh-CN"/>
                <w14:textFill>
                  <w14:solidFill>
                    <w14:schemeClr w14:val="tx1"/>
                  </w14:solidFill>
                </w14:textFill>
              </w:rPr>
              <w:t>15</w:t>
            </w:r>
            <w:r>
              <w:rPr>
                <w:rFonts w:hint="eastAsia" w:ascii="宋体" w:hAnsi="宋体" w:cs="仿宋"/>
                <w:color w:val="000000" w:themeColor="text1"/>
                <w:szCs w:val="21"/>
                <w14:textFill>
                  <w14:solidFill>
                    <w14:schemeClr w14:val="tx1"/>
                  </w14:solidFill>
                </w14:textFill>
              </w:rPr>
              <w:t>亿元以上。</w:t>
            </w:r>
          </w:p>
        </w:tc>
        <w:tc>
          <w:tcPr>
            <w:tcW w:w="4005" w:type="dxa"/>
            <w:noWrap w:val="0"/>
            <w:vAlign w:val="center"/>
          </w:tcPr>
          <w:p w14:paraId="4B2BBC1B">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县商务局牵头，</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、县发展和改革局、县人力资源和社会保障局、县农业农村水利局、</w:t>
            </w:r>
            <w:r>
              <w:rPr>
                <w:rFonts w:hint="eastAsia" w:ascii="宋体" w:hAnsi="宋体" w:cs="仿宋"/>
                <w:color w:val="000000" w:themeColor="text1"/>
                <w:szCs w:val="21"/>
                <w:lang w:eastAsia="zh-CN"/>
                <w14:textFill>
                  <w14:solidFill>
                    <w14:schemeClr w14:val="tx1"/>
                  </w14:solidFill>
                </w14:textFill>
              </w:rPr>
              <w:t>县市场监督管理局</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4F78F7D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70EBB43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p w14:paraId="7FEC829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358CD6A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袁光平</w:t>
            </w:r>
          </w:p>
          <w:p w14:paraId="4AE6AE1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彬</w:t>
            </w:r>
          </w:p>
          <w:p w14:paraId="5000979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向祖金</w:t>
            </w:r>
          </w:p>
        </w:tc>
        <w:tc>
          <w:tcPr>
            <w:tcW w:w="1980" w:type="dxa"/>
            <w:noWrap w:val="0"/>
            <w:vAlign w:val="center"/>
          </w:tcPr>
          <w:p w14:paraId="0DDCC75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彭遵礼</w:t>
            </w:r>
          </w:p>
        </w:tc>
      </w:tr>
      <w:tr w14:paraId="7AE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445" w:type="dxa"/>
            <w:gridSpan w:val="5"/>
            <w:noWrap w:val="0"/>
            <w:vAlign w:val="center"/>
          </w:tcPr>
          <w:p w14:paraId="221356BB">
            <w:pPr>
              <w:jc w:val="center"/>
              <w:rPr>
                <w:rFonts w:hint="eastAsia" w:ascii="仿宋" w:hAnsi="仿宋" w:eastAsia="仿宋" w:cs="仿宋"/>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(四)培育壮大产业动能</w:t>
            </w:r>
          </w:p>
        </w:tc>
      </w:tr>
      <w:tr w14:paraId="14B4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610C13B9">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685A9E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培育壮大市场主体。实施产业发展“万千百”工程，巩固提升楠竹新材料、特色农产品加工等“一主一特”产业相关企业，推动实施湖南中集竹纤维开发利用等一批十亿项目。实施市场主体倍增工程、新增规模以上工业企业行动，推动“个转企、小升规、规改股、股上市”。持续开展纾困增效专项行动，推进优质企业梯度培育工程，引导企业走专精特新发展道路，力争新增规模以上工业企业12家，新增省级专精特新企业3家。</w:t>
            </w:r>
          </w:p>
        </w:tc>
        <w:tc>
          <w:tcPr>
            <w:tcW w:w="4005" w:type="dxa"/>
            <w:noWrap w:val="0"/>
            <w:vAlign w:val="center"/>
          </w:tcPr>
          <w:p w14:paraId="0F0E8A6E">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w:t>
            </w:r>
            <w:r>
              <w:rPr>
                <w:rFonts w:hint="eastAsia" w:ascii="宋体" w:hAnsi="宋体" w:cs="仿宋"/>
                <w:color w:val="000000" w:themeColor="text1"/>
                <w:szCs w:val="21"/>
                <w:lang w:eastAsia="zh-CN"/>
                <w14:textFill>
                  <w14:solidFill>
                    <w14:schemeClr w14:val="tx1"/>
                  </w14:solidFill>
                </w14:textFill>
              </w:rPr>
              <w:t>县市场监督管理局</w:t>
            </w:r>
            <w:r>
              <w:rPr>
                <w:rFonts w:hint="eastAsia"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646F44A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2441E5F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向祖金</w:t>
            </w:r>
          </w:p>
          <w:p w14:paraId="221D1F8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1A00CDF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37EA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CA89559">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60B8BD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壮大楠竹产业。对标湘西南竹产业发展区域中心培育目标，坚持把楠竹产业培育成县域经济支柱产业，按照”一中心二走廊“布局，做好扩产延链提质文章，推动产业高端化、智能化、绿色化发展，</w:t>
            </w:r>
            <w:r>
              <w:rPr>
                <w:rFonts w:hint="eastAsia" w:ascii="宋体" w:hAnsi="宋体" w:cs="仿宋"/>
                <w:color w:val="000000" w:themeColor="text1"/>
                <w:szCs w:val="21"/>
                <w:lang w:eastAsia="zh-CN"/>
                <w14:textFill>
                  <w14:solidFill>
                    <w14:schemeClr w14:val="tx1"/>
                  </w14:solidFill>
                </w14:textFill>
              </w:rPr>
              <w:t>在乡镇发展以楠竹初加工为主的产业体系，打造楠竹特色产业园，在园区重点发展以楠竹精深加工为主</w:t>
            </w:r>
            <w:r>
              <w:rPr>
                <w:rFonts w:hint="eastAsia" w:ascii="宋体" w:hAnsi="宋体" w:cs="仿宋"/>
                <w:color w:val="000000" w:themeColor="text1"/>
                <w:szCs w:val="21"/>
                <w14:textFill>
                  <w14:solidFill>
                    <w14:schemeClr w14:val="tx1"/>
                  </w14:solidFill>
                </w14:textFill>
              </w:rPr>
              <w:t>导的产业体系升级，打造产学研深度融合创新体系，支持鼓励“以竹代塑”，推广竹缠绕管道</w:t>
            </w:r>
            <w:r>
              <w:rPr>
                <w:rFonts w:hint="eastAsia" w:ascii="宋体" w:hAnsi="宋体" w:cs="仿宋"/>
                <w:color w:val="000000" w:themeColor="text1"/>
                <w:szCs w:val="21"/>
                <w:lang w:eastAsia="zh-CN"/>
                <w14:textFill>
                  <w14:solidFill>
                    <w14:schemeClr w14:val="tx1"/>
                  </w14:solidFill>
                </w14:textFill>
              </w:rPr>
              <w:t>、竹餐具等</w:t>
            </w:r>
            <w:r>
              <w:rPr>
                <w:rFonts w:hint="eastAsia" w:ascii="宋体" w:hAnsi="宋体" w:cs="仿宋"/>
                <w:color w:val="000000" w:themeColor="text1"/>
                <w:szCs w:val="21"/>
                <w14:textFill>
                  <w14:solidFill>
                    <w14:schemeClr w14:val="tx1"/>
                  </w14:solidFill>
                </w14:textFill>
              </w:rPr>
              <w:t>产品。</w:t>
            </w:r>
          </w:p>
        </w:tc>
        <w:tc>
          <w:tcPr>
            <w:tcW w:w="4005" w:type="dxa"/>
            <w:noWrap w:val="0"/>
            <w:vAlign w:val="center"/>
          </w:tcPr>
          <w:p w14:paraId="2D3D0601">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、楠竹产业发展中心牵头，县发展和改革局负责</w:t>
            </w:r>
          </w:p>
        </w:tc>
        <w:tc>
          <w:tcPr>
            <w:tcW w:w="1140" w:type="dxa"/>
            <w:noWrap w:val="0"/>
            <w:vAlign w:val="center"/>
          </w:tcPr>
          <w:p w14:paraId="79F6D87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p w14:paraId="5603FC7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6E7617B9">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唐学军</w:t>
            </w:r>
          </w:p>
        </w:tc>
        <w:tc>
          <w:tcPr>
            <w:tcW w:w="1980" w:type="dxa"/>
            <w:noWrap w:val="0"/>
            <w:vAlign w:val="center"/>
          </w:tcPr>
          <w:p w14:paraId="70A0C1A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324D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DDDF8AA">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6495" w:type="dxa"/>
            <w:noWrap w:val="0"/>
            <w:vAlign w:val="center"/>
          </w:tcPr>
          <w:p w14:paraId="211529AD">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提高产业链供应链韧性和安全水平。聚焦“一主一特”产业上下游短板瓶颈，采取“揭榜挂帅”“赛马”等机制，组织实施2-3个制造业关键产品“揭榜挂帅”项目，突破一批制造业关键核心产品。聚焦工业“五基”，组织实施3个“产品创新强基”项目。落实好国产“首台套、首批次、首版次、首轮次、首套件”产品奖励政策。加强重点产业链运行监测和风险预警防范。</w:t>
            </w:r>
          </w:p>
        </w:tc>
        <w:tc>
          <w:tcPr>
            <w:tcW w:w="4005" w:type="dxa"/>
            <w:noWrap w:val="0"/>
            <w:vAlign w:val="center"/>
          </w:tcPr>
          <w:p w14:paraId="2C129A1D">
            <w:pP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县发展和改革局牵头</w:t>
            </w:r>
            <w:r>
              <w:rPr>
                <w:rFonts w:hint="eastAsia" w:ascii="宋体" w:hAnsi="宋体" w:cs="仿宋"/>
                <w:color w:val="000000" w:themeColor="text1"/>
                <w:szCs w:val="21"/>
                <w:lang w:eastAsia="zh-CN"/>
                <w14:textFill>
                  <w14:solidFill>
                    <w14:schemeClr w14:val="tx1"/>
                  </w14:solidFill>
                </w14:textFill>
              </w:rPr>
              <w:t>，县供电公司等负责</w:t>
            </w:r>
          </w:p>
        </w:tc>
        <w:tc>
          <w:tcPr>
            <w:tcW w:w="1140" w:type="dxa"/>
            <w:noWrap w:val="0"/>
            <w:vAlign w:val="center"/>
          </w:tcPr>
          <w:p w14:paraId="6539F01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7EF75D4E">
            <w:pPr>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张</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伟</w:t>
            </w:r>
          </w:p>
        </w:tc>
        <w:tc>
          <w:tcPr>
            <w:tcW w:w="1980" w:type="dxa"/>
            <w:noWrap w:val="0"/>
            <w:vAlign w:val="center"/>
          </w:tcPr>
          <w:p w14:paraId="7D757C3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67F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825" w:type="dxa"/>
            <w:noWrap w:val="0"/>
            <w:vAlign w:val="center"/>
          </w:tcPr>
          <w:p w14:paraId="56171655">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6495" w:type="dxa"/>
            <w:noWrap w:val="0"/>
            <w:vAlign w:val="center"/>
          </w:tcPr>
          <w:p w14:paraId="0BAF5448">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加快“五好”园区建设。力争园区规模工业企业发展到40家，园区规模工业总产值110亿元，税金过亿，招商引资10亿元。把亩均产出作为园区评价考核的重要依据，支持园区建设科技孵化、现代物流、产融合作、专业配套等平台，推动建立特沃斯有机肥省级技术中心、湘南竹业竹制品研发中心和丰源体育滑板创新研发中心，新增高新技术企业</w:t>
            </w:r>
            <w:r>
              <w:rPr>
                <w:rFonts w:hint="eastAsia" w:ascii="宋体" w:hAnsi="宋体" w:cs="仿宋"/>
                <w:color w:val="000000" w:themeColor="text1"/>
                <w:szCs w:val="21"/>
                <w:lang w:val="en-US" w:eastAsia="zh-CN"/>
                <w14:textFill>
                  <w14:solidFill>
                    <w14:schemeClr w14:val="tx1"/>
                  </w14:solidFill>
                </w14:textFill>
              </w:rPr>
              <w:t>4</w:t>
            </w:r>
            <w:r>
              <w:rPr>
                <w:rFonts w:hint="eastAsia" w:ascii="宋体" w:hAnsi="宋体" w:cs="仿宋"/>
                <w:color w:val="000000" w:themeColor="text1"/>
                <w:szCs w:val="21"/>
                <w14:textFill>
                  <w14:solidFill>
                    <w14:schemeClr w14:val="tx1"/>
                  </w14:solidFill>
                </w14:textFill>
              </w:rPr>
              <w:t>家。完成园区三类低效土地的清理与国有闲置标准厂房的处置任务，推进僵尸企业出清。推广运用园区数字地图。积极推进园区循环化改造和园区污染防治第三方治理。</w:t>
            </w:r>
          </w:p>
        </w:tc>
        <w:tc>
          <w:tcPr>
            <w:tcW w:w="4005" w:type="dxa"/>
            <w:noWrap w:val="0"/>
            <w:vAlign w:val="center"/>
          </w:tcPr>
          <w:p w14:paraId="28746FA9">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牵头，县发展和改革局、市生态环境局绥宁分局、县商务局等负责</w:t>
            </w:r>
          </w:p>
        </w:tc>
        <w:tc>
          <w:tcPr>
            <w:tcW w:w="1140" w:type="dxa"/>
            <w:noWrap w:val="0"/>
            <w:vAlign w:val="center"/>
          </w:tcPr>
          <w:p w14:paraId="22386F7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p w14:paraId="5340773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2ECEFE0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杨文华</w:t>
            </w:r>
          </w:p>
          <w:p w14:paraId="3AA9830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tc>
        <w:tc>
          <w:tcPr>
            <w:tcW w:w="1980" w:type="dxa"/>
            <w:noWrap w:val="0"/>
            <w:vAlign w:val="center"/>
          </w:tcPr>
          <w:p w14:paraId="6D9C128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黄先伟</w:t>
            </w:r>
          </w:p>
        </w:tc>
      </w:tr>
      <w:tr w14:paraId="133A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825" w:type="dxa"/>
            <w:noWrap w:val="0"/>
            <w:vAlign w:val="center"/>
          </w:tcPr>
          <w:p w14:paraId="23B6792A">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6495" w:type="dxa"/>
            <w:noWrap w:val="0"/>
            <w:vAlign w:val="center"/>
          </w:tcPr>
          <w:p w14:paraId="5BA24712">
            <w:pPr>
              <w:jc w:val="left"/>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推进现代服务业与先进制造业深度融合。以服务制造业转型升级为导向推进两业融合试点，加快发展智能工厂、工业互联网、生产共享平台、总集成总承包、全生命周期管理、服务衍生制造、网络协同制造、现代供应链、融资租赁、工业旅游等新业态模式。积极开展省服务业示范集聚区提升工程行动，争创1</w:t>
            </w:r>
            <w:r>
              <w:rPr>
                <w:rFonts w:hint="eastAsia" w:ascii="宋体" w:hAnsi="宋体" w:cs="仿宋"/>
                <w:color w:val="000000" w:themeColor="text1"/>
                <w:szCs w:val="21"/>
                <w:lang w:eastAsia="zh-CN"/>
                <w14:textFill>
                  <w14:solidFill>
                    <w14:schemeClr w14:val="tx1"/>
                  </w14:solidFill>
                </w14:textFill>
              </w:rPr>
              <w:t>个</w:t>
            </w:r>
            <w:r>
              <w:rPr>
                <w:rFonts w:hint="eastAsia" w:ascii="宋体" w:hAnsi="宋体" w:cs="仿宋"/>
                <w:color w:val="000000" w:themeColor="text1"/>
                <w:szCs w:val="21"/>
                <w14:textFill>
                  <w14:solidFill>
                    <w14:schemeClr w14:val="tx1"/>
                  </w14:solidFill>
                </w14:textFill>
              </w:rPr>
              <w:t>以上现代服务业创新发展区。</w:t>
            </w:r>
          </w:p>
        </w:tc>
        <w:tc>
          <w:tcPr>
            <w:tcW w:w="4005" w:type="dxa"/>
            <w:noWrap w:val="0"/>
            <w:vAlign w:val="center"/>
          </w:tcPr>
          <w:p w14:paraId="3A551BAF">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县发展和改革局</w:t>
            </w:r>
            <w:r>
              <w:rPr>
                <w:rFonts w:hint="eastAsia" w:ascii="宋体" w:hAnsi="宋体" w:cs="仿宋"/>
                <w:color w:val="000000" w:themeColor="text1"/>
                <w:szCs w:val="21"/>
                <w14:textFill>
                  <w14:solidFill>
                    <w14:schemeClr w14:val="tx1"/>
                  </w14:solidFill>
                </w14:textFill>
              </w:rPr>
              <w:t>牵头，</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lang w:eastAsia="zh-CN"/>
                <w14:textFill>
                  <w14:solidFill>
                    <w14:schemeClr w14:val="tx1"/>
                  </w14:solidFill>
                </w14:textFill>
              </w:rPr>
              <w:t>县市场监督管理局</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260B18E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36EBA37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p w14:paraId="221A5BA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向祖金</w:t>
            </w:r>
          </w:p>
        </w:tc>
        <w:tc>
          <w:tcPr>
            <w:tcW w:w="1980" w:type="dxa"/>
            <w:noWrap w:val="0"/>
            <w:vAlign w:val="center"/>
          </w:tcPr>
          <w:p w14:paraId="37D21EE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613E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825" w:type="dxa"/>
            <w:noWrap w:val="0"/>
            <w:vAlign w:val="center"/>
          </w:tcPr>
          <w:p w14:paraId="580440E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6495" w:type="dxa"/>
            <w:noWrap w:val="0"/>
            <w:vAlign w:val="center"/>
          </w:tcPr>
          <w:p w14:paraId="428D8E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推动现代农业发展。坚决落实耕地保护和粮食安全政治责任，牢牢守住39.14万亩耕地保有量和34.17万亩永久基本农田保护目标。实施新一轮粮食产能提升行动，全力保障粮食安全和重要农产品稳产保供，确保粮食播种面积稳定在32万亩、产量15.6万吨以上。实施乡村特色产业发展提质行动，</w:t>
            </w:r>
            <w:r>
              <w:rPr>
                <w:rFonts w:hint="eastAsia" w:ascii="宋体" w:hAnsi="宋体"/>
                <w:color w:val="000000" w:themeColor="text1"/>
                <w:sz w:val="21"/>
                <w:szCs w:val="21"/>
                <w14:textFill>
                  <w14:solidFill>
                    <w14:schemeClr w14:val="tx1"/>
                  </w14:solidFill>
                </w14:textFill>
              </w:rPr>
              <w:t>打造“六大强农”行动升级版，推动杂交水稻制种产业扩面提质，</w:t>
            </w:r>
            <w:r>
              <w:rPr>
                <w:rFonts w:hint="eastAsia" w:ascii="宋体" w:hAnsi="宋体" w:cs="仿宋"/>
                <w:color w:val="000000" w:themeColor="text1"/>
                <w:sz w:val="21"/>
                <w:szCs w:val="21"/>
                <w14:textFill>
                  <w14:solidFill>
                    <w14:schemeClr w14:val="tx1"/>
                  </w14:solidFill>
                </w14:textFill>
              </w:rPr>
              <w:t>建设好杂交水稻制种产业园，杂交水稻制种面积稳定在6万亩，产值达到8亿元。</w:t>
            </w:r>
            <w:r>
              <w:rPr>
                <w:rFonts w:hint="eastAsia" w:ascii="宋体" w:hAnsi="宋体"/>
                <w:color w:val="000000" w:themeColor="text1"/>
                <w:sz w:val="21"/>
                <w:szCs w:val="21"/>
                <w14:textFill>
                  <w14:solidFill>
                    <w14:schemeClr w14:val="tx1"/>
                  </w14:solidFill>
                </w14:textFill>
              </w:rPr>
              <w:t>立足75万亩楠竹资源，打造竹笋全产业链，创建现代农业（笋竹）产业园。</w:t>
            </w:r>
            <w:r>
              <w:rPr>
                <w:rFonts w:hint="eastAsia" w:ascii="宋体" w:hAnsi="宋体" w:cs="仿宋"/>
                <w:color w:val="000000" w:themeColor="text1"/>
                <w:sz w:val="21"/>
                <w:szCs w:val="21"/>
                <w14:textFill>
                  <w14:solidFill>
                    <w14:schemeClr w14:val="tx1"/>
                  </w14:solidFill>
                </w14:textFill>
              </w:rPr>
              <w:t>持续推进</w:t>
            </w:r>
            <w:r>
              <w:rPr>
                <w:rFonts w:hint="eastAsia" w:ascii="宋体" w:hAnsi="宋体" w:cs="仿宋"/>
                <w:color w:val="000000" w:themeColor="text1"/>
                <w:sz w:val="21"/>
                <w:szCs w:val="21"/>
                <w:lang w:eastAsia="zh-CN"/>
                <w14:textFill>
                  <w14:solidFill>
                    <w14:schemeClr w14:val="tx1"/>
                  </w14:solidFill>
                </w14:textFill>
              </w:rPr>
              <w:t>巩固拓展脱贫攻坚成果</w:t>
            </w:r>
            <w:r>
              <w:rPr>
                <w:rFonts w:hint="eastAsia" w:ascii="宋体" w:hAnsi="宋体" w:cs="仿宋"/>
                <w:color w:val="000000" w:themeColor="text1"/>
                <w:sz w:val="21"/>
                <w:szCs w:val="21"/>
                <w14:textFill>
                  <w14:solidFill>
                    <w14:schemeClr w14:val="tx1"/>
                  </w14:solidFill>
                </w14:textFill>
              </w:rPr>
              <w:t>同乡村振兴有效衔接，推广“共建园区”“飞地园区”等产业帮扶模式。</w:t>
            </w:r>
          </w:p>
        </w:tc>
        <w:tc>
          <w:tcPr>
            <w:tcW w:w="4005" w:type="dxa"/>
            <w:noWrap w:val="0"/>
            <w:vAlign w:val="center"/>
          </w:tcPr>
          <w:p w14:paraId="4F505424">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县农业农村水利局牵头，县发展和改革局、县自然资源局、县乡村振兴局等负责</w:t>
            </w:r>
          </w:p>
        </w:tc>
        <w:tc>
          <w:tcPr>
            <w:tcW w:w="1140" w:type="dxa"/>
            <w:noWrap w:val="0"/>
            <w:vAlign w:val="center"/>
          </w:tcPr>
          <w:p w14:paraId="086CECF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  彬</w:t>
            </w:r>
          </w:p>
          <w:p w14:paraId="0BCB164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703BC94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丁再荣</w:t>
            </w:r>
          </w:p>
          <w:p w14:paraId="5673B21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刘让文</w:t>
            </w:r>
          </w:p>
        </w:tc>
        <w:tc>
          <w:tcPr>
            <w:tcW w:w="1980" w:type="dxa"/>
            <w:noWrap w:val="0"/>
            <w:vAlign w:val="center"/>
          </w:tcPr>
          <w:p w14:paraId="45AE3F8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梁恩雄</w:t>
            </w:r>
          </w:p>
        </w:tc>
      </w:tr>
      <w:tr w14:paraId="72A2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25" w:type="dxa"/>
            <w:noWrap w:val="0"/>
            <w:vAlign w:val="center"/>
          </w:tcPr>
          <w:p w14:paraId="7CDFA45A">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6495" w:type="dxa"/>
            <w:noWrap w:val="0"/>
            <w:vAlign w:val="center"/>
          </w:tcPr>
          <w:p w14:paraId="45D6FE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纵深推进财源建设工程。进一步强化产业扶持政策制定与税收贡献挂钩、产业类专项资金设立规模与税收提升挂钩、专项资金分配与项目绩效挂钩“三个挂钩”机制实施细则。继续实施骨干税源企业培育计划，持续提升骨干税源企业税收贡献度，强化重点税源对财税增长的支撑作用。对财源建设好的企业给予财政奖补。</w:t>
            </w:r>
          </w:p>
        </w:tc>
        <w:tc>
          <w:tcPr>
            <w:tcW w:w="4005" w:type="dxa"/>
            <w:noWrap w:val="0"/>
            <w:vAlign w:val="center"/>
          </w:tcPr>
          <w:p w14:paraId="2DE3316B">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县财政局、县税务局等负责</w:t>
            </w:r>
          </w:p>
        </w:tc>
        <w:tc>
          <w:tcPr>
            <w:tcW w:w="1140" w:type="dxa"/>
            <w:noWrap w:val="0"/>
            <w:vAlign w:val="center"/>
          </w:tcPr>
          <w:p w14:paraId="3B4A055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罗  兴</w:t>
            </w:r>
          </w:p>
          <w:p w14:paraId="1644942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  杰</w:t>
            </w:r>
          </w:p>
        </w:tc>
        <w:tc>
          <w:tcPr>
            <w:tcW w:w="1980" w:type="dxa"/>
            <w:noWrap w:val="0"/>
            <w:vAlign w:val="center"/>
          </w:tcPr>
          <w:p w14:paraId="3C2042C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63AD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445" w:type="dxa"/>
            <w:gridSpan w:val="5"/>
            <w:noWrap w:val="0"/>
            <w:vAlign w:val="center"/>
          </w:tcPr>
          <w:p w14:paraId="09F62014">
            <w:pPr>
              <w:jc w:val="center"/>
              <w:rPr>
                <w:rFonts w:hint="eastAsia" w:ascii="宋体" w:hAnsi="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(五)增强区域发展动能</w:t>
            </w:r>
          </w:p>
        </w:tc>
      </w:tr>
      <w:tr w14:paraId="69CF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25" w:type="dxa"/>
            <w:noWrap w:val="0"/>
            <w:vAlign w:val="center"/>
          </w:tcPr>
          <w:p w14:paraId="01C784D3">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6D1265BE">
            <w:pPr>
              <w:rPr>
                <w:rFonts w:hint="eastAsia" w:ascii="宋体" w:hAnsi="宋体" w:cs="宋体"/>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发挥新型城镇化的带动引领作用。编制好“一县一策”县城城镇化实施方案。持续开展城市更新行动，改造城镇老旧小区21个。完善燃气、污水、生活垃圾、排水防涝等设施，推进县城第三水厂建设。增强城市防灾减灾能力</w:t>
            </w:r>
            <w:r>
              <w:rPr>
                <w:rFonts w:hint="eastAsia" w:ascii="宋体" w:hAnsi="宋体" w:cs="仿宋"/>
                <w:color w:val="000000" w:themeColor="text1"/>
                <w:sz w:val="21"/>
                <w:szCs w:val="21"/>
                <w:lang w:eastAsia="zh-CN"/>
                <w14:textFill>
                  <w14:solidFill>
                    <w14:schemeClr w14:val="tx1"/>
                  </w14:solidFill>
                </w14:textFill>
              </w:rPr>
              <w:t>，推进县城雨污分流改造，完成污水直排口整治。</w:t>
            </w:r>
            <w:r>
              <w:rPr>
                <w:rFonts w:hint="eastAsia" w:ascii="宋体" w:hAnsi="宋体" w:cs="仿宋"/>
                <w:color w:val="000000" w:themeColor="text1"/>
                <w:sz w:val="21"/>
                <w:szCs w:val="21"/>
                <w14:textFill>
                  <w14:solidFill>
                    <w14:schemeClr w14:val="tx1"/>
                  </w14:solidFill>
                </w14:textFill>
              </w:rPr>
              <w:t>全县常住人口城镇化率提高1个百分点左右，达到43%。</w:t>
            </w:r>
          </w:p>
        </w:tc>
        <w:tc>
          <w:tcPr>
            <w:tcW w:w="4005" w:type="dxa"/>
            <w:noWrap w:val="0"/>
            <w:vAlign w:val="center"/>
          </w:tcPr>
          <w:p w14:paraId="002F1D22">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县住房和城乡建设局、</w:t>
            </w:r>
            <w:r>
              <w:rPr>
                <w:rFonts w:hint="eastAsia" w:ascii="宋体" w:hAnsi="宋体" w:cs="仿宋"/>
                <w:color w:val="000000" w:themeColor="text1"/>
                <w:szCs w:val="21"/>
                <w:lang w:eastAsia="zh-CN"/>
                <w14:textFill>
                  <w14:solidFill>
                    <w14:schemeClr w14:val="tx1"/>
                  </w14:solidFill>
                </w14:textFill>
              </w:rPr>
              <w:t>县城管和综合执法局、</w:t>
            </w:r>
            <w:r>
              <w:rPr>
                <w:rFonts w:hint="eastAsia" w:ascii="宋体" w:hAnsi="宋体" w:cs="仿宋"/>
                <w:color w:val="000000" w:themeColor="text1"/>
                <w:szCs w:val="21"/>
                <w14:textFill>
                  <w14:solidFill>
                    <w14:schemeClr w14:val="tx1"/>
                  </w14:solidFill>
                </w14:textFill>
              </w:rPr>
              <w:t>县农业农村水利局、市生态环境局绥宁分局等负责</w:t>
            </w:r>
          </w:p>
        </w:tc>
        <w:tc>
          <w:tcPr>
            <w:tcW w:w="1140" w:type="dxa"/>
            <w:noWrap w:val="0"/>
            <w:vAlign w:val="center"/>
          </w:tcPr>
          <w:p w14:paraId="7796CC6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黄始伟</w:t>
            </w:r>
          </w:p>
          <w:p w14:paraId="336D433F">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颜永福</w:t>
            </w:r>
          </w:p>
          <w:p w14:paraId="38001F5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  彬</w:t>
            </w:r>
          </w:p>
          <w:p w14:paraId="6F92DE59">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袁惠雄</w:t>
            </w:r>
          </w:p>
        </w:tc>
        <w:tc>
          <w:tcPr>
            <w:tcW w:w="1980" w:type="dxa"/>
            <w:noWrap w:val="0"/>
            <w:vAlign w:val="center"/>
          </w:tcPr>
          <w:p w14:paraId="24096AE6">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杨昌盛</w:t>
            </w:r>
          </w:p>
        </w:tc>
      </w:tr>
      <w:tr w14:paraId="793D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2DC9F6B3">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5D53F76E">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推动县域经济高质量发展。深入实施县域经济高质量发展工程。</w:t>
            </w:r>
            <w:r>
              <w:rPr>
                <w:rFonts w:hint="eastAsia" w:ascii="宋体" w:hAnsi="宋体" w:cs="仿宋"/>
                <w:color w:val="000000" w:themeColor="text1"/>
                <w:szCs w:val="21"/>
                <w:lang w:eastAsia="zh-CN"/>
                <w14:textFill>
                  <w14:solidFill>
                    <w14:schemeClr w14:val="tx1"/>
                  </w14:solidFill>
                </w14:textFill>
              </w:rPr>
              <w:t>依托楠竹、特色农产品精深加工等产业，</w:t>
            </w:r>
            <w:r>
              <w:rPr>
                <w:rFonts w:hint="eastAsia" w:ascii="宋体" w:hAnsi="宋体" w:cs="仿宋"/>
                <w:color w:val="000000" w:themeColor="text1"/>
                <w:szCs w:val="21"/>
                <w14:textFill>
                  <w14:solidFill>
                    <w14:schemeClr w14:val="tx1"/>
                  </w14:solidFill>
                </w14:textFill>
              </w:rPr>
              <w:t>推进县域优势传统产业转型升级，推动形成“一县一业”发展格局。强化县域精准招商，对首次落户“三类500强”企业的单位和园区实施招商引资奖励，大力推进县域返乡创业。积极参加特色小镇综合评价活动。</w:t>
            </w:r>
          </w:p>
        </w:tc>
        <w:tc>
          <w:tcPr>
            <w:tcW w:w="4005" w:type="dxa"/>
            <w:noWrap w:val="0"/>
            <w:vAlign w:val="center"/>
          </w:tcPr>
          <w:p w14:paraId="3F87DF95">
            <w:pPr>
              <w:rPr>
                <w:rFonts w:hint="eastAsia"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县农业农村水利局、县发展和改革局、县财政局、县商务局、县文化旅游广电体育局等负责</w:t>
            </w:r>
          </w:p>
        </w:tc>
        <w:tc>
          <w:tcPr>
            <w:tcW w:w="1140" w:type="dxa"/>
            <w:noWrap w:val="0"/>
            <w:vAlign w:val="center"/>
          </w:tcPr>
          <w:p w14:paraId="23BA040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李  彬</w:t>
            </w:r>
          </w:p>
          <w:p w14:paraId="04777CF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52628D9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罗  兴</w:t>
            </w:r>
          </w:p>
          <w:p w14:paraId="096D3F0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徐邦东</w:t>
            </w:r>
          </w:p>
          <w:p w14:paraId="7BF1E16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苏仁华</w:t>
            </w:r>
          </w:p>
        </w:tc>
        <w:tc>
          <w:tcPr>
            <w:tcW w:w="1980" w:type="dxa"/>
            <w:noWrap w:val="0"/>
            <w:vAlign w:val="center"/>
          </w:tcPr>
          <w:p w14:paraId="39BC45E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梁恩雄</w:t>
            </w:r>
          </w:p>
        </w:tc>
      </w:tr>
      <w:tr w14:paraId="0747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445" w:type="dxa"/>
            <w:gridSpan w:val="5"/>
            <w:noWrap w:val="0"/>
            <w:vAlign w:val="center"/>
          </w:tcPr>
          <w:p w14:paraId="539FA37F">
            <w:pPr>
              <w:jc w:val="center"/>
              <w:rPr>
                <w:rFonts w:hint="eastAsia" w:ascii="仿宋" w:hAnsi="仿宋" w:eastAsia="仿宋"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（六）强化发展要素保障</w:t>
            </w:r>
          </w:p>
        </w:tc>
      </w:tr>
      <w:tr w14:paraId="0CFF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825" w:type="dxa"/>
            <w:noWrap w:val="0"/>
            <w:vAlign w:val="center"/>
          </w:tcPr>
          <w:p w14:paraId="2D3289AE">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6495" w:type="dxa"/>
            <w:noWrap w:val="0"/>
            <w:vAlign w:val="center"/>
          </w:tcPr>
          <w:p w14:paraId="78718FBC">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强化资金保障。积极争取中央预算内资金支持，加强与开发性、政策性金融机构合作，与专项债券、商业贷款等联动。根据财政承受能力、项目储备等情况，合理争取地方政府专项债券等资金。加强闲置国有“三资”清查处置，加大园区土地、厂房等闲置资产的清理处理，进一步盘活党政机关、国有企业等闲置资产，通过对水利、林业、矿产等各类资源清理处置，将资源转化为资产，资产转化为资金，统筹用于偿债与发展。在国有“三资”清查处置过程中，同步放宽市场准入，引导民营资本进入。</w:t>
            </w:r>
          </w:p>
        </w:tc>
        <w:tc>
          <w:tcPr>
            <w:tcW w:w="4005" w:type="dxa"/>
            <w:noWrap w:val="0"/>
            <w:vAlign w:val="center"/>
          </w:tcPr>
          <w:p w14:paraId="5865940E">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县发展和改革局、县财政局、</w:t>
            </w:r>
            <w:r>
              <w:rPr>
                <w:rFonts w:hint="eastAsia" w:ascii="宋体" w:hAnsi="宋体" w:cs="仿宋"/>
                <w:color w:val="000000" w:themeColor="text1"/>
                <w:szCs w:val="21"/>
                <w:lang w:eastAsia="zh-CN"/>
                <w14:textFill>
                  <w14:solidFill>
                    <w14:schemeClr w14:val="tx1"/>
                  </w14:solidFill>
                </w14:textFill>
              </w:rPr>
              <w:t>绥宁产业开发区管理委员会</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3E0EBAF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07685E9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罗  兴</w:t>
            </w:r>
          </w:p>
          <w:p w14:paraId="5472A56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匡继辉</w:t>
            </w:r>
          </w:p>
        </w:tc>
        <w:tc>
          <w:tcPr>
            <w:tcW w:w="1980" w:type="dxa"/>
            <w:noWrap w:val="0"/>
            <w:vAlign w:val="center"/>
          </w:tcPr>
          <w:p w14:paraId="67ECE54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11D0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825" w:type="dxa"/>
            <w:noWrap w:val="0"/>
            <w:vAlign w:val="center"/>
          </w:tcPr>
          <w:p w14:paraId="656AD9E6">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6495" w:type="dxa"/>
            <w:noWrap w:val="0"/>
            <w:vAlign w:val="center"/>
          </w:tcPr>
          <w:p w14:paraId="5683BC39">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强化资源要素保障。全面完成县、乡（镇）国土空间总体规划编制报批，将重大项目纳入国土空间总体规划予以保障。优化重点项目对口服务机制，对全县经济高质量发</w:t>
            </w:r>
            <w:r>
              <w:rPr>
                <w:rFonts w:hint="eastAsia" w:ascii="宋体" w:hAnsi="宋体" w:cs="仿宋"/>
                <w:color w:val="000000" w:themeColor="text1"/>
                <w:szCs w:val="21"/>
                <w:lang w:eastAsia="zh-CN"/>
                <w14:textFill>
                  <w14:solidFill>
                    <w14:schemeClr w14:val="tx1"/>
                  </w14:solidFill>
                </w14:textFill>
              </w:rPr>
              <w:t>展</w:t>
            </w:r>
            <w:r>
              <w:rPr>
                <w:rFonts w:hint="eastAsia" w:ascii="宋体" w:hAnsi="宋体" w:cs="仿宋"/>
                <w:color w:val="000000" w:themeColor="text1"/>
                <w:szCs w:val="21"/>
                <w14:textFill>
                  <w14:solidFill>
                    <w14:schemeClr w14:val="tx1"/>
                  </w14:solidFill>
                </w14:textFill>
              </w:rPr>
              <w:t>各类合理用地应保尽保。依托自然资源智慧平台，深入推进土地审批制度改革，进一步提高用地审批效率。推进存量土地清查清理及相关证照数据治理工作。推进工业用地弹性出让、用地清单制，大力降低企业初始用地成本。深化三类低效土地清理，有序拓展园区空间，促进土地开发利用以“存量”换“增量”，以“地下”换“地上”，以资金、技术换空间。加大矿产资源保障力度。依规划有序开展砂石土矿出让，保障重点项目和民生建设的砂石需求。</w:t>
            </w:r>
          </w:p>
        </w:tc>
        <w:tc>
          <w:tcPr>
            <w:tcW w:w="4005" w:type="dxa"/>
            <w:noWrap w:val="0"/>
            <w:vAlign w:val="center"/>
          </w:tcPr>
          <w:p w14:paraId="68237401">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县自然资源局牵头，县林业局</w:t>
            </w:r>
            <w:r>
              <w:rPr>
                <w:rFonts w:hint="eastAsia" w:ascii="宋体" w:hAnsi="宋体" w:cs="仿宋"/>
                <w:color w:val="000000" w:themeColor="text1"/>
                <w:szCs w:val="21"/>
                <w:lang w:eastAsia="zh-CN"/>
                <w14:textFill>
                  <w14:solidFill>
                    <w14:schemeClr w14:val="tx1"/>
                  </w14:solidFill>
                </w14:textFill>
              </w:rPr>
              <w:t>、县住房和城乡建设局</w:t>
            </w:r>
            <w:r>
              <w:rPr>
                <w:rFonts w:hint="eastAsia" w:ascii="宋体" w:hAnsi="宋体" w:cs="仿宋"/>
                <w:color w:val="000000" w:themeColor="text1"/>
                <w:szCs w:val="21"/>
                <w14:textFill>
                  <w14:solidFill>
                    <w14:schemeClr w14:val="tx1"/>
                  </w14:solidFill>
                </w14:textFill>
              </w:rPr>
              <w:t>等负责</w:t>
            </w:r>
          </w:p>
        </w:tc>
        <w:tc>
          <w:tcPr>
            <w:tcW w:w="1140" w:type="dxa"/>
            <w:noWrap w:val="0"/>
            <w:vAlign w:val="center"/>
          </w:tcPr>
          <w:p w14:paraId="3176796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丁再荣</w:t>
            </w:r>
          </w:p>
          <w:p w14:paraId="7165638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费立功</w:t>
            </w:r>
          </w:p>
          <w:p w14:paraId="360A403A">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黄始伟</w:t>
            </w:r>
          </w:p>
        </w:tc>
        <w:tc>
          <w:tcPr>
            <w:tcW w:w="1980" w:type="dxa"/>
            <w:noWrap w:val="0"/>
            <w:vAlign w:val="center"/>
          </w:tcPr>
          <w:p w14:paraId="16C0C45E">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杨昌盛</w:t>
            </w:r>
          </w:p>
        </w:tc>
      </w:tr>
      <w:tr w14:paraId="20B4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66C8B726">
            <w:pPr>
              <w:jc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w:t>
            </w:r>
          </w:p>
        </w:tc>
        <w:tc>
          <w:tcPr>
            <w:tcW w:w="6495" w:type="dxa"/>
            <w:noWrap w:val="0"/>
            <w:vAlign w:val="center"/>
          </w:tcPr>
          <w:p w14:paraId="7503D058">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强化能源供应保障。加快瓦屋塘110kv变电站建设，尽快投产见效，实施党坪、黄土矿等35kv变电站工程。加快220kv电化学储能电站建设进度。开工建设建设牛头岭、风溪山等风电场、整县集中式和分布式光伏发电项目，新增风电装机容量达到10万kw以上。</w:t>
            </w:r>
          </w:p>
        </w:tc>
        <w:tc>
          <w:tcPr>
            <w:tcW w:w="4005" w:type="dxa"/>
            <w:noWrap w:val="0"/>
            <w:vAlign w:val="center"/>
          </w:tcPr>
          <w:p w14:paraId="3A7F4766">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县发展和改革局</w:t>
            </w:r>
            <w:r>
              <w:rPr>
                <w:rFonts w:hint="eastAsia" w:ascii="宋体" w:hAnsi="宋体" w:cs="仿宋"/>
                <w:color w:val="000000" w:themeColor="text1"/>
                <w:szCs w:val="21"/>
                <w14:textFill>
                  <w14:solidFill>
                    <w14:schemeClr w14:val="tx1"/>
                  </w14:solidFill>
                </w14:textFill>
              </w:rPr>
              <w:t>牵头</w:t>
            </w:r>
          </w:p>
        </w:tc>
        <w:tc>
          <w:tcPr>
            <w:tcW w:w="1140" w:type="dxa"/>
            <w:noWrap w:val="0"/>
            <w:vAlign w:val="center"/>
          </w:tcPr>
          <w:p w14:paraId="0A28361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tc>
        <w:tc>
          <w:tcPr>
            <w:tcW w:w="1980" w:type="dxa"/>
            <w:noWrap w:val="0"/>
            <w:vAlign w:val="center"/>
          </w:tcPr>
          <w:p w14:paraId="164541A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陵建华</w:t>
            </w:r>
          </w:p>
        </w:tc>
      </w:tr>
      <w:tr w14:paraId="23F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825" w:type="dxa"/>
            <w:noWrap w:val="0"/>
            <w:vAlign w:val="center"/>
          </w:tcPr>
          <w:p w14:paraId="7412D9B0">
            <w:pPr>
              <w:jc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w:t>
            </w:r>
          </w:p>
        </w:tc>
        <w:tc>
          <w:tcPr>
            <w:tcW w:w="6495" w:type="dxa"/>
            <w:noWrap w:val="0"/>
            <w:vAlign w:val="center"/>
          </w:tcPr>
          <w:p w14:paraId="43CD2B91">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强化数据支撑保障。加快动力、算力等新型基础设施布局优化，积极发展数字经济，力争数字经济增长15%以上。大力发展“大智移云”、区块链等新一代信息技术，加快推进信息技术应用创新。</w:t>
            </w:r>
            <w:r>
              <w:rPr>
                <w:rFonts w:hint="eastAsia" w:ascii="宋体" w:hAnsi="宋体" w:cs="仿宋"/>
                <w:color w:val="000000" w:themeColor="text1"/>
                <w:szCs w:val="21"/>
                <w:lang w:eastAsia="zh-CN"/>
                <w14:textFill>
                  <w14:solidFill>
                    <w14:schemeClr w14:val="tx1"/>
                  </w14:solidFill>
                </w14:textFill>
              </w:rPr>
              <w:t>推进企业上云上平台，</w:t>
            </w:r>
            <w:r>
              <w:rPr>
                <w:rFonts w:hint="eastAsia" w:ascii="宋体" w:hAnsi="宋体" w:cs="仿宋"/>
                <w:color w:val="000000" w:themeColor="text1"/>
                <w:szCs w:val="21"/>
                <w14:textFill>
                  <w14:solidFill>
                    <w14:schemeClr w14:val="tx1"/>
                  </w14:solidFill>
                </w14:textFill>
              </w:rPr>
              <w:t>建设工业互联网平台，开展“数字赋能”行动，打造数字运用新场景。</w:t>
            </w:r>
          </w:p>
        </w:tc>
        <w:tc>
          <w:tcPr>
            <w:tcW w:w="4005" w:type="dxa"/>
            <w:noWrap w:val="0"/>
            <w:vAlign w:val="center"/>
          </w:tcPr>
          <w:p w14:paraId="2926914B">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县发展和改革局牵头，县行政审批服务局等负责</w:t>
            </w:r>
          </w:p>
        </w:tc>
        <w:tc>
          <w:tcPr>
            <w:tcW w:w="1140" w:type="dxa"/>
            <w:noWrap w:val="0"/>
            <w:vAlign w:val="center"/>
          </w:tcPr>
          <w:p w14:paraId="38803E7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1C18E3B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兰  慧</w:t>
            </w:r>
          </w:p>
        </w:tc>
        <w:tc>
          <w:tcPr>
            <w:tcW w:w="1980" w:type="dxa"/>
            <w:noWrap w:val="0"/>
            <w:vAlign w:val="center"/>
          </w:tcPr>
          <w:p w14:paraId="52D6AE32">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黄先伟</w:t>
            </w:r>
          </w:p>
        </w:tc>
      </w:tr>
      <w:tr w14:paraId="6194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25" w:type="dxa"/>
            <w:noWrap w:val="0"/>
            <w:vAlign w:val="center"/>
          </w:tcPr>
          <w:p w14:paraId="4342071F">
            <w:pPr>
              <w:jc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w:t>
            </w:r>
          </w:p>
        </w:tc>
        <w:tc>
          <w:tcPr>
            <w:tcW w:w="6495" w:type="dxa"/>
            <w:noWrap w:val="0"/>
            <w:vAlign w:val="center"/>
          </w:tcPr>
          <w:p w14:paraId="2A557A8E">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强化人才服务保障。全面落实《绿洲人才行动实施细则》，大力引进高技术、高技能优秀人才。健全人才分类评价体系，优化全周期、全要素、全流程服务，在职称评定、住房保障、子女入学等方面，为人才创新创业提供良好生态。深化新型收入分配改革，推进科技成果权益分配改革，科技项目评审、人才评审、机构评估“三评”改革。</w:t>
            </w:r>
          </w:p>
        </w:tc>
        <w:tc>
          <w:tcPr>
            <w:tcW w:w="4005" w:type="dxa"/>
            <w:noWrap w:val="0"/>
            <w:vAlign w:val="center"/>
          </w:tcPr>
          <w:p w14:paraId="29AFFD0E">
            <w:pP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县委组织部牵头，县人力资源和社会保障局、县教育局、县发展和改革局、县财政局、县住房和城乡建设局等负责</w:t>
            </w:r>
          </w:p>
        </w:tc>
        <w:tc>
          <w:tcPr>
            <w:tcW w:w="1140" w:type="dxa"/>
            <w:noWrap w:val="0"/>
            <w:vAlign w:val="center"/>
          </w:tcPr>
          <w:p w14:paraId="7EE45406">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戴立山</w:t>
            </w:r>
          </w:p>
          <w:p w14:paraId="2628142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袁光平</w:t>
            </w:r>
          </w:p>
          <w:p w14:paraId="44CA818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龙景星</w:t>
            </w:r>
          </w:p>
          <w:p w14:paraId="60E2D07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唐友柏</w:t>
            </w:r>
          </w:p>
          <w:p w14:paraId="041A736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罗</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兴</w:t>
            </w:r>
          </w:p>
          <w:p w14:paraId="51BD3F5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黄始伟</w:t>
            </w:r>
          </w:p>
        </w:tc>
        <w:tc>
          <w:tcPr>
            <w:tcW w:w="1980" w:type="dxa"/>
            <w:noWrap w:val="0"/>
            <w:vAlign w:val="center"/>
          </w:tcPr>
          <w:p w14:paraId="5C8B77D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周楚舜</w:t>
            </w:r>
          </w:p>
          <w:p w14:paraId="18ECAA50">
            <w:pPr>
              <w:jc w:val="center"/>
              <w:rPr>
                <w:rFonts w:hint="eastAsia" w:ascii="宋体" w:hAnsi="宋体" w:cs="宋体"/>
                <w:color w:val="000000" w:themeColor="text1"/>
                <w:szCs w:val="21"/>
                <w14:textFill>
                  <w14:solidFill>
                    <w14:schemeClr w14:val="tx1"/>
                  </w14:solidFill>
                </w14:textFill>
              </w:rPr>
            </w:pPr>
          </w:p>
        </w:tc>
      </w:tr>
    </w:tbl>
    <w:p w14:paraId="463D5C7B">
      <w:pPr>
        <w:pStyle w:val="12"/>
        <w:ind w:left="0" w:leftChars="0" w:firstLine="0" w:firstLineChars="0"/>
        <w:rPr>
          <w:color w:val="000000" w:themeColor="text1"/>
          <w:sz w:val="32"/>
          <w:szCs w:val="32"/>
          <w14:textFill>
            <w14:solidFill>
              <w14:schemeClr w14:val="tx1"/>
            </w14:solidFill>
          </w14:textFill>
        </w:rPr>
        <w:sectPr>
          <w:footerReference r:id="rId4" w:type="default"/>
          <w:pgSz w:w="16838" w:h="11906" w:orient="landscape"/>
          <w:pgMar w:top="1701" w:right="1440" w:bottom="1531" w:left="1440" w:header="851" w:footer="992" w:gutter="0"/>
          <w:cols w:space="425" w:num="1"/>
          <w:docGrid w:type="lines" w:linePitch="312" w:charSpace="0"/>
        </w:sectPr>
      </w:pPr>
    </w:p>
    <w:p w14:paraId="30F2DE76">
      <w:pPr>
        <w:pStyle w:val="4"/>
        <w:keepNext/>
        <w:keepLines/>
        <w:pageBreakBefore w:val="0"/>
        <w:widowControl w:val="0"/>
        <w:kinsoku/>
        <w:wordWrap/>
        <w:overflowPunct/>
        <w:topLinePunct w:val="0"/>
        <w:autoSpaceDE/>
        <w:autoSpaceDN/>
        <w:bidi w:val="0"/>
        <w:adjustRightInd/>
        <w:snapToGrid/>
        <w:spacing w:before="0" w:after="0" w:line="413" w:lineRule="auto"/>
        <w:jc w:val="both"/>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附件3</w:t>
      </w:r>
    </w:p>
    <w:p w14:paraId="57A07D3B">
      <w:pPr>
        <w:pStyle w:val="4"/>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方正小标宋简体" w:eastAsia="方正小标宋简体" w:cs="方正小标宋简体"/>
          <w:b w:val="0"/>
          <w:bCs/>
          <w:color w:val="000000" w:themeColor="text1"/>
          <w:spacing w:val="-6"/>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绥宁县</w:t>
      </w:r>
      <w:r>
        <w:rPr>
          <w:rFonts w:hint="eastAsia" w:ascii="方正小标宋简体" w:hAnsi="方正小标宋简体" w:eastAsia="方正小标宋简体" w:cs="方正小标宋简体"/>
          <w:b w:val="0"/>
          <w:bCs/>
          <w:color w:val="000000" w:themeColor="text1"/>
          <w:spacing w:val="-6"/>
          <w:sz w:val="44"/>
          <w:szCs w:val="44"/>
          <w14:textFill>
            <w14:solidFill>
              <w14:schemeClr w14:val="tx1"/>
            </w14:solidFill>
          </w14:textFill>
        </w:rPr>
        <w:t>打好科技创新攻坚仗工作方案</w:t>
      </w:r>
    </w:p>
    <w:p w14:paraId="53DD510D">
      <w:pPr>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lang w:val="en-US" w:eastAsia="zh-CN"/>
          <w14:textFill>
            <w14:solidFill>
              <w14:schemeClr w14:val="tx1"/>
            </w14:solidFill>
          </w14:textFill>
        </w:rPr>
      </w:pPr>
    </w:p>
    <w:p w14:paraId="50206CD4">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为</w:t>
      </w:r>
      <w:r>
        <w:rPr>
          <w:rFonts w:hint="eastAsia" w:ascii="仿宋" w:hAnsi="仿宋" w:eastAsia="仿宋" w:cs="仿宋"/>
          <w:color w:val="000000" w:themeColor="text1"/>
          <w:spacing w:val="-6"/>
          <w:sz w:val="32"/>
          <w:szCs w:val="32"/>
          <w:lang w:eastAsia="zh-CN"/>
          <w14:textFill>
            <w14:solidFill>
              <w14:schemeClr w14:val="tx1"/>
            </w14:solidFill>
          </w14:textFill>
        </w:rPr>
        <w:t>全面贯彻落实《湖南省</w:t>
      </w:r>
      <w:r>
        <w:rPr>
          <w:rFonts w:hint="eastAsia" w:ascii="仿宋" w:hAnsi="仿宋" w:eastAsia="仿宋" w:cs="仿宋"/>
          <w:color w:val="000000" w:themeColor="text1"/>
          <w:spacing w:val="-6"/>
          <w:sz w:val="32"/>
          <w:szCs w:val="32"/>
          <w14:textFill>
            <w14:solidFill>
              <w14:schemeClr w14:val="tx1"/>
            </w14:solidFill>
          </w14:textFill>
        </w:rPr>
        <w:t>打好</w:t>
      </w:r>
      <w:r>
        <w:rPr>
          <w:rFonts w:hint="eastAsia" w:ascii="仿宋" w:hAnsi="仿宋" w:eastAsia="仿宋" w:cs="仿宋"/>
          <w:color w:val="000000" w:themeColor="text1"/>
          <w:spacing w:val="-6"/>
          <w:sz w:val="32"/>
          <w:szCs w:val="32"/>
          <w:lang w:eastAsia="zh-CN"/>
          <w14:textFill>
            <w14:solidFill>
              <w14:schemeClr w14:val="tx1"/>
            </w14:solidFill>
          </w14:textFill>
        </w:rPr>
        <w:t>发展“六仗</w:t>
      </w:r>
      <w:r>
        <w:rPr>
          <w:rFonts w:hint="eastAsia" w:ascii="仿宋" w:hAnsi="仿宋" w:eastAsia="仿宋" w:cs="仿宋"/>
          <w:color w:val="000000" w:themeColor="text1"/>
          <w:spacing w:val="-6"/>
          <w:sz w:val="32"/>
          <w:szCs w:val="32"/>
          <w:lang w:val="en-US" w:eastAsia="zh-CN"/>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总体</w:t>
      </w:r>
      <w:r>
        <w:rPr>
          <w:rFonts w:hint="eastAsia" w:ascii="仿宋" w:hAnsi="仿宋" w:eastAsia="仿宋" w:cs="仿宋"/>
          <w:color w:val="000000" w:themeColor="text1"/>
          <w:spacing w:val="-6"/>
          <w:sz w:val="32"/>
          <w:szCs w:val="32"/>
          <w14:textFill>
            <w14:solidFill>
              <w14:schemeClr w14:val="tx1"/>
            </w14:solidFill>
          </w14:textFill>
        </w:rPr>
        <w:t>方案</w:t>
      </w:r>
      <w:r>
        <w:rPr>
          <w:rFonts w:hint="eastAsia" w:ascii="仿宋" w:hAnsi="仿宋" w:eastAsia="仿宋" w:cs="仿宋"/>
          <w:color w:val="000000" w:themeColor="text1"/>
          <w:spacing w:val="-6"/>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lang w:val="en-US" w:eastAsia="zh-CN"/>
          <w14:textFill>
            <w14:solidFill>
              <w14:schemeClr w14:val="tx1"/>
            </w14:solidFill>
          </w14:textFill>
        </w:rPr>
        <w:t>(湘政办发〔2023〕2号)</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依据湖南省《打好科技创新攻坚仗工作方案》的部署和要求，结合绥宁科技创新实际</w:t>
      </w:r>
      <w:r>
        <w:rPr>
          <w:rFonts w:hint="eastAsia" w:ascii="仿宋" w:hAnsi="仿宋" w:eastAsia="仿宋" w:cs="仿宋"/>
          <w:color w:val="000000" w:themeColor="text1"/>
          <w:spacing w:val="-6"/>
          <w:sz w:val="32"/>
          <w:szCs w:val="32"/>
          <w14:textFill>
            <w14:solidFill>
              <w14:schemeClr w14:val="tx1"/>
            </w14:solidFill>
          </w14:textFill>
        </w:rPr>
        <w:t>，特制定本工作方案。</w:t>
      </w:r>
    </w:p>
    <w:p w14:paraId="7855D3B6">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黑体" w:hAnsi="黑体" w:eastAsia="黑体" w:cs="黑体"/>
          <w:b w:val="0"/>
          <w:bCs w:val="0"/>
          <w:color w:val="000000" w:themeColor="text1"/>
          <w:spacing w:val="-6"/>
          <w:sz w:val="32"/>
          <w:szCs w:val="32"/>
          <w14:textFill>
            <w14:solidFill>
              <w14:schemeClr w14:val="tx1"/>
            </w14:solidFill>
          </w14:textFill>
        </w:rPr>
      </w:pPr>
      <w:r>
        <w:rPr>
          <w:rFonts w:hint="eastAsia" w:ascii="黑体" w:hAnsi="黑体" w:eastAsia="黑体" w:cs="黑体"/>
          <w:b w:val="0"/>
          <w:bCs w:val="0"/>
          <w:color w:val="000000" w:themeColor="text1"/>
          <w:spacing w:val="-6"/>
          <w:sz w:val="32"/>
          <w:szCs w:val="32"/>
          <w14:textFill>
            <w14:solidFill>
              <w14:schemeClr w14:val="tx1"/>
            </w14:solidFill>
          </w14:textFill>
        </w:rPr>
        <w:t>一、工作目标</w:t>
      </w:r>
    </w:p>
    <w:p w14:paraId="26548B93">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全面落实“三高四新”战略定位和使命任务，</w:t>
      </w:r>
      <w:r>
        <w:rPr>
          <w:rFonts w:hint="eastAsia" w:ascii="仿宋" w:hAnsi="仿宋" w:eastAsia="仿宋" w:cs="仿宋"/>
          <w:color w:val="000000" w:themeColor="text1"/>
          <w:spacing w:val="-6"/>
          <w:sz w:val="32"/>
          <w:szCs w:val="32"/>
          <w:lang w:eastAsia="zh-CN"/>
          <w14:textFill>
            <w14:solidFill>
              <w14:schemeClr w14:val="tx1"/>
            </w14:solidFill>
          </w14:textFill>
        </w:rPr>
        <w:t>聚焦县域内特色产业楠竹、杂交水稻、油茶、养猪、光伏发电、生态绿色食品等产业领域，攻克一批关键</w:t>
      </w:r>
      <w:r>
        <w:rPr>
          <w:rFonts w:hint="eastAsia" w:ascii="仿宋" w:hAnsi="仿宋" w:eastAsia="仿宋" w:cs="仿宋"/>
          <w:color w:val="000000" w:themeColor="text1"/>
          <w:spacing w:val="-6"/>
          <w:sz w:val="32"/>
          <w:szCs w:val="32"/>
          <w14:textFill>
            <w14:solidFill>
              <w14:schemeClr w14:val="tx1"/>
            </w14:solidFill>
          </w14:textFill>
        </w:rPr>
        <w:t>核心技术，</w:t>
      </w:r>
      <w:r>
        <w:rPr>
          <w:rFonts w:hint="eastAsia" w:ascii="仿宋" w:hAnsi="仿宋" w:eastAsia="仿宋" w:cs="仿宋"/>
          <w:color w:val="000000" w:themeColor="text1"/>
          <w:spacing w:val="-6"/>
          <w:sz w:val="32"/>
          <w:szCs w:val="32"/>
          <w:lang w:eastAsia="zh-CN"/>
          <w14:textFill>
            <w14:solidFill>
              <w14:schemeClr w14:val="tx1"/>
            </w14:solidFill>
          </w14:textFill>
        </w:rPr>
        <w:t>转化一批科研成果，塑造高质量发展新动能新优势。</w:t>
      </w:r>
      <w:r>
        <w:rPr>
          <w:rFonts w:hint="eastAsia" w:ascii="仿宋" w:hAnsi="仿宋" w:eastAsia="仿宋" w:cs="仿宋"/>
          <w:color w:val="000000" w:themeColor="text1"/>
          <w:spacing w:val="-6"/>
          <w:sz w:val="32"/>
          <w:szCs w:val="32"/>
          <w:lang w:val="en-US" w:eastAsia="zh-CN"/>
          <w14:textFill>
            <w14:solidFill>
              <w14:schemeClr w14:val="tx1"/>
            </w14:solidFill>
          </w14:textFill>
        </w:rPr>
        <w:t>全县净增高新技术企业4家以上，</w:t>
      </w:r>
      <w:r>
        <w:rPr>
          <w:rFonts w:hint="eastAsia" w:ascii="仿宋" w:hAnsi="仿宋" w:eastAsia="仿宋" w:cs="仿宋"/>
          <w:color w:val="000000" w:themeColor="text1"/>
          <w:spacing w:val="-6"/>
          <w:sz w:val="32"/>
          <w:szCs w:val="32"/>
          <w14:textFill>
            <w14:solidFill>
              <w14:schemeClr w14:val="tx1"/>
            </w14:solidFill>
          </w14:textFill>
        </w:rPr>
        <w:t>全社会研发经费投入增长1</w:t>
      </w:r>
      <w:r>
        <w:rPr>
          <w:rFonts w:hint="eastAsia" w:ascii="仿宋" w:hAnsi="仿宋" w:eastAsia="仿宋" w:cs="仿宋"/>
          <w:color w:val="000000" w:themeColor="text1"/>
          <w:spacing w:val="-6"/>
          <w:sz w:val="32"/>
          <w:szCs w:val="32"/>
          <w:lang w:val="en-US" w:eastAsia="zh-CN"/>
          <w14:textFill>
            <w14:solidFill>
              <w14:schemeClr w14:val="tx1"/>
            </w14:solidFill>
          </w14:textFill>
        </w:rPr>
        <w:t>5</w:t>
      </w:r>
      <w:r>
        <w:rPr>
          <w:rFonts w:hint="eastAsia" w:ascii="仿宋" w:hAnsi="仿宋" w:eastAsia="仿宋" w:cs="仿宋"/>
          <w:color w:val="000000" w:themeColor="text1"/>
          <w:spacing w:val="-6"/>
          <w:sz w:val="32"/>
          <w:szCs w:val="32"/>
          <w14:textFill>
            <w14:solidFill>
              <w14:schemeClr w14:val="tx1"/>
            </w14:solidFill>
          </w14:textFill>
        </w:rPr>
        <w:t>%，新增</w:t>
      </w:r>
      <w:r>
        <w:rPr>
          <w:rFonts w:hint="eastAsia" w:ascii="仿宋" w:hAnsi="仿宋" w:eastAsia="仿宋" w:cs="仿宋"/>
          <w:color w:val="000000" w:themeColor="text1"/>
          <w:spacing w:val="-6"/>
          <w:sz w:val="32"/>
          <w:szCs w:val="32"/>
          <w:lang w:eastAsia="zh-CN"/>
          <w14:textFill>
            <w14:solidFill>
              <w14:schemeClr w14:val="tx1"/>
            </w14:solidFill>
          </w14:textFill>
        </w:rPr>
        <w:t>有效</w:t>
      </w:r>
      <w:r>
        <w:rPr>
          <w:rFonts w:hint="eastAsia" w:ascii="仿宋" w:hAnsi="仿宋" w:eastAsia="仿宋" w:cs="仿宋"/>
          <w:color w:val="000000" w:themeColor="text1"/>
          <w:spacing w:val="-6"/>
          <w:sz w:val="32"/>
          <w:szCs w:val="32"/>
          <w14:textFill>
            <w14:solidFill>
              <w14:schemeClr w14:val="tx1"/>
            </w14:solidFill>
          </w14:textFill>
        </w:rPr>
        <w:t>发明专利</w:t>
      </w:r>
      <w:r>
        <w:rPr>
          <w:rFonts w:hint="eastAsia" w:ascii="仿宋" w:hAnsi="仿宋" w:eastAsia="仿宋" w:cs="仿宋"/>
          <w:color w:val="000000" w:themeColor="text1"/>
          <w:spacing w:val="-6"/>
          <w:sz w:val="32"/>
          <w:szCs w:val="32"/>
          <w:lang w:val="en-US" w:eastAsia="zh-CN"/>
          <w14:textFill>
            <w14:solidFill>
              <w14:schemeClr w14:val="tx1"/>
            </w14:solidFill>
          </w14:textFill>
        </w:rPr>
        <w:t>3</w:t>
      </w:r>
      <w:r>
        <w:rPr>
          <w:rFonts w:hint="eastAsia" w:ascii="仿宋" w:hAnsi="仿宋" w:eastAsia="仿宋" w:cs="仿宋"/>
          <w:color w:val="000000" w:themeColor="text1"/>
          <w:spacing w:val="-6"/>
          <w:sz w:val="32"/>
          <w:szCs w:val="32"/>
          <w14:textFill>
            <w14:solidFill>
              <w14:schemeClr w14:val="tx1"/>
            </w14:solidFill>
          </w14:textFill>
        </w:rPr>
        <w:t>件</w:t>
      </w:r>
      <w:r>
        <w:rPr>
          <w:rFonts w:hint="eastAsia" w:ascii="仿宋" w:hAnsi="仿宋" w:eastAsia="仿宋" w:cs="仿宋"/>
          <w:color w:val="000000" w:themeColor="text1"/>
          <w:spacing w:val="-6"/>
          <w:sz w:val="32"/>
          <w:szCs w:val="32"/>
          <w:lang w:eastAsia="zh-CN"/>
          <w14:textFill>
            <w14:solidFill>
              <w14:schemeClr w14:val="tx1"/>
            </w14:solidFill>
          </w14:textFill>
        </w:rPr>
        <w:t>以上</w:t>
      </w:r>
      <w:r>
        <w:rPr>
          <w:rFonts w:hint="eastAsia" w:ascii="仿宋" w:hAnsi="仿宋" w:eastAsia="仿宋" w:cs="仿宋"/>
          <w:color w:val="000000" w:themeColor="text1"/>
          <w:spacing w:val="-6"/>
          <w:sz w:val="32"/>
          <w:szCs w:val="32"/>
          <w14:textFill>
            <w14:solidFill>
              <w14:schemeClr w14:val="tx1"/>
            </w14:solidFill>
          </w14:textFill>
        </w:rPr>
        <w:t>，技术合同交易成交额增长15%以上，高新技术产业增加值增长</w:t>
      </w:r>
      <w:r>
        <w:rPr>
          <w:rFonts w:hint="eastAsia" w:ascii="仿宋" w:hAnsi="仿宋" w:eastAsia="仿宋" w:cs="仿宋"/>
          <w:color w:val="000000" w:themeColor="text1"/>
          <w:spacing w:val="-6"/>
          <w:sz w:val="32"/>
          <w:szCs w:val="32"/>
          <w:lang w:val="en-US" w:eastAsia="zh-CN"/>
          <w14:textFill>
            <w14:solidFill>
              <w14:schemeClr w14:val="tx1"/>
            </w14:solidFill>
          </w14:textFill>
        </w:rPr>
        <w:t>15</w:t>
      </w:r>
      <w:r>
        <w:rPr>
          <w:rFonts w:hint="eastAsia" w:ascii="仿宋" w:hAnsi="仿宋" w:eastAsia="仿宋" w:cs="仿宋"/>
          <w:color w:val="000000" w:themeColor="text1"/>
          <w:spacing w:val="-6"/>
          <w:sz w:val="32"/>
          <w:szCs w:val="32"/>
          <w14:textFill>
            <w14:solidFill>
              <w14:schemeClr w14:val="tx1"/>
            </w14:solidFill>
          </w14:textFill>
        </w:rPr>
        <w:t>%以上。</w:t>
      </w:r>
    </w:p>
    <w:p w14:paraId="5D66E951">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黑体" w:hAnsi="黑体" w:eastAsia="黑体" w:cs="黑体"/>
          <w:b w:val="0"/>
          <w:bCs w:val="0"/>
          <w:color w:val="000000" w:themeColor="text1"/>
          <w:spacing w:val="-6"/>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6"/>
          <w:sz w:val="32"/>
          <w:szCs w:val="32"/>
          <w:lang w:val="en-US" w:eastAsia="zh-CN"/>
          <w14:textFill>
            <w14:solidFill>
              <w14:schemeClr w14:val="tx1"/>
            </w14:solidFill>
          </w14:textFill>
        </w:rPr>
        <w:t>二、工作任务</w:t>
      </w:r>
    </w:p>
    <w:p w14:paraId="0385E2EC">
      <w:pPr>
        <w:pageBreakBefore w:val="0"/>
        <w:widowControl w:val="0"/>
        <w:kinsoku/>
        <w:wordWrap/>
        <w:overflowPunct/>
        <w:topLinePunct w:val="0"/>
        <w:autoSpaceDE/>
        <w:autoSpaceDN/>
        <w:bidi w:val="0"/>
        <w:adjustRightInd/>
        <w:snapToGrid/>
        <w:spacing w:line="540" w:lineRule="exact"/>
        <w:ind w:firstLine="619" w:firstLineChars="200"/>
        <w:textAlignment w:val="auto"/>
        <w:rPr>
          <w:rFonts w:hint="eastAsia" w:ascii="仿宋" w:hAnsi="仿宋" w:eastAsia="仿宋" w:cs="仿宋"/>
          <w:color w:val="000000" w:themeColor="text1"/>
          <w:spacing w:val="-6"/>
          <w:sz w:val="31"/>
          <w14:textFill>
            <w14:solidFill>
              <w14:schemeClr w14:val="tx1"/>
            </w14:solidFill>
          </w14:textFill>
        </w:rPr>
      </w:pPr>
      <w:r>
        <w:rPr>
          <w:rFonts w:hint="eastAsia" w:ascii="楷体" w:hAnsi="楷体" w:eastAsia="楷体" w:cs="楷体"/>
          <w:b/>
          <w:bCs/>
          <w:color w:val="000000" w:themeColor="text1"/>
          <w:spacing w:val="-6"/>
          <w:sz w:val="32"/>
          <w:szCs w:val="32"/>
          <w:lang w:eastAsia="zh-CN"/>
          <w14:textFill>
            <w14:solidFill>
              <w14:schemeClr w14:val="tx1"/>
            </w14:solidFill>
          </w14:textFill>
        </w:rPr>
        <w:t>（</w:t>
      </w:r>
      <w:r>
        <w:rPr>
          <w:rFonts w:hint="eastAsia" w:ascii="楷体" w:hAnsi="楷体" w:eastAsia="楷体" w:cs="楷体"/>
          <w:b/>
          <w:bCs/>
          <w:color w:val="000000" w:themeColor="text1"/>
          <w:spacing w:val="-6"/>
          <w:sz w:val="32"/>
          <w:szCs w:val="32"/>
          <w14:textFill>
            <w14:solidFill>
              <w14:schemeClr w14:val="tx1"/>
            </w14:solidFill>
          </w14:textFill>
        </w:rPr>
        <w:t>一</w:t>
      </w:r>
      <w:r>
        <w:rPr>
          <w:rFonts w:hint="eastAsia" w:ascii="楷体" w:hAnsi="楷体" w:eastAsia="楷体" w:cs="楷体"/>
          <w:b/>
          <w:bCs/>
          <w:color w:val="000000" w:themeColor="text1"/>
          <w:spacing w:val="-6"/>
          <w:sz w:val="32"/>
          <w:szCs w:val="32"/>
          <w:lang w:eastAsia="zh-CN"/>
          <w14:textFill>
            <w14:solidFill>
              <w14:schemeClr w14:val="tx1"/>
            </w14:solidFill>
          </w14:textFill>
        </w:rPr>
        <w:t>）</w:t>
      </w:r>
      <w:r>
        <w:rPr>
          <w:rFonts w:hint="eastAsia" w:ascii="楷体" w:hAnsi="楷体" w:eastAsia="楷体" w:cs="楷体"/>
          <w:b/>
          <w:bCs/>
          <w:color w:val="000000" w:themeColor="text1"/>
          <w:spacing w:val="-6"/>
          <w:sz w:val="32"/>
          <w:szCs w:val="32"/>
          <w14:textFill>
            <w14:solidFill>
              <w14:schemeClr w14:val="tx1"/>
            </w14:solidFill>
          </w14:textFill>
        </w:rPr>
        <w:t>关键核心技术攻坚行动。</w:t>
      </w:r>
      <w:r>
        <w:rPr>
          <w:rFonts w:hint="eastAsia" w:ascii="仿宋" w:hAnsi="仿宋" w:eastAsia="仿宋" w:cs="仿宋"/>
          <w:color w:val="000000" w:themeColor="text1"/>
          <w:spacing w:val="-6"/>
          <w:sz w:val="32"/>
          <w:szCs w:val="32"/>
          <w:lang w:eastAsia="zh-CN"/>
          <w14:textFill>
            <w14:solidFill>
              <w14:schemeClr w14:val="tx1"/>
            </w14:solidFill>
          </w14:textFill>
        </w:rPr>
        <w:t>坚持问题和需求导向，</w:t>
      </w:r>
      <w:r>
        <w:rPr>
          <w:rFonts w:hint="eastAsia" w:ascii="仿宋" w:hAnsi="仿宋" w:eastAsia="仿宋" w:cs="仿宋"/>
          <w:color w:val="000000" w:themeColor="text1"/>
          <w:spacing w:val="-6"/>
          <w:sz w:val="31"/>
          <w14:textFill>
            <w14:solidFill>
              <w14:schemeClr w14:val="tx1"/>
            </w14:solidFill>
          </w14:textFill>
        </w:rPr>
        <w:t>力争突破关键技术</w:t>
      </w:r>
      <w:r>
        <w:rPr>
          <w:rFonts w:hint="eastAsia" w:ascii="仿宋" w:hAnsi="仿宋" w:eastAsia="仿宋" w:cs="仿宋"/>
          <w:color w:val="000000" w:themeColor="text1"/>
          <w:spacing w:val="-6"/>
          <w:sz w:val="31"/>
          <w:lang w:val="en-US" w:eastAsia="zh-CN"/>
          <w14:textFill>
            <w14:solidFill>
              <w14:schemeClr w14:val="tx1"/>
            </w14:solidFill>
          </w14:textFill>
        </w:rPr>
        <w:t>1</w:t>
      </w:r>
      <w:r>
        <w:rPr>
          <w:rFonts w:hint="eastAsia" w:ascii="仿宋" w:hAnsi="仿宋" w:eastAsia="仿宋" w:cs="仿宋"/>
          <w:color w:val="000000" w:themeColor="text1"/>
          <w:spacing w:val="-6"/>
          <w:sz w:val="31"/>
          <w14:textFill>
            <w14:solidFill>
              <w14:schemeClr w14:val="tx1"/>
            </w14:solidFill>
          </w14:textFill>
        </w:rPr>
        <w:t>项以上，开发重大产品（工艺、品种）</w:t>
      </w:r>
      <w:r>
        <w:rPr>
          <w:rFonts w:hint="eastAsia" w:ascii="仿宋" w:hAnsi="仿宋" w:eastAsia="仿宋" w:cs="仿宋"/>
          <w:color w:val="000000" w:themeColor="text1"/>
          <w:spacing w:val="-6"/>
          <w:sz w:val="31"/>
          <w:lang w:val="en-US" w:eastAsia="zh-CN"/>
          <w14:textFill>
            <w14:solidFill>
              <w14:schemeClr w14:val="tx1"/>
            </w14:solidFill>
          </w14:textFill>
        </w:rPr>
        <w:t>1</w:t>
      </w:r>
      <w:r>
        <w:rPr>
          <w:rFonts w:hint="eastAsia" w:ascii="仿宋" w:hAnsi="仿宋" w:eastAsia="仿宋" w:cs="仿宋"/>
          <w:color w:val="000000" w:themeColor="text1"/>
          <w:spacing w:val="-6"/>
          <w:sz w:val="31"/>
          <w14:textFill>
            <w14:solidFill>
              <w14:schemeClr w14:val="tx1"/>
            </w14:solidFill>
          </w14:textFill>
        </w:rPr>
        <w:t>个以上。</w:t>
      </w:r>
    </w:p>
    <w:p w14:paraId="1696D650">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1.种业领域。</w:t>
      </w:r>
      <w:r>
        <w:rPr>
          <w:rFonts w:hint="eastAsia" w:ascii="仿宋" w:hAnsi="仿宋" w:eastAsia="仿宋" w:cs="仿宋"/>
          <w:color w:val="000000" w:themeColor="text1"/>
          <w:spacing w:val="-6"/>
          <w:sz w:val="32"/>
          <w:szCs w:val="32"/>
          <w:lang w:val="en-US" w:eastAsia="zh-CN"/>
          <w14:textFill>
            <w14:solidFill>
              <w14:schemeClr w14:val="tx1"/>
            </w14:solidFill>
          </w14:textFill>
        </w:rPr>
        <w:t>开展杂交水稻、红提、养猪、中药材、生物肥料等优质新品种选育和栽培技术攻关，推动育种精准化、高效化和智能化，力争引进新品种1个以上。推进杂交水稻、东山红提、东山花猪等优势品种提质，提升市场占有率。（县发展和改革局牵头，县农业农村水利局、县林业局等按职责分工负责）</w:t>
      </w:r>
    </w:p>
    <w:p w14:paraId="53472E20">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2.产业领域。</w:t>
      </w:r>
      <w:r>
        <w:rPr>
          <w:rFonts w:hint="eastAsia" w:ascii="仿宋" w:hAnsi="仿宋" w:eastAsia="仿宋" w:cs="仿宋"/>
          <w:color w:val="000000" w:themeColor="text1"/>
          <w:spacing w:val="-6"/>
          <w:sz w:val="32"/>
          <w:szCs w:val="32"/>
          <w:lang w:val="en-US" w:eastAsia="zh-CN"/>
          <w14:textFill>
            <w14:solidFill>
              <w14:schemeClr w14:val="tx1"/>
            </w14:solidFill>
          </w14:textFill>
        </w:rPr>
        <w:t>积极对接主动融入省“3+3+2”产业集群，聚焦九大新型产业链领域，大力支持楠竹精深加工、节能环保、生态绿色食品、生物有机肥料等产业发展。（县发展和改革局牵头，县农业农村水利局、县林业局等按职责分工负责）</w:t>
      </w:r>
    </w:p>
    <w:p w14:paraId="42C1D476">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3.先进计算与人工智能领域。</w:t>
      </w:r>
      <w:r>
        <w:rPr>
          <w:rFonts w:hint="eastAsia" w:ascii="仿宋" w:hAnsi="仿宋" w:eastAsia="仿宋" w:cs="仿宋"/>
          <w:color w:val="000000" w:themeColor="text1"/>
          <w:spacing w:val="-6"/>
          <w:sz w:val="32"/>
          <w:szCs w:val="32"/>
          <w:lang w:val="en-US" w:eastAsia="zh-CN"/>
          <w14:textFill>
            <w14:solidFill>
              <w14:schemeClr w14:val="tx1"/>
            </w14:solidFill>
          </w14:textFill>
        </w:rPr>
        <w:t>建设算力网络大市场，培育信创和网络安全新兴产业。（县发展和改革局、县委网信办、县移动公司、县联通公司、县电信公司等按职责分工负责）</w:t>
      </w:r>
    </w:p>
    <w:p w14:paraId="49CE79CB">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楷体" w:hAnsi="楷体" w:eastAsia="楷体" w:cs="楷体"/>
          <w:b/>
          <w:bCs/>
          <w:color w:val="000000" w:themeColor="text1"/>
          <w:spacing w:val="-6"/>
          <w:sz w:val="32"/>
          <w:szCs w:val="32"/>
          <w:lang w:eastAsia="zh-CN"/>
          <w14:textFill>
            <w14:solidFill>
              <w14:schemeClr w14:val="tx1"/>
            </w14:solidFill>
          </w14:textFill>
        </w:rPr>
        <w:t>（二）创新成果转化攻坚行动。</w:t>
      </w:r>
      <w:r>
        <w:rPr>
          <w:rFonts w:hint="eastAsia" w:ascii="仿宋" w:hAnsi="仿宋" w:eastAsia="仿宋" w:cs="仿宋"/>
          <w:color w:val="000000" w:themeColor="text1"/>
          <w:spacing w:val="-6"/>
          <w:sz w:val="32"/>
          <w:szCs w:val="32"/>
          <w14:textFill>
            <w14:solidFill>
              <w14:schemeClr w14:val="tx1"/>
            </w14:solidFill>
          </w14:textFill>
        </w:rPr>
        <w:t>强化企业科技创新主体地位</w:t>
      </w:r>
      <w:r>
        <w:rPr>
          <w:rFonts w:hint="eastAsia" w:ascii="仿宋" w:hAnsi="仿宋" w:eastAsia="仿宋" w:cs="仿宋"/>
          <w:color w:val="000000" w:themeColor="text1"/>
          <w:spacing w:val="-6"/>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14:textFill>
            <w14:solidFill>
              <w14:schemeClr w14:val="tx1"/>
            </w14:solidFill>
          </w14:textFill>
        </w:rPr>
        <w:t>实行产业出题、科技答题、金融助力，推动“科技一产业一金融”良性循环，提高科技成果转化和产业化水平。</w:t>
      </w:r>
    </w:p>
    <w:p w14:paraId="79EE26C7">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1.培育壮大科技型企业。</w:t>
      </w:r>
      <w:r>
        <w:rPr>
          <w:rFonts w:hint="eastAsia" w:ascii="仿宋" w:hAnsi="仿宋" w:eastAsia="仿宋" w:cs="仿宋"/>
          <w:color w:val="000000" w:themeColor="text1"/>
          <w:spacing w:val="-6"/>
          <w:sz w:val="32"/>
          <w:szCs w:val="32"/>
          <w14:textFill>
            <w14:solidFill>
              <w14:schemeClr w14:val="tx1"/>
            </w14:solidFill>
          </w14:textFill>
        </w:rPr>
        <w:t>办好</w:t>
      </w:r>
      <w:r>
        <w:rPr>
          <w:rFonts w:hint="eastAsia" w:ascii="仿宋" w:hAnsi="仿宋" w:eastAsia="仿宋" w:cs="仿宋"/>
          <w:color w:val="000000" w:themeColor="text1"/>
          <w:spacing w:val="-6"/>
          <w:sz w:val="32"/>
          <w:szCs w:val="32"/>
          <w:lang w:eastAsia="zh-CN"/>
          <w14:textFill>
            <w14:solidFill>
              <w14:schemeClr w14:val="tx1"/>
            </w14:solidFill>
          </w14:textFill>
        </w:rPr>
        <w:t>县级</w:t>
      </w:r>
      <w:r>
        <w:rPr>
          <w:rFonts w:hint="eastAsia" w:ascii="仿宋" w:hAnsi="仿宋" w:eastAsia="仿宋" w:cs="仿宋"/>
          <w:color w:val="000000" w:themeColor="text1"/>
          <w:spacing w:val="-6"/>
          <w:sz w:val="32"/>
          <w:szCs w:val="32"/>
          <w14:textFill>
            <w14:solidFill>
              <w14:schemeClr w14:val="tx1"/>
            </w14:solidFill>
          </w14:textFill>
        </w:rPr>
        <w:t>创新创业大赛</w:t>
      </w:r>
      <w:r>
        <w:rPr>
          <w:rFonts w:hint="eastAsia" w:ascii="仿宋" w:hAnsi="仿宋" w:eastAsia="仿宋" w:cs="仿宋"/>
          <w:color w:val="000000" w:themeColor="text1"/>
          <w:spacing w:val="-6"/>
          <w:sz w:val="32"/>
          <w:szCs w:val="32"/>
          <w:lang w:eastAsia="zh-CN"/>
          <w14:textFill>
            <w14:solidFill>
              <w14:schemeClr w14:val="tx1"/>
            </w14:solidFill>
          </w14:textFill>
        </w:rPr>
        <w:t>，积极推荐</w:t>
      </w:r>
      <w:r>
        <w:rPr>
          <w:rFonts w:hint="eastAsia" w:ascii="仿宋" w:hAnsi="仿宋" w:eastAsia="仿宋" w:cs="仿宋"/>
          <w:color w:val="000000" w:themeColor="text1"/>
          <w:spacing w:val="-6"/>
          <w:sz w:val="32"/>
          <w:szCs w:val="32"/>
          <w14:textFill>
            <w14:solidFill>
              <w14:schemeClr w14:val="tx1"/>
            </w14:solidFill>
          </w14:textFill>
        </w:rPr>
        <w:t>颠覆性技术大赛</w:t>
      </w:r>
      <w:r>
        <w:rPr>
          <w:rFonts w:hint="eastAsia" w:ascii="仿宋" w:hAnsi="仿宋" w:eastAsia="仿宋" w:cs="仿宋"/>
          <w:color w:val="000000" w:themeColor="text1"/>
          <w:spacing w:val="-6"/>
          <w:sz w:val="32"/>
          <w:szCs w:val="32"/>
          <w:lang w:eastAsia="zh-CN"/>
          <w14:textFill>
            <w14:solidFill>
              <w14:schemeClr w14:val="tx1"/>
            </w14:solidFill>
          </w14:textFill>
        </w:rPr>
        <w:t>参赛项目。深入实施高企倍增计划，</w:t>
      </w:r>
      <w:r>
        <w:rPr>
          <w:rFonts w:hint="eastAsia" w:ascii="仿宋" w:hAnsi="仿宋" w:eastAsia="仿宋" w:cs="仿宋"/>
          <w:color w:val="000000" w:themeColor="text1"/>
          <w:spacing w:val="-6"/>
          <w:sz w:val="32"/>
          <w:szCs w:val="32"/>
          <w14:textFill>
            <w14:solidFill>
              <w14:schemeClr w14:val="tx1"/>
            </w14:solidFill>
          </w14:textFill>
        </w:rPr>
        <w:t>落实财政支持企业科技创新政策措施，</w:t>
      </w:r>
      <w:r>
        <w:rPr>
          <w:rFonts w:hint="eastAsia" w:ascii="仿宋" w:hAnsi="仿宋" w:eastAsia="仿宋" w:cs="仿宋"/>
          <w:color w:val="000000" w:themeColor="text1"/>
          <w:spacing w:val="-6"/>
          <w:sz w:val="32"/>
          <w:szCs w:val="32"/>
          <w:lang w:eastAsia="zh-CN"/>
          <w14:textFill>
            <w14:solidFill>
              <w14:schemeClr w14:val="tx1"/>
            </w14:solidFill>
          </w14:textFill>
        </w:rPr>
        <w:t>加快</w:t>
      </w:r>
      <w:r>
        <w:rPr>
          <w:rFonts w:hint="eastAsia" w:ascii="仿宋" w:hAnsi="仿宋" w:eastAsia="仿宋" w:cs="仿宋"/>
          <w:color w:val="000000" w:themeColor="text1"/>
          <w:spacing w:val="-6"/>
          <w:sz w:val="32"/>
          <w:szCs w:val="32"/>
          <w14:textFill>
            <w14:solidFill>
              <w14:schemeClr w14:val="tx1"/>
            </w14:solidFill>
          </w14:textFill>
        </w:rPr>
        <w:t>培育“四科”科技型中小企业</w:t>
      </w:r>
      <w:r>
        <w:rPr>
          <w:rFonts w:hint="eastAsia" w:ascii="仿宋" w:hAnsi="仿宋" w:eastAsia="仿宋" w:cs="仿宋"/>
          <w:color w:val="000000" w:themeColor="text1"/>
          <w:spacing w:val="-6"/>
          <w:sz w:val="32"/>
          <w:szCs w:val="32"/>
          <w:lang w:eastAsia="zh-CN"/>
          <w14:textFill>
            <w14:solidFill>
              <w14:schemeClr w14:val="tx1"/>
            </w14:solidFill>
          </w14:textFill>
        </w:rPr>
        <w:t>和</w:t>
      </w:r>
      <w:r>
        <w:rPr>
          <w:rFonts w:hint="eastAsia" w:ascii="仿宋" w:hAnsi="仿宋" w:eastAsia="仿宋" w:cs="仿宋"/>
          <w:color w:val="000000" w:themeColor="text1"/>
          <w:spacing w:val="-6"/>
          <w:sz w:val="32"/>
          <w:szCs w:val="32"/>
          <w14:textFill>
            <w14:solidFill>
              <w14:schemeClr w14:val="tx1"/>
            </w14:solidFill>
          </w14:textFill>
        </w:rPr>
        <w:t>“创新百强”高企，促进各类创新要素向企业集聚。加快临规企业、潜力企业“小升规”，提高规上工业企业研发机构、研发活动覆盖面，大力培育专精特新“小巨人”企业。力争</w:t>
      </w:r>
      <w:r>
        <w:rPr>
          <w:rFonts w:hint="eastAsia" w:ascii="仿宋" w:hAnsi="仿宋" w:eastAsia="仿宋" w:cs="仿宋"/>
          <w:color w:val="000000" w:themeColor="text1"/>
          <w:spacing w:val="-6"/>
          <w:sz w:val="32"/>
          <w:szCs w:val="32"/>
          <w:lang w:eastAsia="zh-CN"/>
          <w14:textFill>
            <w14:solidFill>
              <w14:schemeClr w14:val="tx1"/>
            </w14:solidFill>
          </w14:textFill>
        </w:rPr>
        <w:t>年度</w:t>
      </w:r>
      <w:r>
        <w:rPr>
          <w:rFonts w:hint="eastAsia" w:ascii="仿宋" w:hAnsi="仿宋" w:eastAsia="仿宋" w:cs="仿宋"/>
          <w:color w:val="000000" w:themeColor="text1"/>
          <w:spacing w:val="-6"/>
          <w:sz w:val="32"/>
          <w:szCs w:val="32"/>
          <w14:textFill>
            <w14:solidFill>
              <w14:schemeClr w14:val="tx1"/>
            </w14:solidFill>
          </w14:textFill>
        </w:rPr>
        <w:t>净增高新技术企业超</w:t>
      </w:r>
      <w:r>
        <w:rPr>
          <w:rFonts w:hint="eastAsia" w:ascii="仿宋" w:hAnsi="仿宋" w:eastAsia="仿宋" w:cs="仿宋"/>
          <w:color w:val="000000" w:themeColor="text1"/>
          <w:spacing w:val="-6"/>
          <w:sz w:val="32"/>
          <w:szCs w:val="32"/>
          <w:lang w:val="en-US" w:eastAsia="zh-CN"/>
          <w14:textFill>
            <w14:solidFill>
              <w14:schemeClr w14:val="tx1"/>
            </w14:solidFill>
          </w14:textFill>
        </w:rPr>
        <w:t>4</w:t>
      </w:r>
      <w:r>
        <w:rPr>
          <w:rFonts w:hint="eastAsia" w:ascii="仿宋" w:hAnsi="仿宋" w:eastAsia="仿宋" w:cs="仿宋"/>
          <w:color w:val="000000" w:themeColor="text1"/>
          <w:spacing w:val="-6"/>
          <w:sz w:val="32"/>
          <w:szCs w:val="32"/>
          <w14:textFill>
            <w14:solidFill>
              <w14:schemeClr w14:val="tx1"/>
            </w14:solidFill>
          </w14:textFill>
        </w:rPr>
        <w:t>家</w:t>
      </w:r>
      <w:r>
        <w:rPr>
          <w:rFonts w:hint="eastAsia" w:ascii="仿宋" w:hAnsi="仿宋" w:eastAsia="仿宋" w:cs="仿宋"/>
          <w:color w:val="000000" w:themeColor="text1"/>
          <w:spacing w:val="-6"/>
          <w:sz w:val="32"/>
          <w:szCs w:val="32"/>
          <w:lang w:eastAsia="zh-CN"/>
          <w14:textFill>
            <w14:solidFill>
              <w14:schemeClr w14:val="tx1"/>
            </w14:solidFill>
          </w14:textFill>
        </w:rPr>
        <w:t>，高新技术产业增加值增长</w:t>
      </w:r>
      <w:r>
        <w:rPr>
          <w:rFonts w:hint="eastAsia" w:ascii="仿宋" w:hAnsi="仿宋" w:eastAsia="仿宋" w:cs="仿宋"/>
          <w:color w:val="000000" w:themeColor="text1"/>
          <w:spacing w:val="-6"/>
          <w:sz w:val="32"/>
          <w:szCs w:val="32"/>
          <w:lang w:val="en-US" w:eastAsia="zh-CN"/>
          <w14:textFill>
            <w14:solidFill>
              <w14:schemeClr w14:val="tx1"/>
            </w14:solidFill>
          </w14:textFill>
        </w:rPr>
        <w:t>15%以上。</w:t>
      </w:r>
      <w:r>
        <w:rPr>
          <w:rFonts w:hint="eastAsia" w:ascii="仿宋" w:hAnsi="仿宋" w:eastAsia="仿宋" w:cs="仿宋"/>
          <w:color w:val="000000" w:themeColor="text1"/>
          <w:spacing w:val="-6"/>
          <w:sz w:val="32"/>
          <w:szCs w:val="32"/>
          <w:lang w:eastAsia="zh-CN"/>
          <w14:textFill>
            <w14:solidFill>
              <w14:schemeClr w14:val="tx1"/>
            </w14:solidFill>
          </w14:textFill>
        </w:rPr>
        <w:t>新增省</w:t>
      </w:r>
      <w:r>
        <w:rPr>
          <w:rFonts w:hint="eastAsia" w:ascii="仿宋" w:hAnsi="仿宋" w:eastAsia="仿宋" w:cs="仿宋"/>
          <w:color w:val="000000" w:themeColor="text1"/>
          <w:spacing w:val="-6"/>
          <w:sz w:val="32"/>
          <w:szCs w:val="32"/>
          <w14:textFill>
            <w14:solidFill>
              <w14:schemeClr w14:val="tx1"/>
            </w14:solidFill>
          </w14:textFill>
        </w:rPr>
        <w:t>级</w:t>
      </w:r>
      <w:r>
        <w:rPr>
          <w:rFonts w:hint="eastAsia" w:ascii="仿宋" w:hAnsi="仿宋" w:eastAsia="仿宋" w:cs="仿宋"/>
          <w:color w:val="000000" w:themeColor="text1"/>
          <w:spacing w:val="-6"/>
          <w:sz w:val="32"/>
          <w:szCs w:val="32"/>
          <w:lang w:eastAsia="zh-CN"/>
          <w14:textFill>
            <w14:solidFill>
              <w14:schemeClr w14:val="tx1"/>
            </w14:solidFill>
          </w14:textFill>
        </w:rPr>
        <w:t>以上</w:t>
      </w:r>
      <w:r>
        <w:rPr>
          <w:rFonts w:hint="eastAsia" w:ascii="仿宋" w:hAnsi="仿宋" w:eastAsia="仿宋" w:cs="仿宋"/>
          <w:color w:val="000000" w:themeColor="text1"/>
          <w:spacing w:val="-6"/>
          <w:sz w:val="32"/>
          <w:szCs w:val="32"/>
          <w14:textFill>
            <w14:solidFill>
              <w14:schemeClr w14:val="tx1"/>
            </w14:solidFill>
          </w14:textFill>
        </w:rPr>
        <w:t>专精特新“小巨人”企业</w:t>
      </w:r>
      <w:r>
        <w:rPr>
          <w:rFonts w:hint="eastAsia" w:ascii="仿宋" w:hAnsi="仿宋" w:eastAsia="仿宋" w:cs="仿宋"/>
          <w:color w:val="000000" w:themeColor="text1"/>
          <w:spacing w:val="-6"/>
          <w:sz w:val="32"/>
          <w:szCs w:val="32"/>
          <w:lang w:val="en-US" w:eastAsia="zh-CN"/>
          <w14:textFill>
            <w14:solidFill>
              <w14:schemeClr w14:val="tx1"/>
            </w14:solidFill>
          </w14:textFill>
        </w:rPr>
        <w:t>1</w:t>
      </w:r>
      <w:r>
        <w:rPr>
          <w:rFonts w:hint="eastAsia" w:ascii="仿宋" w:hAnsi="仿宋" w:eastAsia="仿宋" w:cs="仿宋"/>
          <w:color w:val="000000" w:themeColor="text1"/>
          <w:spacing w:val="-6"/>
          <w:sz w:val="32"/>
          <w:szCs w:val="32"/>
          <w14:textFill>
            <w14:solidFill>
              <w14:schemeClr w14:val="tx1"/>
            </w14:solidFill>
          </w14:textFill>
        </w:rPr>
        <w:t>家</w:t>
      </w:r>
      <w:r>
        <w:rPr>
          <w:rFonts w:hint="eastAsia" w:ascii="仿宋" w:hAnsi="仿宋" w:eastAsia="仿宋" w:cs="仿宋"/>
          <w:color w:val="000000" w:themeColor="text1"/>
          <w:spacing w:val="-6"/>
          <w:sz w:val="32"/>
          <w:szCs w:val="32"/>
          <w:lang w:eastAsia="zh-CN"/>
          <w14:textFill>
            <w14:solidFill>
              <w14:schemeClr w14:val="tx1"/>
            </w14:solidFill>
          </w14:textFill>
        </w:rPr>
        <w:t>以上，新增国家级专精特新“小巨人”企业</w:t>
      </w:r>
      <w:r>
        <w:rPr>
          <w:rFonts w:hint="eastAsia" w:ascii="仿宋" w:hAnsi="仿宋" w:eastAsia="仿宋" w:cs="仿宋"/>
          <w:color w:val="000000" w:themeColor="text1"/>
          <w:spacing w:val="-6"/>
          <w:sz w:val="32"/>
          <w:szCs w:val="32"/>
          <w:lang w:val="en-US" w:eastAsia="zh-CN"/>
          <w14:textFill>
            <w14:solidFill>
              <w14:schemeClr w14:val="tx1"/>
            </w14:solidFill>
          </w14:textFill>
        </w:rPr>
        <w:t>1家以上。</w:t>
      </w:r>
      <w:r>
        <w:rPr>
          <w:rFonts w:hint="eastAsia" w:ascii="仿宋" w:hAnsi="仿宋" w:eastAsia="仿宋" w:cs="仿宋"/>
          <w:color w:val="000000" w:themeColor="text1"/>
          <w:spacing w:val="-6"/>
          <w:sz w:val="32"/>
          <w:szCs w:val="32"/>
          <w:lang w:eastAsia="zh-CN"/>
          <w14:textFill>
            <w14:solidFill>
              <w14:schemeClr w14:val="tx1"/>
            </w14:solidFill>
          </w14:textFill>
        </w:rPr>
        <w:t>（县发展和改革局</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绥宁产业开发区管理委员会</w:t>
      </w:r>
      <w:r>
        <w:rPr>
          <w:rFonts w:hint="eastAsia" w:ascii="仿宋" w:hAnsi="仿宋" w:eastAsia="仿宋" w:cs="仿宋"/>
          <w:color w:val="000000" w:themeColor="text1"/>
          <w:spacing w:val="-6"/>
          <w:sz w:val="32"/>
          <w:szCs w:val="32"/>
          <w14:textFill>
            <w14:solidFill>
              <w14:schemeClr w14:val="tx1"/>
            </w14:solidFill>
          </w14:textFill>
        </w:rPr>
        <w:t>等按职责</w:t>
      </w:r>
      <w:r>
        <w:rPr>
          <w:rFonts w:hint="eastAsia" w:ascii="仿宋" w:hAnsi="仿宋" w:eastAsia="仿宋" w:cs="仿宋"/>
          <w:color w:val="000000" w:themeColor="text1"/>
          <w:spacing w:val="-6"/>
          <w:sz w:val="32"/>
          <w:szCs w:val="32"/>
          <w:lang w:eastAsia="zh-CN"/>
          <w14:textFill>
            <w14:solidFill>
              <w14:schemeClr w14:val="tx1"/>
            </w14:solidFill>
          </w14:textFill>
        </w:rPr>
        <w:t>管理原则</w:t>
      </w:r>
      <w:r>
        <w:rPr>
          <w:rFonts w:hint="eastAsia" w:ascii="仿宋" w:hAnsi="仿宋" w:eastAsia="仿宋" w:cs="仿宋"/>
          <w:color w:val="000000" w:themeColor="text1"/>
          <w:spacing w:val="-6"/>
          <w:sz w:val="32"/>
          <w:szCs w:val="32"/>
          <w14:textFill>
            <w14:solidFill>
              <w14:schemeClr w14:val="tx1"/>
            </w14:solidFill>
          </w14:textFill>
        </w:rPr>
        <w:t>分工负责</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52358FDC">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2.加强企业主导的产学研合作。</w:t>
      </w:r>
      <w:r>
        <w:rPr>
          <w:rFonts w:hint="eastAsia" w:ascii="仿宋" w:hAnsi="仿宋" w:eastAsia="仿宋" w:cs="仿宋"/>
          <w:color w:val="000000" w:themeColor="text1"/>
          <w:spacing w:val="-6"/>
          <w:sz w:val="32"/>
          <w:szCs w:val="32"/>
          <w:lang w:val="en-US" w:eastAsia="zh-CN"/>
          <w14:textFill>
            <w14:solidFill>
              <w14:schemeClr w14:val="tx1"/>
            </w14:solidFill>
          </w14:textFill>
        </w:rPr>
        <w:t>强化企业全创新链主体地位，进一步完善“平台共建、技术共研、资源共享”产学研合作体系，深化与高等院校、科研院所的合作，拓宽合作规模，加快推进龙头企业牵头、高校参与创建省级技术创新中心，共建产学研用科技创新共同体。支持高校、科研院所等单位面向本地产业和企业技术需求，加快培育高价值发明专利，力争新增有效发明专利3件以上。（绥宁产业开发区管理委员会、县发展和改革局、县教育局、县市场监督管理局等按职责分工负责）</w:t>
      </w:r>
    </w:p>
    <w:p w14:paraId="439C03CD">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3.强化数字化智能化技术运用。</w:t>
      </w:r>
      <w:r>
        <w:rPr>
          <w:rFonts w:hint="eastAsia" w:ascii="仿宋" w:hAnsi="仿宋" w:eastAsia="仿宋" w:cs="仿宋"/>
          <w:color w:val="000000" w:themeColor="text1"/>
          <w:spacing w:val="-6"/>
          <w:sz w:val="32"/>
          <w:szCs w:val="32"/>
          <w:lang w:val="en-US" w:eastAsia="zh-CN"/>
          <w14:textFill>
            <w14:solidFill>
              <w14:schemeClr w14:val="tx1"/>
            </w14:solidFill>
          </w14:textFill>
        </w:rPr>
        <w:t>加快打造绥宁大数据中心等新型数字化基础设施建设，全面支持互联网协议第六版（IPv6）升级部署，提升IPv6用户普及率，新增两化融合管理体系贯标评定企业1家以上，组织实施1个以上省级制造业数字化转型“三化”重点项目。深入开展制造业数字化转型行动和中小企业“两上三化”专项行动，</w:t>
      </w:r>
      <w:r>
        <w:rPr>
          <w:rFonts w:hint="eastAsia" w:ascii="仿宋" w:hAnsi="仿宋" w:eastAsia="仿宋" w:cs="仿宋"/>
          <w:color w:val="000000" w:themeColor="text1"/>
          <w:spacing w:val="-6"/>
          <w:sz w:val="31"/>
          <w14:textFill>
            <w14:solidFill>
              <w14:schemeClr w14:val="tx1"/>
            </w14:solidFill>
          </w14:textFill>
        </w:rPr>
        <w:t>年内带动</w:t>
      </w:r>
      <w:r>
        <w:rPr>
          <w:rFonts w:hint="eastAsia" w:ascii="仿宋" w:hAnsi="仿宋" w:eastAsia="仿宋" w:cs="仿宋"/>
          <w:color w:val="000000" w:themeColor="text1"/>
          <w:spacing w:val="-6"/>
          <w:sz w:val="31"/>
          <w:lang w:val="en-US" w:eastAsia="zh-CN"/>
          <w14:textFill>
            <w14:solidFill>
              <w14:schemeClr w14:val="tx1"/>
            </w14:solidFill>
          </w14:textFill>
        </w:rPr>
        <w:t>35</w:t>
      </w:r>
      <w:r>
        <w:rPr>
          <w:rFonts w:hint="eastAsia" w:ascii="仿宋" w:hAnsi="仿宋" w:eastAsia="仿宋" w:cs="仿宋"/>
          <w:color w:val="000000" w:themeColor="text1"/>
          <w:spacing w:val="-6"/>
          <w:sz w:val="31"/>
          <w14:textFill>
            <w14:solidFill>
              <w14:schemeClr w14:val="tx1"/>
            </w14:solidFill>
          </w14:textFill>
        </w:rPr>
        <w:t>家以上企业深度“上云”、50家以上企业“上平台”，</w:t>
      </w:r>
      <w:r>
        <w:rPr>
          <w:rFonts w:hint="eastAsia" w:ascii="仿宋" w:hAnsi="仿宋" w:eastAsia="仿宋" w:cs="仿宋"/>
          <w:color w:val="000000" w:themeColor="text1"/>
          <w:spacing w:val="-6"/>
          <w:sz w:val="32"/>
          <w:szCs w:val="32"/>
          <w:lang w:val="en-US" w:eastAsia="zh-CN"/>
          <w14:textFill>
            <w14:solidFill>
              <w14:schemeClr w14:val="tx1"/>
            </w14:solidFill>
          </w14:textFill>
        </w:rPr>
        <w:t>力争数字经济增长15%以上。（县发展和改革局、绥宁产业开发区管理委员会、县移动公司、县联通公司、县电信公司等按职责分工负责）</w:t>
      </w:r>
    </w:p>
    <w:p w14:paraId="243A4648">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4.完善科技成果转化体</w:t>
      </w:r>
      <w:r>
        <w:rPr>
          <w:rFonts w:hint="eastAsia" w:ascii="仿宋" w:hAnsi="仿宋" w:eastAsia="仿宋" w:cs="仿宋"/>
          <w:b/>
          <w:bCs/>
          <w:color w:val="000000" w:themeColor="text1"/>
          <w:spacing w:val="-6"/>
          <w:sz w:val="32"/>
          <w:szCs w:val="32"/>
          <w:lang w:val="en-US" w:eastAsia="zh-CN"/>
          <w14:textFill>
            <w14:solidFill>
              <w14:schemeClr w14:val="tx1"/>
            </w14:solidFill>
          </w14:textFill>
        </w:rPr>
        <w:t>系。</w:t>
      </w:r>
      <w:r>
        <w:rPr>
          <w:rFonts w:hint="eastAsia" w:ascii="仿宋" w:hAnsi="仿宋" w:eastAsia="仿宋" w:cs="仿宋"/>
          <w:color w:val="000000" w:themeColor="text1"/>
          <w:spacing w:val="-6"/>
          <w:sz w:val="32"/>
          <w:szCs w:val="32"/>
          <w:lang w:val="en-US" w:eastAsia="zh-CN"/>
          <w14:textFill>
            <w14:solidFill>
              <w14:schemeClr w14:val="tx1"/>
            </w14:solidFill>
          </w14:textFill>
        </w:rPr>
        <w:t>提升和巩固潇湘科技要素大市场工作站的服务能力与水平、鼓励企业申报众创空间和星创天地，全县技术合同交易成交额增长15%以上。（县发展和改革局牵头，绥宁产业开发区管理委员会等按职责原则分工负责）</w:t>
      </w:r>
    </w:p>
    <w:p w14:paraId="6C850717">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5.推动科技金融深度融合。</w:t>
      </w:r>
      <w:r>
        <w:rPr>
          <w:rFonts w:hint="eastAsia" w:ascii="仿宋" w:hAnsi="仿宋" w:eastAsia="仿宋" w:cs="仿宋"/>
          <w:color w:val="000000" w:themeColor="text1"/>
          <w:spacing w:val="-6"/>
          <w:sz w:val="32"/>
          <w:szCs w:val="32"/>
          <w:lang w:val="en-US" w:eastAsia="zh-CN"/>
          <w14:textFill>
            <w14:solidFill>
              <w14:schemeClr w14:val="tx1"/>
            </w14:solidFill>
          </w14:textFill>
        </w:rPr>
        <w:t>加大科技型企业知识价值信用贷款风险补偿力度，力争发放纯信用贷款2000万元以上。深入开展知识产权质押融资“入园惠企”行动，力争知识产权质押融资登记金额超1000万元。（县发展和改革局牵头，县财政局、县市场监督管理局、县金融服务中心、人民银行绥宁支行等按职责分工负责）</w:t>
      </w:r>
    </w:p>
    <w:p w14:paraId="3A52337B">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6"/>
          <w:sz w:val="32"/>
          <w:szCs w:val="32"/>
          <w:lang w:val="en-US" w:eastAsia="zh-CN"/>
          <w14:textFill>
            <w14:solidFill>
              <w14:schemeClr w14:val="tx1"/>
            </w14:solidFill>
          </w14:textFill>
        </w:rPr>
        <w:t>（三）</w:t>
      </w:r>
      <w:r>
        <w:rPr>
          <w:rFonts w:hint="eastAsia" w:ascii="楷体" w:hAnsi="楷体" w:eastAsia="楷体" w:cs="楷体"/>
          <w:b/>
          <w:bCs/>
          <w:color w:val="000000" w:themeColor="text1"/>
          <w:spacing w:val="0"/>
          <w:sz w:val="32"/>
          <w:szCs w:val="32"/>
          <w:lang w:val="en-US" w:eastAsia="zh-CN"/>
          <w14:textFill>
            <w14:solidFill>
              <w14:schemeClr w14:val="tx1"/>
            </w14:solidFill>
          </w14:textFill>
        </w:rPr>
        <w:t>创新平台建设攻坚行动。</w:t>
      </w:r>
      <w:r>
        <w:rPr>
          <w:rFonts w:hint="eastAsia" w:ascii="仿宋" w:hAnsi="仿宋" w:eastAsia="仿宋" w:cs="仿宋"/>
          <w:color w:val="000000" w:themeColor="text1"/>
          <w:spacing w:val="0"/>
          <w:sz w:val="31"/>
          <w14:textFill>
            <w14:solidFill>
              <w14:schemeClr w14:val="tx1"/>
            </w14:solidFill>
          </w14:textFill>
        </w:rPr>
        <w:t>聚焦高新技术产业、战略性新兴产业，加快科创功能平台联动发展，推动创新平台提质升级，打造具有区域特色的科技创新平台。持续建设“特沃斯有机肥工程技术研究中心”“湘南竹业竹制品研发中心”和“丰源体育滑板创新研发中心”，培育申报省级新型研发机构</w:t>
      </w:r>
      <w:r>
        <w:rPr>
          <w:rFonts w:hint="eastAsia" w:ascii="仿宋" w:hAnsi="仿宋" w:eastAsia="仿宋" w:cs="仿宋"/>
          <w:color w:val="000000" w:themeColor="text1"/>
          <w:spacing w:val="0"/>
          <w:sz w:val="31"/>
          <w:lang w:eastAsia="zh-CN"/>
          <w14:textFill>
            <w14:solidFill>
              <w14:schemeClr w14:val="tx1"/>
            </w14:solidFill>
          </w14:textFill>
        </w:rPr>
        <w:t>，</w:t>
      </w:r>
      <w:r>
        <w:rPr>
          <w:rFonts w:hint="eastAsia" w:ascii="仿宋" w:hAnsi="仿宋" w:eastAsia="仿宋" w:cs="仿宋"/>
          <w:color w:val="000000" w:themeColor="text1"/>
          <w:spacing w:val="0"/>
          <w:sz w:val="31"/>
          <w:lang w:val="en-US" w:eastAsia="zh-CN"/>
          <w14:textFill>
            <w14:solidFill>
              <w14:schemeClr w14:val="tx1"/>
            </w14:solidFill>
          </w14:textFill>
        </w:rPr>
        <w:t>新建市级星创天地1家。</w:t>
      </w:r>
      <w:r>
        <w:rPr>
          <w:rFonts w:hint="eastAsia" w:ascii="仿宋" w:hAnsi="仿宋" w:eastAsia="仿宋" w:cs="仿宋"/>
          <w:color w:val="000000" w:themeColor="text1"/>
          <w:spacing w:val="0"/>
          <w:sz w:val="32"/>
          <w:szCs w:val="32"/>
          <w:lang w:val="en-US" w:eastAsia="zh-CN"/>
          <w14:textFill>
            <w14:solidFill>
              <w14:schemeClr w14:val="tx1"/>
            </w14:solidFill>
          </w14:textFill>
        </w:rPr>
        <w:t>（县发展和改革局牵头，绥宁产业开发区管理委员会等按职责分工负责）</w:t>
      </w:r>
    </w:p>
    <w:p w14:paraId="15B503DC">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楷体" w:hAnsi="楷体" w:eastAsia="楷体" w:cs="楷体"/>
          <w:b/>
          <w:bCs/>
          <w:color w:val="000000" w:themeColor="text1"/>
          <w:spacing w:val="-6"/>
          <w:sz w:val="32"/>
          <w:szCs w:val="32"/>
          <w:lang w:val="en-US" w:eastAsia="zh-CN"/>
          <w14:textFill>
            <w14:solidFill>
              <w14:schemeClr w14:val="tx1"/>
            </w14:solidFill>
          </w14:textFill>
        </w:rPr>
        <w:t>（四）创新人才强基攻坚行动。</w:t>
      </w:r>
      <w:r>
        <w:rPr>
          <w:rFonts w:hint="eastAsia" w:ascii="仿宋" w:hAnsi="仿宋" w:eastAsia="仿宋" w:cs="仿宋"/>
          <w:color w:val="000000" w:themeColor="text1"/>
          <w:spacing w:val="-6"/>
          <w:sz w:val="32"/>
          <w:szCs w:val="32"/>
          <w:lang w:val="en-US" w:eastAsia="zh-CN"/>
          <w14:textFill>
            <w14:solidFill>
              <w14:schemeClr w14:val="tx1"/>
            </w14:solidFill>
          </w14:textFill>
        </w:rPr>
        <w:t>深入推进“绿洲人才行动计划”，健全创新人才引进培育体系，优化人才服务水平,充分激发科研人才创新动力和活力。</w:t>
      </w:r>
    </w:p>
    <w:p w14:paraId="65CA7EF6">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1.加大人才引进集聚力度。</w:t>
      </w:r>
      <w:r>
        <w:rPr>
          <w:rFonts w:hint="eastAsia" w:ascii="仿宋" w:hAnsi="仿宋" w:eastAsia="仿宋" w:cs="仿宋"/>
          <w:color w:val="000000" w:themeColor="text1"/>
          <w:spacing w:val="-6"/>
          <w:sz w:val="32"/>
          <w:szCs w:val="32"/>
          <w:lang w:val="en-US" w:eastAsia="zh-CN"/>
          <w14:textFill>
            <w14:solidFill>
              <w14:schemeClr w14:val="tx1"/>
            </w14:solidFill>
          </w14:textFill>
        </w:rPr>
        <w:t>建立“人才编制池”，在全县事业单位编制总量内调剂50名事业编制，专项用于人才引进。健全完善各系统行业人才信息库，定期发布人才需求目录，大力引进特殊专业人才或团队，急需紧缺高层次人才采取“一事一议”快速引进。（县委组织部、县发展和改革局牵头，县委编办、县人力资源和社会保障局、县教育局、县卫生健康局、县财政局、县农业农村水利局、县科协等按职责分工负责）</w:t>
      </w:r>
    </w:p>
    <w:p w14:paraId="6BA30982">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2.加强本土应用人才培养。</w:t>
      </w:r>
      <w:r>
        <w:rPr>
          <w:rFonts w:hint="eastAsia" w:ascii="仿宋" w:hAnsi="仿宋" w:eastAsia="仿宋" w:cs="仿宋"/>
          <w:color w:val="000000" w:themeColor="text1"/>
          <w:spacing w:val="-6"/>
          <w:sz w:val="32"/>
          <w:szCs w:val="32"/>
          <w:lang w:val="en-US" w:eastAsia="zh-CN"/>
          <w14:textFill>
            <w14:solidFill>
              <w14:schemeClr w14:val="tx1"/>
            </w14:solidFill>
          </w14:textFill>
        </w:rPr>
        <w:t>实施“乡村工匠”培育工程，加强与省内高等院校、科研院所合作，探索建立专家工作服务站，培育一批“土专家”“田秀才”。大力开展“技术带头人”评选、“职业技能大赛”等活动，培育“绿洲工匠”。在全县制种、楠竹加工、生态农业等重点领域培养2000名以上的本土农业农村实用技术人才。深入推行科技特派员制度，引导人才向基层、乡村振兴一线流动，精准助力乡村振兴，选派县级科技特派员150名以上。（县委组织部、县发展和改革局牵头，县教育局、县卫生健康局、县财政局、县农业农村水利局等按职责分工负责）</w:t>
      </w:r>
    </w:p>
    <w:p w14:paraId="648295B3">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3.提升科技人才服务水平。</w:t>
      </w:r>
      <w:r>
        <w:rPr>
          <w:rFonts w:hint="eastAsia" w:ascii="仿宋" w:hAnsi="仿宋" w:eastAsia="仿宋" w:cs="仿宋"/>
          <w:color w:val="000000" w:themeColor="text1"/>
          <w:spacing w:val="-6"/>
          <w:sz w:val="32"/>
          <w:szCs w:val="32"/>
          <w:lang w:val="en-US" w:eastAsia="zh-CN"/>
          <w14:textFill>
            <w14:solidFill>
              <w14:schemeClr w14:val="tx1"/>
            </w14:solidFill>
          </w14:textFill>
        </w:rPr>
        <w:t>落实省《关于健全科技人才评价体系的实施方案》，健全以创新价值、能力、贡献为导向的科技人才评价体系。实行“绿洲人才卡”服务制度，制发“绿洲人才卡”，为在绥宁建设发展中作出杰出贡献的科技人才，提供优先落户、子女入学、医疗优待、配偶就业等7项优质高效便捷服务。（县委组织部、县发展和改革局牵头，县人力资源和社会保障局、县教育局、县卫生健康局、县财政局、县农业农村水利局等按职责分工负责）</w:t>
      </w:r>
    </w:p>
    <w:p w14:paraId="0795F535">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黑体" w:hAnsi="黑体" w:eastAsia="黑体" w:cs="黑体"/>
          <w:color w:val="000000" w:themeColor="text1"/>
          <w:spacing w:val="-6"/>
          <w:sz w:val="32"/>
          <w:szCs w:val="32"/>
          <w14:textFill>
            <w14:solidFill>
              <w14:schemeClr w14:val="tx1"/>
            </w14:solidFill>
          </w14:textFill>
        </w:rPr>
      </w:pPr>
      <w:r>
        <w:rPr>
          <w:rFonts w:hint="eastAsia" w:ascii="黑体" w:hAnsi="黑体" w:eastAsia="黑体" w:cs="黑体"/>
          <w:color w:val="000000" w:themeColor="text1"/>
          <w:spacing w:val="-6"/>
          <w:sz w:val="32"/>
          <w:szCs w:val="32"/>
          <w14:textFill>
            <w14:solidFill>
              <w14:schemeClr w14:val="tx1"/>
            </w14:solidFill>
          </w14:textFill>
        </w:rPr>
        <w:t>三、保障机制</w:t>
      </w:r>
    </w:p>
    <w:p w14:paraId="7B7775F9">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b/>
          <w:bCs/>
          <w:color w:val="000000" w:themeColor="text1"/>
          <w:spacing w:val="-6"/>
          <w:sz w:val="32"/>
          <w:szCs w:val="32"/>
          <w:lang w:val="en-US" w:eastAsia="zh-CN"/>
          <w14:textFill>
            <w14:solidFill>
              <w14:schemeClr w14:val="tx1"/>
            </w14:solidFill>
          </w14:textFill>
        </w:rPr>
        <w:t>（一）加强组织领导。</w:t>
      </w:r>
      <w:r>
        <w:rPr>
          <w:rFonts w:hint="eastAsia" w:ascii="仿宋" w:hAnsi="仿宋" w:eastAsia="仿宋" w:cs="仿宋"/>
          <w:color w:val="000000" w:themeColor="text1"/>
          <w:spacing w:val="-6"/>
          <w:sz w:val="32"/>
          <w:szCs w:val="32"/>
          <w:lang w:val="en-US" w:eastAsia="zh-CN"/>
          <w14:textFill>
            <w14:solidFill>
              <w14:schemeClr w14:val="tx1"/>
            </w14:solidFill>
          </w14:textFill>
        </w:rPr>
        <w:t>成立打好科技创新攻坚仗工作专班，由县政府办戴熙辉同志担任召集人，县发展和改革局局长唐友柏，县国动办副主任莫立平担任副召集人，成员单位包括</w:t>
      </w:r>
      <w:r>
        <w:rPr>
          <w:rFonts w:hint="eastAsia" w:ascii="仿宋" w:hAnsi="仿宋" w:eastAsia="仿宋" w:cs="仿宋"/>
          <w:color w:val="000000" w:themeColor="text1"/>
          <w:spacing w:val="-6"/>
          <w:sz w:val="31"/>
          <w14:textFill>
            <w14:solidFill>
              <w14:schemeClr w14:val="tx1"/>
            </w14:solidFill>
          </w14:textFill>
        </w:rPr>
        <w:t>县委组织部、</w:t>
      </w:r>
      <w:r>
        <w:rPr>
          <w:rFonts w:hint="eastAsia" w:ascii="仿宋" w:hAnsi="仿宋" w:eastAsia="仿宋" w:cs="仿宋"/>
          <w:color w:val="000000" w:themeColor="text1"/>
          <w:spacing w:val="-6"/>
          <w:sz w:val="31"/>
          <w:lang w:eastAsia="zh-CN"/>
          <w14:textFill>
            <w14:solidFill>
              <w14:schemeClr w14:val="tx1"/>
            </w14:solidFill>
          </w14:textFill>
        </w:rPr>
        <w:t>县发展和改革局</w:t>
      </w:r>
      <w:r>
        <w:rPr>
          <w:rFonts w:hint="eastAsia" w:ascii="仿宋" w:hAnsi="仿宋" w:eastAsia="仿宋" w:cs="仿宋"/>
          <w:color w:val="000000" w:themeColor="text1"/>
          <w:spacing w:val="-6"/>
          <w:sz w:val="31"/>
          <w14:textFill>
            <w14:solidFill>
              <w14:schemeClr w14:val="tx1"/>
            </w14:solidFill>
          </w14:textFill>
        </w:rPr>
        <w:t>、县</w:t>
      </w:r>
      <w:r>
        <w:rPr>
          <w:rFonts w:hint="eastAsia" w:ascii="仿宋" w:hAnsi="仿宋" w:eastAsia="仿宋" w:cs="仿宋"/>
          <w:color w:val="000000" w:themeColor="text1"/>
          <w:spacing w:val="-6"/>
          <w:sz w:val="31"/>
          <w:lang w:eastAsia="zh-CN"/>
          <w14:textFill>
            <w14:solidFill>
              <w14:schemeClr w14:val="tx1"/>
            </w14:solidFill>
          </w14:textFill>
        </w:rPr>
        <w:t>委</w:t>
      </w:r>
      <w:r>
        <w:rPr>
          <w:rFonts w:hint="eastAsia" w:ascii="仿宋" w:hAnsi="仿宋" w:eastAsia="仿宋" w:cs="仿宋"/>
          <w:color w:val="000000" w:themeColor="text1"/>
          <w:spacing w:val="-6"/>
          <w:sz w:val="31"/>
          <w14:textFill>
            <w14:solidFill>
              <w14:schemeClr w14:val="tx1"/>
            </w14:solidFill>
          </w14:textFill>
        </w:rPr>
        <w:t>编办、</w:t>
      </w:r>
      <w:r>
        <w:rPr>
          <w:rFonts w:hint="eastAsia" w:ascii="仿宋" w:hAnsi="仿宋" w:eastAsia="仿宋" w:cs="仿宋"/>
          <w:color w:val="000000" w:themeColor="text1"/>
          <w:spacing w:val="-6"/>
          <w:sz w:val="31"/>
          <w:lang w:eastAsia="zh-CN"/>
          <w14:textFill>
            <w14:solidFill>
              <w14:schemeClr w14:val="tx1"/>
            </w14:solidFill>
          </w14:textFill>
        </w:rPr>
        <w:t>县委网信办</w:t>
      </w:r>
      <w:r>
        <w:rPr>
          <w:rFonts w:hint="eastAsia" w:ascii="仿宋" w:hAnsi="仿宋" w:eastAsia="仿宋" w:cs="仿宋"/>
          <w:color w:val="000000" w:themeColor="text1"/>
          <w:spacing w:val="-6"/>
          <w:sz w:val="31"/>
          <w14:textFill>
            <w14:solidFill>
              <w14:schemeClr w14:val="tx1"/>
            </w14:solidFill>
          </w14:textFill>
        </w:rPr>
        <w:t>、县统计局、县教育局、县财政局、</w:t>
      </w:r>
      <w:r>
        <w:rPr>
          <w:rFonts w:hint="eastAsia" w:ascii="仿宋" w:hAnsi="仿宋" w:eastAsia="仿宋" w:cs="仿宋"/>
          <w:color w:val="000000" w:themeColor="text1"/>
          <w:spacing w:val="-6"/>
          <w:sz w:val="31"/>
          <w:lang w:eastAsia="zh-CN"/>
          <w14:textFill>
            <w14:solidFill>
              <w14:schemeClr w14:val="tx1"/>
            </w14:solidFill>
          </w14:textFill>
        </w:rPr>
        <w:t>县人力资源和社会保障局</w:t>
      </w:r>
      <w:r>
        <w:rPr>
          <w:rFonts w:hint="eastAsia" w:ascii="仿宋" w:hAnsi="仿宋" w:eastAsia="仿宋" w:cs="仿宋"/>
          <w:color w:val="000000" w:themeColor="text1"/>
          <w:spacing w:val="-6"/>
          <w:sz w:val="31"/>
          <w14:textFill>
            <w14:solidFill>
              <w14:schemeClr w14:val="tx1"/>
            </w14:solidFill>
          </w14:textFill>
        </w:rPr>
        <w:t>、县农业农村水利局、县林业局、县市场监督局、</w:t>
      </w:r>
      <w:r>
        <w:rPr>
          <w:rFonts w:hint="eastAsia" w:ascii="仿宋" w:hAnsi="仿宋" w:eastAsia="仿宋" w:cs="仿宋"/>
          <w:color w:val="000000" w:themeColor="text1"/>
          <w:sz w:val="32"/>
          <w:szCs w:val="32"/>
          <w:lang w:val="en-US" w:eastAsia="zh-CN"/>
          <w14:textFill>
            <w14:solidFill>
              <w14:schemeClr w14:val="tx1"/>
            </w14:solidFill>
          </w14:textFill>
        </w:rPr>
        <w:t>县卫生健康局、绥宁产业开发区管理委员会、县楠竹产业发展中心、</w:t>
      </w:r>
      <w:r>
        <w:rPr>
          <w:rFonts w:hint="eastAsia" w:ascii="仿宋" w:hAnsi="仿宋" w:eastAsia="仿宋" w:cs="仿宋"/>
          <w:color w:val="000000" w:themeColor="text1"/>
          <w:spacing w:val="-6"/>
          <w:sz w:val="31"/>
          <w14:textFill>
            <w14:solidFill>
              <w14:schemeClr w14:val="tx1"/>
            </w14:solidFill>
          </w14:textFill>
        </w:rPr>
        <w:t>县金融服务中心、</w:t>
      </w:r>
      <w:r>
        <w:rPr>
          <w:rFonts w:hint="eastAsia" w:ascii="仿宋" w:hAnsi="仿宋" w:eastAsia="仿宋" w:cs="仿宋"/>
          <w:color w:val="000000" w:themeColor="text1"/>
          <w:spacing w:val="-6"/>
          <w:sz w:val="31"/>
          <w:lang w:eastAsia="zh-CN"/>
          <w14:textFill>
            <w14:solidFill>
              <w14:schemeClr w14:val="tx1"/>
            </w14:solidFill>
          </w14:textFill>
        </w:rPr>
        <w:t>人民银行绥宁支行</w:t>
      </w:r>
      <w:r>
        <w:rPr>
          <w:rFonts w:hint="eastAsia" w:ascii="仿宋" w:hAnsi="仿宋" w:eastAsia="仿宋" w:cs="仿宋"/>
          <w:color w:val="000000" w:themeColor="text1"/>
          <w:spacing w:val="-6"/>
          <w:sz w:val="31"/>
          <w14:textFill>
            <w14:solidFill>
              <w14:schemeClr w14:val="tx1"/>
            </w14:solidFill>
          </w14:textFill>
        </w:rPr>
        <w:t>、</w:t>
      </w:r>
      <w:r>
        <w:rPr>
          <w:rFonts w:hint="eastAsia" w:ascii="仿宋" w:hAnsi="仿宋" w:eastAsia="仿宋" w:cs="仿宋"/>
          <w:color w:val="000000" w:themeColor="text1"/>
          <w:spacing w:val="-6"/>
          <w:sz w:val="31"/>
          <w:lang w:eastAsia="zh-CN"/>
          <w14:textFill>
            <w14:solidFill>
              <w14:schemeClr w14:val="tx1"/>
            </w14:solidFill>
          </w14:textFill>
        </w:rPr>
        <w:t>县移动公司</w:t>
      </w:r>
      <w:r>
        <w:rPr>
          <w:rFonts w:hint="eastAsia" w:ascii="仿宋" w:hAnsi="仿宋" w:eastAsia="仿宋" w:cs="仿宋"/>
          <w:color w:val="000000" w:themeColor="text1"/>
          <w:spacing w:val="-6"/>
          <w:sz w:val="31"/>
          <w14:textFill>
            <w14:solidFill>
              <w14:schemeClr w14:val="tx1"/>
            </w14:solidFill>
          </w14:textFill>
        </w:rPr>
        <w:t>、</w:t>
      </w:r>
      <w:r>
        <w:rPr>
          <w:rFonts w:hint="eastAsia" w:ascii="仿宋" w:hAnsi="仿宋" w:eastAsia="仿宋" w:cs="仿宋"/>
          <w:color w:val="000000" w:themeColor="text1"/>
          <w:spacing w:val="-6"/>
          <w:sz w:val="31"/>
          <w:lang w:eastAsia="zh-CN"/>
          <w14:textFill>
            <w14:solidFill>
              <w14:schemeClr w14:val="tx1"/>
            </w14:solidFill>
          </w14:textFill>
        </w:rPr>
        <w:t>县联通公司</w:t>
      </w:r>
      <w:r>
        <w:rPr>
          <w:rFonts w:hint="eastAsia" w:ascii="仿宋" w:hAnsi="仿宋" w:eastAsia="仿宋" w:cs="仿宋"/>
          <w:color w:val="000000" w:themeColor="text1"/>
          <w:spacing w:val="-6"/>
          <w:sz w:val="31"/>
          <w14:textFill>
            <w14:solidFill>
              <w14:schemeClr w14:val="tx1"/>
            </w14:solidFill>
          </w14:textFill>
        </w:rPr>
        <w:t>、</w:t>
      </w:r>
      <w:r>
        <w:rPr>
          <w:rFonts w:hint="eastAsia" w:ascii="仿宋" w:hAnsi="仿宋" w:eastAsia="仿宋" w:cs="仿宋"/>
          <w:color w:val="000000" w:themeColor="text1"/>
          <w:spacing w:val="-6"/>
          <w:sz w:val="31"/>
          <w:lang w:eastAsia="zh-CN"/>
          <w14:textFill>
            <w14:solidFill>
              <w14:schemeClr w14:val="tx1"/>
            </w14:solidFill>
          </w14:textFill>
        </w:rPr>
        <w:t>县电信公司</w:t>
      </w:r>
      <w:r>
        <w:rPr>
          <w:rFonts w:hint="eastAsia" w:ascii="仿宋" w:hAnsi="仿宋" w:eastAsia="仿宋" w:cs="仿宋"/>
          <w:color w:val="000000" w:themeColor="text1"/>
          <w:spacing w:val="-6"/>
          <w:sz w:val="32"/>
          <w:szCs w:val="32"/>
          <w:lang w:val="en-US" w:eastAsia="zh-CN"/>
          <w14:textFill>
            <w14:solidFill>
              <w14:schemeClr w14:val="tx1"/>
            </w14:solidFill>
          </w14:textFill>
        </w:rPr>
        <w:t>等</w:t>
      </w:r>
      <w:r>
        <w:rPr>
          <w:rFonts w:hint="eastAsia" w:ascii="仿宋" w:hAnsi="仿宋" w:eastAsia="仿宋" w:cs="仿宋"/>
          <w:color w:val="000000" w:themeColor="text1"/>
          <w:spacing w:val="-6"/>
          <w:sz w:val="32"/>
          <w:szCs w:val="32"/>
          <w14:textFill>
            <w14:solidFill>
              <w14:schemeClr w14:val="tx1"/>
            </w14:solidFill>
          </w14:textFill>
        </w:rPr>
        <w:t>，专班办公室设在</w:t>
      </w:r>
      <w:r>
        <w:rPr>
          <w:rFonts w:hint="eastAsia" w:ascii="仿宋" w:hAnsi="仿宋" w:eastAsia="仿宋" w:cs="仿宋"/>
          <w:color w:val="000000" w:themeColor="text1"/>
          <w:spacing w:val="-6"/>
          <w:sz w:val="32"/>
          <w:szCs w:val="32"/>
          <w:lang w:eastAsia="zh-CN"/>
          <w14:textFill>
            <w14:solidFill>
              <w14:schemeClr w14:val="tx1"/>
            </w14:solidFill>
          </w14:textFill>
        </w:rPr>
        <w:t>县发展和改革局</w:t>
      </w:r>
      <w:r>
        <w:rPr>
          <w:rFonts w:hint="eastAsia" w:ascii="仿宋" w:hAnsi="仿宋" w:eastAsia="仿宋" w:cs="仿宋"/>
          <w:color w:val="000000" w:themeColor="text1"/>
          <w:spacing w:val="-6"/>
          <w:sz w:val="32"/>
          <w:szCs w:val="32"/>
          <w14:textFill>
            <w14:solidFill>
              <w14:schemeClr w14:val="tx1"/>
            </w14:solidFill>
          </w14:textFill>
        </w:rPr>
        <w:t>，负责日常协调和工作调度。</w:t>
      </w:r>
    </w:p>
    <w:p w14:paraId="3454D504">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eastAsia" w:ascii="仿宋" w:hAnsi="仿宋" w:eastAsia="仿宋" w:cs="仿宋"/>
          <w:color w:val="000000" w:themeColor="text1"/>
          <w:spacing w:val="-11"/>
          <w:sz w:val="32"/>
          <w:szCs w:val="32"/>
          <w14:textFill>
            <w14:solidFill>
              <w14:schemeClr w14:val="tx1"/>
            </w14:solidFill>
          </w14:textFill>
        </w:rPr>
      </w:pPr>
      <w:r>
        <w:rPr>
          <w:rFonts w:hint="eastAsia" w:ascii="仿宋" w:hAnsi="仿宋" w:eastAsia="仿宋" w:cs="仿宋"/>
          <w:b/>
          <w:bCs/>
          <w:color w:val="000000" w:themeColor="text1"/>
          <w:spacing w:val="-6"/>
          <w:sz w:val="32"/>
          <w:szCs w:val="32"/>
          <w:lang w:eastAsia="zh-CN"/>
          <w14:textFill>
            <w14:solidFill>
              <w14:schemeClr w14:val="tx1"/>
            </w14:solidFill>
          </w14:textFill>
        </w:rPr>
        <w:t>（</w:t>
      </w:r>
      <w:r>
        <w:rPr>
          <w:rFonts w:hint="eastAsia" w:ascii="仿宋" w:hAnsi="仿宋" w:eastAsia="仿宋" w:cs="仿宋"/>
          <w:b/>
          <w:bCs/>
          <w:color w:val="000000" w:themeColor="text1"/>
          <w:spacing w:val="-6"/>
          <w:sz w:val="32"/>
          <w:szCs w:val="32"/>
          <w14:textFill>
            <w14:solidFill>
              <w14:schemeClr w14:val="tx1"/>
            </w14:solidFill>
          </w14:textFill>
        </w:rPr>
        <w:t>二</w:t>
      </w:r>
      <w:r>
        <w:rPr>
          <w:rFonts w:hint="eastAsia" w:ascii="仿宋" w:hAnsi="仿宋" w:eastAsia="仿宋" w:cs="仿宋"/>
          <w:b/>
          <w:bCs/>
          <w:color w:val="000000" w:themeColor="text1"/>
          <w:spacing w:val="-6"/>
          <w:sz w:val="32"/>
          <w:szCs w:val="32"/>
          <w:lang w:eastAsia="zh-CN"/>
          <w14:textFill>
            <w14:solidFill>
              <w14:schemeClr w14:val="tx1"/>
            </w14:solidFill>
          </w14:textFill>
        </w:rPr>
        <w:t>）</w:t>
      </w:r>
      <w:r>
        <w:rPr>
          <w:rFonts w:hint="eastAsia" w:ascii="仿宋" w:hAnsi="仿宋" w:eastAsia="仿宋" w:cs="仿宋"/>
          <w:b/>
          <w:bCs/>
          <w:color w:val="000000" w:themeColor="text1"/>
          <w:spacing w:val="-6"/>
          <w:sz w:val="32"/>
          <w:szCs w:val="32"/>
          <w14:textFill>
            <w14:solidFill>
              <w14:schemeClr w14:val="tx1"/>
            </w14:solidFill>
          </w14:textFill>
        </w:rPr>
        <w:t>深化科技体制改革。</w:t>
      </w:r>
      <w:r>
        <w:rPr>
          <w:rFonts w:hint="eastAsia" w:ascii="仿宋" w:hAnsi="仿宋" w:eastAsia="仿宋" w:cs="仿宋"/>
          <w:color w:val="000000" w:themeColor="text1"/>
          <w:spacing w:val="-6"/>
          <w:sz w:val="32"/>
          <w:szCs w:val="32"/>
          <w14:textFill>
            <w14:solidFill>
              <w14:schemeClr w14:val="tx1"/>
            </w14:solidFill>
          </w14:textFill>
        </w:rPr>
        <w:t>全面推进科技体制改革三年行动计划，加强其他政策与科技政策的统筹协调，加快形成支持全面创新的基础制度。深入推进“十四五”加大全社会研发经费投入行动计划，提升研发经费投入水平。强化知识产权保护和应用，</w:t>
      </w:r>
      <w:r>
        <w:rPr>
          <w:rFonts w:hint="eastAsia" w:ascii="仿宋" w:hAnsi="仿宋" w:eastAsia="仿宋" w:cs="仿宋"/>
          <w:color w:val="000000" w:themeColor="text1"/>
          <w:spacing w:val="-11"/>
          <w:sz w:val="32"/>
          <w:szCs w:val="32"/>
          <w14:textFill>
            <w14:solidFill>
              <w14:schemeClr w14:val="tx1"/>
            </w14:solidFill>
          </w14:textFill>
        </w:rPr>
        <w:t>加强科研作风学风建设，大力弘扬科学家精神</w:t>
      </w:r>
      <w:r>
        <w:rPr>
          <w:rFonts w:hint="eastAsia" w:ascii="仿宋" w:hAnsi="仿宋" w:eastAsia="仿宋" w:cs="仿宋"/>
          <w:color w:val="000000" w:themeColor="text1"/>
          <w:spacing w:val="-11"/>
          <w:sz w:val="32"/>
          <w:szCs w:val="32"/>
          <w:lang w:eastAsia="zh-CN"/>
          <w14:textFill>
            <w14:solidFill>
              <w14:schemeClr w14:val="tx1"/>
            </w14:solidFill>
          </w14:textFill>
        </w:rPr>
        <w:t>，</w:t>
      </w:r>
      <w:r>
        <w:rPr>
          <w:rFonts w:hint="eastAsia" w:ascii="仿宋" w:hAnsi="仿宋" w:eastAsia="仿宋" w:cs="仿宋"/>
          <w:color w:val="000000" w:themeColor="text1"/>
          <w:spacing w:val="-11"/>
          <w:sz w:val="32"/>
          <w:szCs w:val="32"/>
          <w14:textFill>
            <w14:solidFill>
              <w14:schemeClr w14:val="tx1"/>
            </w14:solidFill>
          </w14:textFill>
        </w:rPr>
        <w:t>营造良好创新生态。</w:t>
      </w:r>
    </w:p>
    <w:p w14:paraId="5A3A61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pacing w:val="0"/>
          <w:w w:val="100"/>
          <w:sz w:val="32"/>
          <w:szCs w:val="32"/>
          <w:lang w:val="en-US" w:eastAsia="zh-CN"/>
          <w14:textFill>
            <w14:solidFill>
              <w14:schemeClr w14:val="tx1"/>
            </w14:solidFill>
          </w14:textFill>
        </w:rPr>
      </w:pPr>
    </w:p>
    <w:p w14:paraId="50F3F1C4">
      <w:pPr>
        <w:keepNext w:val="0"/>
        <w:keepLines w:val="0"/>
        <w:pageBreakBefore w:val="0"/>
        <w:widowControl w:val="0"/>
        <w:kinsoku/>
        <w:wordWrap/>
        <w:overflowPunct/>
        <w:topLinePunct w:val="0"/>
        <w:autoSpaceDE/>
        <w:autoSpaceDN/>
        <w:bidi w:val="0"/>
        <w:adjustRightInd/>
        <w:snapToGrid/>
        <w:spacing w:line="540" w:lineRule="exact"/>
        <w:ind w:firstLine="572" w:firstLineChars="200"/>
        <w:jc w:val="both"/>
        <w:textAlignment w:val="auto"/>
        <w:rPr>
          <w:rFonts w:hint="eastAsia" w:ascii="仿宋" w:hAnsi="仿宋" w:eastAsia="仿宋" w:cs="仿宋"/>
          <w:color w:val="000000" w:themeColor="text1"/>
          <w:spacing w:val="-11"/>
          <w:w w:val="100"/>
          <w:sz w:val="32"/>
          <w:szCs w:val="32"/>
          <w:lang w:val="en-US" w:eastAsia="zh-CN"/>
          <w14:textFill>
            <w14:solidFill>
              <w14:schemeClr w14:val="tx1"/>
            </w14:solidFill>
          </w14:textFill>
        </w:rPr>
        <w:sectPr>
          <w:footerReference r:id="rId5" w:type="default"/>
          <w:pgSz w:w="11906" w:h="16838"/>
          <w:pgMar w:top="1531" w:right="1531" w:bottom="1417" w:left="1701"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17"/>
          <w:w w:val="100"/>
          <w:sz w:val="32"/>
          <w:szCs w:val="32"/>
          <w:lang w:val="en-US" w:eastAsia="zh-CN"/>
          <w14:textFill>
            <w14:solidFill>
              <w14:schemeClr w14:val="tx1"/>
            </w14:solidFill>
          </w14:textFill>
        </w:rPr>
        <w:t>附表：绥宁县打好“</w:t>
      </w:r>
      <w:r>
        <w:rPr>
          <w:rFonts w:hint="eastAsia" w:ascii="仿宋" w:hAnsi="仿宋" w:eastAsia="仿宋" w:cs="仿宋"/>
          <w:color w:val="000000" w:themeColor="text1"/>
          <w:spacing w:val="-17"/>
          <w:w w:val="100"/>
          <w:sz w:val="32"/>
          <w:szCs w:val="32"/>
          <w:lang w:eastAsia="zh-CN"/>
          <w14:textFill>
            <w14:solidFill>
              <w14:schemeClr w14:val="tx1"/>
            </w14:solidFill>
          </w14:textFill>
        </w:rPr>
        <w:t>科技创新攻坚仗</w:t>
      </w:r>
      <w:r>
        <w:rPr>
          <w:rFonts w:hint="eastAsia" w:ascii="仿宋" w:hAnsi="仿宋" w:eastAsia="仿宋" w:cs="仿宋"/>
          <w:color w:val="000000" w:themeColor="text1"/>
          <w:spacing w:val="-17"/>
          <w:w w:val="100"/>
          <w:sz w:val="32"/>
          <w:szCs w:val="32"/>
          <w:lang w:val="en-US" w:eastAsia="zh-CN"/>
          <w14:textFill>
            <w14:solidFill>
              <w14:schemeClr w14:val="tx1"/>
            </w14:solidFill>
          </w14:textFill>
        </w:rPr>
        <w:t>”重点工作任务责任分解表</w:t>
      </w:r>
    </w:p>
    <w:p w14:paraId="6B32100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i w:val="0"/>
          <w:iCs w:val="0"/>
          <w:color w:val="000000" w:themeColor="text1"/>
          <w:spacing w:val="0"/>
          <w:w w:val="100"/>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w w:val="100"/>
          <w:kern w:val="0"/>
          <w:sz w:val="32"/>
          <w:szCs w:val="32"/>
          <w:u w:val="none"/>
          <w:lang w:val="en-US" w:eastAsia="zh-CN" w:bidi="ar"/>
          <w14:textFill>
            <w14:solidFill>
              <w14:schemeClr w14:val="tx1"/>
            </w14:solidFill>
          </w14:textFill>
        </w:rPr>
        <w:t>附表</w:t>
      </w:r>
    </w:p>
    <w:p w14:paraId="4A4B56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pacing w:val="-11"/>
          <w:sz w:val="36"/>
          <w:szCs w:val="36"/>
          <w:lang w:eastAsia="zh-CN"/>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spacing w:val="-11"/>
          <w:kern w:val="0"/>
          <w:sz w:val="36"/>
          <w:szCs w:val="36"/>
          <w:u w:val="none"/>
          <w:lang w:val="en-US" w:eastAsia="zh-CN" w:bidi="ar"/>
          <w14:textFill>
            <w14:solidFill>
              <w14:schemeClr w14:val="tx1"/>
            </w14:solidFill>
          </w14:textFill>
        </w:rPr>
        <w:t>绥宁县打好“</w:t>
      </w:r>
      <w:r>
        <w:rPr>
          <w:rFonts w:hint="eastAsia" w:ascii="方正小标宋简体" w:hAnsi="方正小标宋简体" w:eastAsia="方正小标宋简体" w:cs="方正小标宋简体"/>
          <w:color w:val="000000" w:themeColor="text1"/>
          <w:spacing w:val="-11"/>
          <w:sz w:val="36"/>
          <w:szCs w:val="36"/>
          <w:lang w:eastAsia="zh-CN"/>
          <w14:textFill>
            <w14:solidFill>
              <w14:schemeClr w14:val="tx1"/>
            </w14:solidFill>
          </w14:textFill>
        </w:rPr>
        <w:t>科技创新攻坚仗</w:t>
      </w:r>
      <w:r>
        <w:rPr>
          <w:rFonts w:hint="eastAsia" w:ascii="方正小标宋简体" w:hAnsi="方正小标宋简体" w:eastAsia="方正小标宋简体" w:cs="方正小标宋简体"/>
          <w:i w:val="0"/>
          <w:iCs w:val="0"/>
          <w:color w:val="000000" w:themeColor="text1"/>
          <w:spacing w:val="-11"/>
          <w:kern w:val="0"/>
          <w:sz w:val="36"/>
          <w:szCs w:val="36"/>
          <w:u w:val="none"/>
          <w:lang w:val="en-US" w:eastAsia="zh-CN" w:bidi="ar"/>
          <w14:textFill>
            <w14:solidFill>
              <w14:schemeClr w14:val="tx1"/>
            </w14:solidFill>
          </w14:textFill>
        </w:rPr>
        <w:t>”重点工作任务责任分解表</w:t>
      </w:r>
    </w:p>
    <w:tbl>
      <w:tblPr>
        <w:tblStyle w:val="10"/>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3913"/>
        <w:gridCol w:w="2410"/>
        <w:gridCol w:w="1243"/>
        <w:gridCol w:w="1508"/>
      </w:tblGrid>
      <w:tr w14:paraId="3A7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1" w:type="pct"/>
            <w:noWrap w:val="0"/>
            <w:vAlign w:val="center"/>
          </w:tcPr>
          <w:p w14:paraId="57367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序号</w:t>
            </w:r>
          </w:p>
        </w:tc>
        <w:tc>
          <w:tcPr>
            <w:tcW w:w="2052" w:type="pct"/>
            <w:noWrap w:val="0"/>
            <w:vAlign w:val="center"/>
          </w:tcPr>
          <w:p w14:paraId="0B2BF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重点工作任务</w:t>
            </w:r>
          </w:p>
        </w:tc>
        <w:tc>
          <w:tcPr>
            <w:tcW w:w="1264" w:type="pct"/>
            <w:noWrap w:val="0"/>
            <w:vAlign w:val="center"/>
          </w:tcPr>
          <w:p w14:paraId="7D978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主要责任单位</w:t>
            </w:r>
          </w:p>
        </w:tc>
        <w:tc>
          <w:tcPr>
            <w:tcW w:w="652" w:type="pct"/>
            <w:noWrap w:val="0"/>
            <w:vAlign w:val="center"/>
          </w:tcPr>
          <w:p w14:paraId="2D1F3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主要</w:t>
            </w:r>
          </w:p>
          <w:p w14:paraId="672B0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责任人</w:t>
            </w:r>
          </w:p>
        </w:tc>
        <w:tc>
          <w:tcPr>
            <w:tcW w:w="788" w:type="pct"/>
            <w:noWrap w:val="0"/>
            <w:vAlign w:val="center"/>
          </w:tcPr>
          <w:p w14:paraId="37686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牵头县级</w:t>
            </w:r>
          </w:p>
          <w:p w14:paraId="52331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6"/>
                <w:kern w:val="0"/>
                <w:sz w:val="24"/>
                <w:szCs w:val="24"/>
                <w:u w:val="none"/>
                <w:lang w:val="en-US" w:eastAsia="zh-CN" w:bidi="ar"/>
                <w14:textFill>
                  <w14:solidFill>
                    <w14:schemeClr w14:val="tx1"/>
                  </w14:solidFill>
                </w14:textFill>
              </w:rPr>
              <w:t xml:space="preserve">领导 </w:t>
            </w:r>
          </w:p>
        </w:tc>
      </w:tr>
      <w:tr w14:paraId="1A40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369C134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6"/>
                <w:kern w:val="0"/>
                <w:sz w:val="24"/>
                <w:szCs w:val="24"/>
                <w:u w:val="none"/>
                <w:lang w:val="en-US" w:eastAsia="zh-CN" w:bidi="ar"/>
                <w14:textFill>
                  <w14:solidFill>
                    <w14:schemeClr w14:val="tx1"/>
                  </w14:solidFill>
                </w14:textFill>
              </w:rPr>
              <w:t>一、关键核心技术攻坚行动</w:t>
            </w:r>
          </w:p>
        </w:tc>
      </w:tr>
      <w:tr w14:paraId="6EC6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41" w:type="pct"/>
            <w:noWrap w:val="0"/>
            <w:vAlign w:val="center"/>
          </w:tcPr>
          <w:p w14:paraId="64B5340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1</w:t>
            </w:r>
          </w:p>
        </w:tc>
        <w:tc>
          <w:tcPr>
            <w:tcW w:w="2052" w:type="pct"/>
            <w:noWrap w:val="0"/>
            <w:vAlign w:val="center"/>
          </w:tcPr>
          <w:p w14:paraId="4711A4C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全社会研发经费投入增长15%。</w:t>
            </w:r>
          </w:p>
        </w:tc>
        <w:tc>
          <w:tcPr>
            <w:tcW w:w="1264" w:type="pct"/>
            <w:noWrap w:val="0"/>
            <w:vAlign w:val="center"/>
          </w:tcPr>
          <w:p w14:paraId="10737D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县发展和改革局、县加大全社会研发投入其它成员单位、绥宁产业开发区管理委员会按职责分工负责</w:t>
            </w:r>
          </w:p>
        </w:tc>
        <w:tc>
          <w:tcPr>
            <w:tcW w:w="652" w:type="pct"/>
            <w:noWrap w:val="0"/>
            <w:vAlign w:val="center"/>
          </w:tcPr>
          <w:p w14:paraId="74A20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唐友柏</w:t>
            </w:r>
          </w:p>
          <w:p w14:paraId="3C270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各成员</w:t>
            </w:r>
          </w:p>
          <w:p w14:paraId="212BE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单位主要负责人</w:t>
            </w:r>
          </w:p>
        </w:tc>
        <w:tc>
          <w:tcPr>
            <w:tcW w:w="788" w:type="pct"/>
            <w:noWrap w:val="0"/>
            <w:vAlign w:val="center"/>
          </w:tcPr>
          <w:p w14:paraId="5C585A6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4088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1" w:type="pct"/>
            <w:noWrap w:val="0"/>
            <w:vAlign w:val="center"/>
          </w:tcPr>
          <w:p w14:paraId="2579B2D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2</w:t>
            </w:r>
          </w:p>
        </w:tc>
        <w:tc>
          <w:tcPr>
            <w:tcW w:w="2052" w:type="pct"/>
            <w:noWrap w:val="0"/>
            <w:vAlign w:val="center"/>
          </w:tcPr>
          <w:p w14:paraId="1C84F1E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新增有效发明专利3件以上。</w:t>
            </w:r>
          </w:p>
        </w:tc>
        <w:tc>
          <w:tcPr>
            <w:tcW w:w="1264" w:type="pct"/>
            <w:noWrap w:val="0"/>
            <w:vAlign w:val="center"/>
          </w:tcPr>
          <w:p w14:paraId="3A3DD3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县市场监督管理局</w:t>
            </w:r>
          </w:p>
        </w:tc>
        <w:tc>
          <w:tcPr>
            <w:tcW w:w="652" w:type="pct"/>
            <w:noWrap w:val="0"/>
            <w:vAlign w:val="center"/>
          </w:tcPr>
          <w:p w14:paraId="37716DD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向祖金</w:t>
            </w:r>
          </w:p>
        </w:tc>
        <w:tc>
          <w:tcPr>
            <w:tcW w:w="788" w:type="pct"/>
            <w:noWrap w:val="0"/>
            <w:vAlign w:val="center"/>
          </w:tcPr>
          <w:p w14:paraId="423D6CE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黄文勇</w:t>
            </w:r>
          </w:p>
        </w:tc>
      </w:tr>
      <w:tr w14:paraId="4C06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1" w:type="pct"/>
            <w:noWrap w:val="0"/>
            <w:vAlign w:val="center"/>
          </w:tcPr>
          <w:p w14:paraId="20254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3</w:t>
            </w:r>
          </w:p>
        </w:tc>
        <w:tc>
          <w:tcPr>
            <w:tcW w:w="2052" w:type="pct"/>
            <w:noWrap w:val="0"/>
            <w:vAlign w:val="center"/>
          </w:tcPr>
          <w:p w14:paraId="5B1C1F0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开展</w:t>
            </w:r>
            <w:r>
              <w:rPr>
                <w:rFonts w:hint="eastAsia" w:ascii="宋体" w:hAnsi="宋体" w:eastAsia="宋体" w:cs="宋体"/>
                <w:color w:val="000000" w:themeColor="text1"/>
                <w:spacing w:val="-6"/>
                <w:sz w:val="24"/>
                <w:szCs w:val="24"/>
                <w:lang w:val="en-US" w:eastAsia="zh-CN"/>
                <w14:textFill>
                  <w14:solidFill>
                    <w14:schemeClr w14:val="tx1"/>
                  </w14:solidFill>
                </w14:textFill>
              </w:rPr>
              <w:t>杂交水稻、红提、养猪、中药材</w:t>
            </w:r>
            <w:r>
              <w:rPr>
                <w:rFonts w:hint="eastAsia" w:ascii="宋体" w:hAnsi="宋体" w:eastAsia="宋体" w:cs="宋体"/>
                <w:color w:val="000000" w:themeColor="text1"/>
                <w:spacing w:val="-6"/>
                <w:sz w:val="24"/>
                <w:szCs w:val="24"/>
                <w14:textFill>
                  <w14:solidFill>
                    <w14:schemeClr w14:val="tx1"/>
                  </w14:solidFill>
                </w14:textFill>
              </w:rPr>
              <w:t>等优质新品种选育</w:t>
            </w:r>
            <w:r>
              <w:rPr>
                <w:rFonts w:hint="eastAsia" w:ascii="宋体" w:hAnsi="宋体" w:eastAsia="宋体" w:cs="宋体"/>
                <w:color w:val="000000" w:themeColor="text1"/>
                <w:spacing w:val="-6"/>
                <w:sz w:val="24"/>
                <w:szCs w:val="24"/>
                <w:lang w:val="en-US" w:eastAsia="zh-CN"/>
                <w14:textFill>
                  <w14:solidFill>
                    <w14:schemeClr w14:val="tx1"/>
                  </w14:solidFill>
                </w14:textFill>
              </w:rPr>
              <w:t>和栽培技术攻关，推动育种精准化、高效化和智能化，力争引进新品种1个以上。推进杂交水稻、东山红提、东山花猪等优势品种提质，提升市场占有率。</w:t>
            </w:r>
          </w:p>
        </w:tc>
        <w:tc>
          <w:tcPr>
            <w:tcW w:w="1264" w:type="pct"/>
            <w:noWrap w:val="0"/>
            <w:vAlign w:val="center"/>
          </w:tcPr>
          <w:p w14:paraId="754CA3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县发展和改革局、县林业局、县农业农村水利局按职责分工负责</w:t>
            </w:r>
          </w:p>
        </w:tc>
        <w:tc>
          <w:tcPr>
            <w:tcW w:w="652" w:type="pct"/>
            <w:noWrap w:val="0"/>
            <w:vAlign w:val="center"/>
          </w:tcPr>
          <w:p w14:paraId="1348C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唐友柏</w:t>
            </w:r>
          </w:p>
          <w:p w14:paraId="71E67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费立功</w:t>
            </w:r>
          </w:p>
          <w:p w14:paraId="66960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李  彬</w:t>
            </w:r>
          </w:p>
        </w:tc>
        <w:tc>
          <w:tcPr>
            <w:tcW w:w="788" w:type="pct"/>
            <w:noWrap w:val="0"/>
            <w:vAlign w:val="center"/>
          </w:tcPr>
          <w:p w14:paraId="72154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梁恩雄</w:t>
            </w:r>
          </w:p>
        </w:tc>
      </w:tr>
      <w:tr w14:paraId="3499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41" w:type="pct"/>
            <w:noWrap w:val="0"/>
            <w:vAlign w:val="center"/>
          </w:tcPr>
          <w:p w14:paraId="55582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4</w:t>
            </w:r>
          </w:p>
        </w:tc>
        <w:tc>
          <w:tcPr>
            <w:tcW w:w="2052" w:type="pct"/>
            <w:noWrap w:val="0"/>
            <w:vAlign w:val="center"/>
          </w:tcPr>
          <w:p w14:paraId="1648A7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聚焦九大新型产业链领域，大力支持楠竹精深加工、节能环保、生态绿色食品、生物肥料等产业发展。</w:t>
            </w:r>
          </w:p>
        </w:tc>
        <w:tc>
          <w:tcPr>
            <w:tcW w:w="1264" w:type="pct"/>
            <w:noWrap w:val="0"/>
            <w:vAlign w:val="center"/>
          </w:tcPr>
          <w:p w14:paraId="3F56D4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县发展和改革局牵头，</w:t>
            </w:r>
          </w:p>
          <w:p w14:paraId="1B8C9E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县农业农村水利局、</w:t>
            </w:r>
          </w:p>
          <w:p w14:paraId="249398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县林业局、</w:t>
            </w:r>
            <w:r>
              <w:rPr>
                <w:rFonts w:hint="eastAsia" w:ascii="宋体" w:hAnsi="宋体" w:eastAsia="宋体" w:cs="宋体"/>
                <w:color w:val="000000" w:themeColor="text1"/>
                <w:spacing w:val="-6"/>
                <w:sz w:val="24"/>
                <w:szCs w:val="24"/>
                <w:lang w:val="en-US" w:eastAsia="zh-CN"/>
                <w14:textFill>
                  <w14:solidFill>
                    <w14:schemeClr w14:val="tx1"/>
                  </w14:solidFill>
                </w14:textFill>
              </w:rPr>
              <w:t>绥宁产业开发管理委员会按职责分工负责</w:t>
            </w:r>
          </w:p>
        </w:tc>
        <w:tc>
          <w:tcPr>
            <w:tcW w:w="652" w:type="pct"/>
            <w:noWrap w:val="0"/>
            <w:vAlign w:val="center"/>
          </w:tcPr>
          <w:p w14:paraId="22428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唐友柏</w:t>
            </w:r>
          </w:p>
          <w:p w14:paraId="4DD8E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费立功</w:t>
            </w:r>
          </w:p>
          <w:p w14:paraId="02AEB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李  彬</w:t>
            </w:r>
          </w:p>
          <w:p w14:paraId="51215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匡继辉</w:t>
            </w:r>
          </w:p>
        </w:tc>
        <w:tc>
          <w:tcPr>
            <w:tcW w:w="788" w:type="pct"/>
            <w:noWrap w:val="0"/>
            <w:vAlign w:val="center"/>
          </w:tcPr>
          <w:p w14:paraId="63601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10A1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41" w:type="pct"/>
            <w:noWrap w:val="0"/>
            <w:vAlign w:val="center"/>
          </w:tcPr>
          <w:p w14:paraId="3B143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5</w:t>
            </w:r>
          </w:p>
        </w:tc>
        <w:tc>
          <w:tcPr>
            <w:tcW w:w="2052" w:type="pct"/>
            <w:noWrap w:val="0"/>
            <w:vAlign w:val="center"/>
          </w:tcPr>
          <w:p w14:paraId="4A34D0C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建设算力网络大市场，培育信创和网络安全全新兴产业。</w:t>
            </w:r>
          </w:p>
        </w:tc>
        <w:tc>
          <w:tcPr>
            <w:tcW w:w="1264" w:type="pct"/>
            <w:noWrap w:val="0"/>
            <w:vAlign w:val="center"/>
          </w:tcPr>
          <w:p w14:paraId="44D08D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w:t>
            </w:r>
            <w:r>
              <w:rPr>
                <w:rFonts w:hint="eastAsia" w:ascii="宋体" w:hAnsi="宋体" w:eastAsia="宋体" w:cs="宋体"/>
                <w:color w:val="000000" w:themeColor="text1"/>
                <w:spacing w:val="-6"/>
                <w:sz w:val="24"/>
                <w:szCs w:val="24"/>
                <w:lang w:eastAsia="zh-CN"/>
                <w14:textFill>
                  <w14:solidFill>
                    <w14:schemeClr w14:val="tx1"/>
                  </w14:solidFill>
                </w14:textFill>
              </w:rPr>
              <w:t>县移动公司、县联通公司、县电信公司</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等按职责分工负责</w:t>
            </w:r>
          </w:p>
        </w:tc>
        <w:tc>
          <w:tcPr>
            <w:tcW w:w="652" w:type="pct"/>
            <w:noWrap w:val="0"/>
            <w:vAlign w:val="center"/>
          </w:tcPr>
          <w:p w14:paraId="43CED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4903D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付尚斌</w:t>
            </w:r>
          </w:p>
          <w:p w14:paraId="7DC08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唐运昱</w:t>
            </w:r>
          </w:p>
          <w:p w14:paraId="02EED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李茂军</w:t>
            </w:r>
          </w:p>
        </w:tc>
        <w:tc>
          <w:tcPr>
            <w:tcW w:w="788" w:type="pct"/>
            <w:noWrap w:val="0"/>
            <w:vAlign w:val="center"/>
          </w:tcPr>
          <w:p w14:paraId="4BF41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陵建华</w:t>
            </w:r>
          </w:p>
        </w:tc>
      </w:tr>
      <w:tr w14:paraId="428F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61CF8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6"/>
                <w:kern w:val="0"/>
                <w:sz w:val="24"/>
                <w:szCs w:val="24"/>
                <w:u w:val="none"/>
                <w:lang w:val="en-US" w:eastAsia="zh-CN" w:bidi="ar"/>
                <w14:textFill>
                  <w14:solidFill>
                    <w14:schemeClr w14:val="tx1"/>
                  </w14:solidFill>
                </w14:textFill>
              </w:rPr>
              <w:t>二、创新成果转化攻坚行动</w:t>
            </w:r>
          </w:p>
        </w:tc>
      </w:tr>
      <w:tr w14:paraId="744A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41" w:type="pct"/>
            <w:noWrap w:val="0"/>
            <w:vAlign w:val="center"/>
          </w:tcPr>
          <w:p w14:paraId="6661C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6</w:t>
            </w:r>
          </w:p>
        </w:tc>
        <w:tc>
          <w:tcPr>
            <w:tcW w:w="2052" w:type="pct"/>
            <w:noWrap w:val="0"/>
            <w:vAlign w:val="center"/>
          </w:tcPr>
          <w:p w14:paraId="4C70A9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净增高新技术企业超</w:t>
            </w:r>
            <w:r>
              <w:rPr>
                <w:rFonts w:hint="eastAsia" w:ascii="宋体" w:hAnsi="宋体" w:eastAsia="宋体" w:cs="宋体"/>
                <w:color w:val="000000" w:themeColor="text1"/>
                <w:spacing w:val="-6"/>
                <w:sz w:val="24"/>
                <w:szCs w:val="24"/>
                <w:lang w:val="en-US" w:eastAsia="zh-CN"/>
                <w14:textFill>
                  <w14:solidFill>
                    <w14:schemeClr w14:val="tx1"/>
                  </w14:solidFill>
                </w14:textFill>
              </w:rPr>
              <w:t>4</w:t>
            </w:r>
            <w:r>
              <w:rPr>
                <w:rFonts w:hint="eastAsia" w:ascii="宋体" w:hAnsi="宋体" w:eastAsia="宋体" w:cs="宋体"/>
                <w:color w:val="000000" w:themeColor="text1"/>
                <w:spacing w:val="-6"/>
                <w:sz w:val="24"/>
                <w:szCs w:val="24"/>
                <w14:textFill>
                  <w14:solidFill>
                    <w14:schemeClr w14:val="tx1"/>
                  </w14:solidFill>
                </w14:textFill>
              </w:rPr>
              <w:t>家</w:t>
            </w:r>
            <w:r>
              <w:rPr>
                <w:rFonts w:hint="eastAsia" w:ascii="宋体" w:hAnsi="宋体" w:eastAsia="宋体" w:cs="宋体"/>
                <w:color w:val="000000" w:themeColor="text1"/>
                <w:spacing w:val="-6"/>
                <w:sz w:val="24"/>
                <w:szCs w:val="24"/>
                <w:lang w:eastAsia="zh-CN"/>
                <w14:textFill>
                  <w14:solidFill>
                    <w14:schemeClr w14:val="tx1"/>
                  </w14:solidFill>
                </w14:textFill>
              </w:rPr>
              <w:t>，高新技术产业增加值增长</w:t>
            </w:r>
            <w:r>
              <w:rPr>
                <w:rFonts w:hint="eastAsia" w:ascii="宋体" w:hAnsi="宋体" w:eastAsia="宋体" w:cs="宋体"/>
                <w:color w:val="000000" w:themeColor="text1"/>
                <w:spacing w:val="-6"/>
                <w:sz w:val="24"/>
                <w:szCs w:val="24"/>
                <w:lang w:val="en-US" w:eastAsia="zh-CN"/>
                <w14:textFill>
                  <w14:solidFill>
                    <w14:schemeClr w14:val="tx1"/>
                  </w14:solidFill>
                </w14:textFill>
              </w:rPr>
              <w:t>15%以上。</w:t>
            </w:r>
            <w:r>
              <w:rPr>
                <w:rFonts w:hint="eastAsia" w:ascii="宋体" w:hAnsi="宋体" w:eastAsia="宋体" w:cs="宋体"/>
                <w:color w:val="000000" w:themeColor="text1"/>
                <w:spacing w:val="-6"/>
                <w:sz w:val="24"/>
                <w:szCs w:val="24"/>
                <w:lang w:eastAsia="zh-CN"/>
                <w14:textFill>
                  <w14:solidFill>
                    <w14:schemeClr w14:val="tx1"/>
                  </w14:solidFill>
                </w14:textFill>
              </w:rPr>
              <w:t>新增省</w:t>
            </w:r>
            <w:r>
              <w:rPr>
                <w:rFonts w:hint="eastAsia" w:ascii="宋体" w:hAnsi="宋体" w:eastAsia="宋体" w:cs="宋体"/>
                <w:color w:val="000000" w:themeColor="text1"/>
                <w:spacing w:val="-6"/>
                <w:sz w:val="24"/>
                <w:szCs w:val="24"/>
                <w14:textFill>
                  <w14:solidFill>
                    <w14:schemeClr w14:val="tx1"/>
                  </w14:solidFill>
                </w14:textFill>
              </w:rPr>
              <w:t>级</w:t>
            </w:r>
            <w:r>
              <w:rPr>
                <w:rFonts w:hint="eastAsia" w:ascii="宋体" w:hAnsi="宋体" w:eastAsia="宋体" w:cs="宋体"/>
                <w:color w:val="000000" w:themeColor="text1"/>
                <w:spacing w:val="-6"/>
                <w:sz w:val="24"/>
                <w:szCs w:val="24"/>
                <w:lang w:eastAsia="zh-CN"/>
                <w14:textFill>
                  <w14:solidFill>
                    <w14:schemeClr w14:val="tx1"/>
                  </w14:solidFill>
                </w14:textFill>
              </w:rPr>
              <w:t>以上</w:t>
            </w:r>
            <w:r>
              <w:rPr>
                <w:rFonts w:hint="eastAsia" w:ascii="宋体" w:hAnsi="宋体" w:eastAsia="宋体" w:cs="宋体"/>
                <w:color w:val="000000" w:themeColor="text1"/>
                <w:spacing w:val="-6"/>
                <w:sz w:val="24"/>
                <w:szCs w:val="24"/>
                <w14:textFill>
                  <w14:solidFill>
                    <w14:schemeClr w14:val="tx1"/>
                  </w14:solidFill>
                </w14:textFill>
              </w:rPr>
              <w:t>专精特新“小巨人”企业</w:t>
            </w:r>
            <w:r>
              <w:rPr>
                <w:rFonts w:hint="eastAsia" w:ascii="宋体" w:hAnsi="宋体" w:eastAsia="宋体" w:cs="宋体"/>
                <w:color w:val="000000" w:themeColor="text1"/>
                <w:spacing w:val="-6"/>
                <w:sz w:val="24"/>
                <w:szCs w:val="24"/>
                <w:lang w:val="en-US" w:eastAsia="zh-CN"/>
                <w14:textFill>
                  <w14:solidFill>
                    <w14:schemeClr w14:val="tx1"/>
                  </w14:solidFill>
                </w14:textFill>
              </w:rPr>
              <w:t>1</w:t>
            </w:r>
            <w:r>
              <w:rPr>
                <w:rFonts w:hint="eastAsia" w:ascii="宋体" w:hAnsi="宋体" w:eastAsia="宋体" w:cs="宋体"/>
                <w:color w:val="000000" w:themeColor="text1"/>
                <w:spacing w:val="-6"/>
                <w:sz w:val="24"/>
                <w:szCs w:val="24"/>
                <w14:textFill>
                  <w14:solidFill>
                    <w14:schemeClr w14:val="tx1"/>
                  </w14:solidFill>
                </w14:textFill>
              </w:rPr>
              <w:t>家</w:t>
            </w:r>
            <w:r>
              <w:rPr>
                <w:rFonts w:hint="eastAsia" w:ascii="宋体" w:hAnsi="宋体" w:eastAsia="宋体" w:cs="宋体"/>
                <w:color w:val="000000" w:themeColor="text1"/>
                <w:spacing w:val="-6"/>
                <w:sz w:val="24"/>
                <w:szCs w:val="24"/>
                <w:lang w:eastAsia="zh-CN"/>
                <w14:textFill>
                  <w14:solidFill>
                    <w14:schemeClr w14:val="tx1"/>
                  </w14:solidFill>
                </w14:textFill>
              </w:rPr>
              <w:t>以上，新增国家级专精特新“小巨人”企业</w:t>
            </w:r>
            <w:r>
              <w:rPr>
                <w:rFonts w:hint="eastAsia" w:ascii="宋体" w:hAnsi="宋体" w:eastAsia="宋体" w:cs="宋体"/>
                <w:color w:val="000000" w:themeColor="text1"/>
                <w:spacing w:val="-6"/>
                <w:sz w:val="24"/>
                <w:szCs w:val="24"/>
                <w:lang w:val="en-US" w:eastAsia="zh-CN"/>
                <w14:textFill>
                  <w14:solidFill>
                    <w14:schemeClr w14:val="tx1"/>
                  </w14:solidFill>
                </w14:textFill>
              </w:rPr>
              <w:t>1家以上。</w:t>
            </w:r>
          </w:p>
        </w:tc>
        <w:tc>
          <w:tcPr>
            <w:tcW w:w="1264" w:type="pct"/>
            <w:noWrap w:val="0"/>
            <w:vAlign w:val="center"/>
          </w:tcPr>
          <w:p w14:paraId="6875F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县发展和改革局</w:t>
            </w:r>
            <w:r>
              <w:rPr>
                <w:rFonts w:hint="eastAsia" w:ascii="宋体" w:hAnsi="宋体" w:eastAsia="宋体" w:cs="宋体"/>
                <w:color w:val="000000" w:themeColor="text1"/>
                <w:spacing w:val="-6"/>
                <w:sz w:val="24"/>
                <w:szCs w:val="24"/>
                <w14:textFill>
                  <w14:solidFill>
                    <w14:schemeClr w14:val="tx1"/>
                  </w14:solidFill>
                </w14:textFill>
              </w:rPr>
              <w:t>、</w:t>
            </w:r>
          </w:p>
          <w:p w14:paraId="0147FB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绥宁产业开发管理委员会</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按职责分工负责</w:t>
            </w:r>
          </w:p>
        </w:tc>
        <w:tc>
          <w:tcPr>
            <w:tcW w:w="652" w:type="pct"/>
            <w:noWrap w:val="0"/>
            <w:vAlign w:val="center"/>
          </w:tcPr>
          <w:p w14:paraId="44A08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唐友柏</w:t>
            </w:r>
          </w:p>
          <w:p w14:paraId="2ACA8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匡继辉</w:t>
            </w:r>
          </w:p>
        </w:tc>
        <w:tc>
          <w:tcPr>
            <w:tcW w:w="788" w:type="pct"/>
            <w:noWrap w:val="0"/>
            <w:vAlign w:val="center"/>
          </w:tcPr>
          <w:p w14:paraId="2760C9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12E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41" w:type="pct"/>
            <w:noWrap w:val="0"/>
            <w:vAlign w:val="center"/>
          </w:tcPr>
          <w:p w14:paraId="0B5E2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7</w:t>
            </w:r>
          </w:p>
        </w:tc>
        <w:tc>
          <w:tcPr>
            <w:tcW w:w="2052" w:type="pct"/>
            <w:noWrap w:val="0"/>
            <w:vAlign w:val="center"/>
          </w:tcPr>
          <w:p w14:paraId="5203D2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新增两化融合管理体系贯标评定企业6家以上，组织实施1个以上省级制造业数字化转型“三化”重点项目。深入开展制造业数字化转型行动和中小企业“两上三化”专项行动，年内带动35家以上企业深度“上云”、50家以上企业“上平台”，力争数字经济增长15%以上。</w:t>
            </w:r>
          </w:p>
        </w:tc>
        <w:tc>
          <w:tcPr>
            <w:tcW w:w="1264" w:type="pct"/>
            <w:noWrap w:val="0"/>
            <w:vAlign w:val="center"/>
          </w:tcPr>
          <w:p w14:paraId="108A30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县发展和改革局、绥宁产业开发区管理委员会</w:t>
            </w:r>
            <w:r>
              <w:rPr>
                <w:rFonts w:hint="eastAsia" w:ascii="宋体" w:hAnsi="宋体" w:eastAsia="宋体" w:cs="宋体"/>
                <w:color w:val="000000" w:themeColor="text1"/>
                <w:spacing w:val="-6"/>
                <w:sz w:val="24"/>
                <w:szCs w:val="24"/>
                <w:lang w:val="en-US" w:eastAsia="zh-CN"/>
                <w14:textFill>
                  <w14:solidFill>
                    <w14:schemeClr w14:val="tx1"/>
                  </w14:solidFill>
                </w14:textFill>
              </w:rPr>
              <w:t>、</w:t>
            </w:r>
            <w:r>
              <w:rPr>
                <w:rFonts w:hint="eastAsia" w:ascii="宋体" w:hAnsi="宋体" w:eastAsia="宋体" w:cs="宋体"/>
                <w:color w:val="000000" w:themeColor="text1"/>
                <w:spacing w:val="-6"/>
                <w:sz w:val="24"/>
                <w:szCs w:val="24"/>
                <w:lang w:eastAsia="zh-CN"/>
                <w14:textFill>
                  <w14:solidFill>
                    <w14:schemeClr w14:val="tx1"/>
                  </w14:solidFill>
                </w14:textFill>
              </w:rPr>
              <w:t>县移动公司、县联通公司、县电信公司</w:t>
            </w:r>
            <w:r>
              <w:rPr>
                <w:rFonts w:hint="eastAsia" w:ascii="宋体" w:hAnsi="宋体" w:eastAsia="宋体" w:cs="宋体"/>
                <w:color w:val="000000" w:themeColor="text1"/>
                <w:spacing w:val="-6"/>
                <w:sz w:val="24"/>
                <w:szCs w:val="24"/>
                <w:lang w:val="en-US" w:eastAsia="zh-CN"/>
                <w14:textFill>
                  <w14:solidFill>
                    <w14:schemeClr w14:val="tx1"/>
                  </w14:solidFill>
                </w14:textFill>
              </w:rPr>
              <w:t>等</w:t>
            </w:r>
            <w:r>
              <w:rPr>
                <w:rFonts w:hint="eastAsia" w:ascii="宋体" w:hAnsi="宋体" w:eastAsia="宋体" w:cs="宋体"/>
                <w:color w:val="000000" w:themeColor="text1"/>
                <w:spacing w:val="-6"/>
                <w:sz w:val="24"/>
                <w:szCs w:val="24"/>
                <w14:textFill>
                  <w14:solidFill>
                    <w14:schemeClr w14:val="tx1"/>
                  </w14:solidFill>
                </w14:textFill>
              </w:rPr>
              <w:t>按职责分工负责</w:t>
            </w:r>
          </w:p>
        </w:tc>
        <w:tc>
          <w:tcPr>
            <w:tcW w:w="652" w:type="pct"/>
            <w:noWrap w:val="0"/>
            <w:vAlign w:val="center"/>
          </w:tcPr>
          <w:p w14:paraId="2AE93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76DF5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匡继辉</w:t>
            </w:r>
          </w:p>
          <w:p w14:paraId="42CD5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付尚斌</w:t>
            </w:r>
          </w:p>
          <w:p w14:paraId="300FF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唐运昱</w:t>
            </w:r>
          </w:p>
          <w:p w14:paraId="0124F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李茂军</w:t>
            </w:r>
          </w:p>
        </w:tc>
        <w:tc>
          <w:tcPr>
            <w:tcW w:w="788" w:type="pct"/>
            <w:noWrap w:val="0"/>
            <w:vAlign w:val="center"/>
          </w:tcPr>
          <w:p w14:paraId="4A3AD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0C28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41" w:type="pct"/>
            <w:noWrap w:val="0"/>
            <w:vAlign w:val="center"/>
          </w:tcPr>
          <w:p w14:paraId="6CF86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8</w:t>
            </w:r>
          </w:p>
        </w:tc>
        <w:tc>
          <w:tcPr>
            <w:tcW w:w="2052" w:type="pct"/>
            <w:noWrap w:val="0"/>
            <w:vAlign w:val="center"/>
          </w:tcPr>
          <w:p w14:paraId="1D4E6E6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t>新建潇湘科技要素大市场工作站</w:t>
            </w:r>
            <w:r>
              <w:rPr>
                <w:rFonts w:hint="eastAsia" w:asciiTheme="majorEastAsia" w:hAnsiTheme="majorEastAsia" w:eastAsiaTheme="majorEastAsia" w:cstheme="majorEastAsia"/>
                <w:color w:val="000000" w:themeColor="text1"/>
                <w:spacing w:val="-6"/>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t>个</w:t>
            </w:r>
            <w:r>
              <w:rPr>
                <w:rFonts w:hint="eastAsia" w:asciiTheme="majorEastAsia" w:hAnsiTheme="majorEastAsia" w:eastAsiaTheme="majorEastAsia" w:cstheme="majorEastAsia"/>
                <w:color w:val="000000" w:themeColor="text1"/>
                <w:spacing w:val="-6"/>
                <w:sz w:val="24"/>
                <w:szCs w:val="24"/>
                <w:lang w:eastAsia="zh-CN"/>
                <w14:textFill>
                  <w14:solidFill>
                    <w14:schemeClr w14:val="tx1"/>
                  </w14:solidFill>
                </w14:textFill>
              </w:rPr>
              <w:t>以上</w:t>
            </w:r>
            <w: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t>、众创空间</w:t>
            </w:r>
            <w:r>
              <w:rPr>
                <w:rFonts w:hint="eastAsia" w:asciiTheme="majorEastAsia" w:hAnsiTheme="majorEastAsia" w:eastAsiaTheme="majorEastAsia" w:cstheme="majorEastAsia"/>
                <w:color w:val="000000" w:themeColor="text1"/>
                <w:spacing w:val="-6"/>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t>家</w:t>
            </w:r>
            <w:r>
              <w:rPr>
                <w:rFonts w:hint="eastAsia" w:asciiTheme="majorEastAsia" w:hAnsiTheme="majorEastAsia" w:eastAsiaTheme="majorEastAsia" w:cstheme="majorEastAsia"/>
                <w:color w:val="000000" w:themeColor="text1"/>
                <w:spacing w:val="-6"/>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6"/>
                <w:sz w:val="24"/>
                <w:szCs w:val="24"/>
                <w:lang w:val="en-US" w:eastAsia="zh-CN"/>
                <w14:textFill>
                  <w14:solidFill>
                    <w14:schemeClr w14:val="tx1"/>
                  </w14:solidFill>
                </w14:textFill>
              </w:rPr>
              <w:t>全县技术合同交易成交额增长15%以上</w:t>
            </w:r>
          </w:p>
        </w:tc>
        <w:tc>
          <w:tcPr>
            <w:tcW w:w="1264" w:type="pct"/>
            <w:noWrap w:val="0"/>
            <w:vAlign w:val="center"/>
          </w:tcPr>
          <w:p w14:paraId="163354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县发展和改革局</w:t>
            </w:r>
            <w:r>
              <w:rPr>
                <w:rFonts w:hint="eastAsia" w:ascii="宋体" w:hAnsi="宋体" w:eastAsia="宋体" w:cs="宋体"/>
                <w:color w:val="000000" w:themeColor="text1"/>
                <w:spacing w:val="-6"/>
                <w:sz w:val="24"/>
                <w:szCs w:val="24"/>
                <w14:textFill>
                  <w14:solidFill>
                    <w14:schemeClr w14:val="tx1"/>
                  </w14:solidFill>
                </w14:textFill>
              </w:rPr>
              <w:t>、</w:t>
            </w:r>
          </w:p>
          <w:p w14:paraId="1F5854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绥宁产业开发管理委员会</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按职责分工负责</w:t>
            </w:r>
          </w:p>
        </w:tc>
        <w:tc>
          <w:tcPr>
            <w:tcW w:w="652" w:type="pct"/>
            <w:noWrap w:val="0"/>
            <w:vAlign w:val="center"/>
          </w:tcPr>
          <w:p w14:paraId="2B0BD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57F4F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匡继辉</w:t>
            </w:r>
          </w:p>
        </w:tc>
        <w:tc>
          <w:tcPr>
            <w:tcW w:w="788" w:type="pct"/>
            <w:noWrap w:val="0"/>
            <w:vAlign w:val="center"/>
          </w:tcPr>
          <w:p w14:paraId="36C86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6803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41" w:type="pct"/>
            <w:noWrap w:val="0"/>
            <w:vAlign w:val="center"/>
          </w:tcPr>
          <w:p w14:paraId="2DFF4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9</w:t>
            </w:r>
          </w:p>
        </w:tc>
        <w:tc>
          <w:tcPr>
            <w:tcW w:w="2052" w:type="pct"/>
            <w:noWrap w:val="0"/>
            <w:vAlign w:val="center"/>
          </w:tcPr>
          <w:p w14:paraId="4172BF3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加大科技型企业知识价值信用贷款风险补偿力度，力争发放纯信用贷款</w:t>
            </w:r>
            <w:r>
              <w:rPr>
                <w:rFonts w:hint="eastAsia" w:ascii="宋体" w:hAnsi="宋体" w:eastAsia="宋体" w:cs="宋体"/>
                <w:color w:val="000000" w:themeColor="text1"/>
                <w:spacing w:val="-6"/>
                <w:sz w:val="24"/>
                <w:szCs w:val="24"/>
                <w:lang w:val="en-US" w:eastAsia="zh-CN"/>
                <w14:textFill>
                  <w14:solidFill>
                    <w14:schemeClr w14:val="tx1"/>
                  </w14:solidFill>
                </w14:textFill>
              </w:rPr>
              <w:t>2000万</w:t>
            </w:r>
            <w:r>
              <w:rPr>
                <w:rFonts w:hint="eastAsia" w:ascii="宋体" w:hAnsi="宋体" w:eastAsia="宋体" w:cs="宋体"/>
                <w:color w:val="000000" w:themeColor="text1"/>
                <w:spacing w:val="-6"/>
                <w:sz w:val="24"/>
                <w:szCs w:val="24"/>
                <w14:textFill>
                  <w14:solidFill>
                    <w14:schemeClr w14:val="tx1"/>
                  </w14:solidFill>
                </w14:textFill>
              </w:rPr>
              <w:t>元</w:t>
            </w:r>
            <w:r>
              <w:rPr>
                <w:rFonts w:hint="eastAsia" w:ascii="宋体" w:hAnsi="宋体" w:eastAsia="宋体" w:cs="宋体"/>
                <w:color w:val="000000" w:themeColor="text1"/>
                <w:spacing w:val="-6"/>
                <w:sz w:val="24"/>
                <w:szCs w:val="24"/>
                <w:lang w:eastAsia="zh-CN"/>
                <w14:textFill>
                  <w14:solidFill>
                    <w14:schemeClr w14:val="tx1"/>
                  </w14:solidFill>
                </w14:textFill>
              </w:rPr>
              <w:t>以上</w:t>
            </w:r>
            <w:r>
              <w:rPr>
                <w:rFonts w:hint="eastAsia" w:ascii="宋体" w:hAnsi="宋体" w:eastAsia="宋体" w:cs="宋体"/>
                <w:color w:val="000000" w:themeColor="text1"/>
                <w:spacing w:val="-6"/>
                <w:sz w:val="24"/>
                <w:szCs w:val="24"/>
                <w14:textFill>
                  <w14:solidFill>
                    <w14:schemeClr w14:val="tx1"/>
                  </w14:solidFill>
                </w14:textFill>
              </w:rPr>
              <w:t>。深入开展知识产权质押融资“入园惠企”行动，力争知识产权质押融资登记金额超</w:t>
            </w:r>
            <w:r>
              <w:rPr>
                <w:rFonts w:hint="eastAsia" w:ascii="宋体" w:hAnsi="宋体" w:eastAsia="宋体" w:cs="宋体"/>
                <w:color w:val="000000" w:themeColor="text1"/>
                <w:spacing w:val="-6"/>
                <w:sz w:val="24"/>
                <w:szCs w:val="24"/>
                <w:lang w:val="en-US" w:eastAsia="zh-CN"/>
                <w14:textFill>
                  <w14:solidFill>
                    <w14:schemeClr w14:val="tx1"/>
                  </w14:solidFill>
                </w14:textFill>
              </w:rPr>
              <w:t>1000</w:t>
            </w:r>
            <w:r>
              <w:rPr>
                <w:rFonts w:hint="eastAsia" w:ascii="宋体" w:hAnsi="宋体" w:eastAsia="宋体" w:cs="宋体"/>
                <w:color w:val="000000" w:themeColor="text1"/>
                <w:spacing w:val="-6"/>
                <w:sz w:val="24"/>
                <w:szCs w:val="24"/>
                <w:lang w:eastAsia="zh-CN"/>
                <w14:textFill>
                  <w14:solidFill>
                    <w14:schemeClr w14:val="tx1"/>
                  </w14:solidFill>
                </w14:textFill>
              </w:rPr>
              <w:t>万</w:t>
            </w:r>
            <w:r>
              <w:rPr>
                <w:rFonts w:hint="eastAsia" w:ascii="宋体" w:hAnsi="宋体" w:eastAsia="宋体" w:cs="宋体"/>
                <w:color w:val="000000" w:themeColor="text1"/>
                <w:spacing w:val="-6"/>
                <w:sz w:val="24"/>
                <w:szCs w:val="24"/>
                <w14:textFill>
                  <w14:solidFill>
                    <w14:schemeClr w14:val="tx1"/>
                  </w14:solidFill>
                </w14:textFill>
              </w:rPr>
              <w:t>元。</w:t>
            </w:r>
          </w:p>
        </w:tc>
        <w:tc>
          <w:tcPr>
            <w:tcW w:w="1264" w:type="pct"/>
            <w:noWrap w:val="0"/>
            <w:vAlign w:val="center"/>
          </w:tcPr>
          <w:p w14:paraId="1F435E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县发展和改革局、县财政局、县金融服务中心、人民银行绥宁支行等按职责分工负责</w:t>
            </w:r>
          </w:p>
        </w:tc>
        <w:tc>
          <w:tcPr>
            <w:tcW w:w="652" w:type="pct"/>
            <w:noWrap w:val="0"/>
            <w:vAlign w:val="center"/>
          </w:tcPr>
          <w:p w14:paraId="09171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2B1A2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罗  兴</w:t>
            </w:r>
          </w:p>
          <w:p w14:paraId="2BDC9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张克俭</w:t>
            </w:r>
          </w:p>
          <w:p w14:paraId="4E9E6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肖新哲</w:t>
            </w:r>
          </w:p>
        </w:tc>
        <w:tc>
          <w:tcPr>
            <w:tcW w:w="788" w:type="pct"/>
            <w:noWrap w:val="0"/>
            <w:vAlign w:val="center"/>
          </w:tcPr>
          <w:p w14:paraId="4D903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陵建华</w:t>
            </w:r>
          </w:p>
          <w:p w14:paraId="6A316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29AE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2B193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6"/>
                <w:kern w:val="0"/>
                <w:sz w:val="24"/>
                <w:szCs w:val="24"/>
                <w:u w:val="none"/>
                <w:lang w:val="en-US" w:eastAsia="zh-CN" w:bidi="ar"/>
                <w14:textFill>
                  <w14:solidFill>
                    <w14:schemeClr w14:val="tx1"/>
                  </w14:solidFill>
                </w14:textFill>
              </w:rPr>
              <w:t>三、创新平台建设攻坚行动</w:t>
            </w:r>
          </w:p>
        </w:tc>
      </w:tr>
      <w:tr w14:paraId="570B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 w:type="pct"/>
            <w:noWrap w:val="0"/>
            <w:vAlign w:val="center"/>
          </w:tcPr>
          <w:p w14:paraId="600D7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10</w:t>
            </w:r>
          </w:p>
        </w:tc>
        <w:tc>
          <w:tcPr>
            <w:tcW w:w="2052" w:type="pct"/>
            <w:noWrap w:val="0"/>
            <w:vAlign w:val="center"/>
          </w:tcPr>
          <w:p w14:paraId="2A87C7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争创省级工程技术研究中心或重点实验室、企业技术中心、工业设计中心、企业研发中心1个以上，争取培育申报省级新型研发机构1家以上。</w:t>
            </w:r>
          </w:p>
        </w:tc>
        <w:tc>
          <w:tcPr>
            <w:tcW w:w="1264" w:type="pct"/>
            <w:noWrap w:val="0"/>
            <w:vAlign w:val="center"/>
          </w:tcPr>
          <w:p w14:paraId="1128B3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县发展和改革局、绥宁产业开发管理委员会</w:t>
            </w:r>
          </w:p>
        </w:tc>
        <w:tc>
          <w:tcPr>
            <w:tcW w:w="652" w:type="pct"/>
            <w:noWrap w:val="0"/>
            <w:vAlign w:val="center"/>
          </w:tcPr>
          <w:p w14:paraId="5228A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唐友柏</w:t>
            </w:r>
          </w:p>
          <w:p w14:paraId="36650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匡继辉</w:t>
            </w:r>
          </w:p>
        </w:tc>
        <w:tc>
          <w:tcPr>
            <w:tcW w:w="788" w:type="pct"/>
            <w:noWrap w:val="0"/>
            <w:vAlign w:val="center"/>
          </w:tcPr>
          <w:p w14:paraId="7C0AA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陵建华</w:t>
            </w:r>
          </w:p>
          <w:p w14:paraId="40D83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黄先伟</w:t>
            </w:r>
          </w:p>
        </w:tc>
      </w:tr>
      <w:tr w14:paraId="73E5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75D2C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6"/>
                <w:kern w:val="0"/>
                <w:sz w:val="24"/>
                <w:szCs w:val="24"/>
                <w:u w:val="none"/>
                <w:lang w:val="en-US" w:eastAsia="zh-CN" w:bidi="ar"/>
                <w14:textFill>
                  <w14:solidFill>
                    <w14:schemeClr w14:val="tx1"/>
                  </w14:solidFill>
                </w14:textFill>
              </w:rPr>
              <w:t>四、创新人才强基攻坚行动</w:t>
            </w:r>
          </w:p>
        </w:tc>
      </w:tr>
      <w:tr w14:paraId="10D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 w:type="pct"/>
            <w:noWrap w:val="0"/>
            <w:vAlign w:val="center"/>
          </w:tcPr>
          <w:p w14:paraId="7F152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1</w:t>
            </w:r>
          </w:p>
        </w:tc>
        <w:tc>
          <w:tcPr>
            <w:tcW w:w="2052" w:type="pct"/>
            <w:noWrap w:val="0"/>
            <w:vAlign w:val="center"/>
          </w:tcPr>
          <w:p w14:paraId="5207B9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落实好</w:t>
            </w:r>
            <w:r>
              <w:rPr>
                <w:rFonts w:hint="eastAsia" w:ascii="宋体" w:hAnsi="宋体" w:eastAsia="宋体" w:cs="宋体"/>
                <w:color w:val="000000" w:themeColor="text1"/>
                <w:sz w:val="24"/>
                <w:szCs w:val="24"/>
                <w14:textFill>
                  <w14:solidFill>
                    <w14:schemeClr w14:val="tx1"/>
                  </w14:solidFill>
                </w14:textFill>
              </w:rPr>
              <w:t>绿洲人才</w:t>
            </w:r>
            <w:r>
              <w:rPr>
                <w:rFonts w:hint="eastAsia" w:ascii="宋体" w:hAnsi="宋体" w:eastAsia="宋体" w:cs="宋体"/>
                <w:color w:val="000000" w:themeColor="text1"/>
                <w:sz w:val="24"/>
                <w:szCs w:val="24"/>
                <w:lang w:eastAsia="zh-CN"/>
                <w14:textFill>
                  <w14:solidFill>
                    <w14:schemeClr w14:val="tx1"/>
                  </w14:solidFill>
                </w14:textFill>
              </w:rPr>
              <w:t>行动</w:t>
            </w:r>
            <w:r>
              <w:rPr>
                <w:rFonts w:hint="eastAsia" w:ascii="宋体" w:hAnsi="宋体" w:eastAsia="宋体" w:cs="宋体"/>
                <w:color w:val="000000" w:themeColor="text1"/>
                <w:sz w:val="24"/>
                <w:szCs w:val="24"/>
                <w14:textFill>
                  <w14:solidFill>
                    <w14:schemeClr w14:val="tx1"/>
                  </w14:solidFill>
                </w14:textFill>
              </w:rPr>
              <w:t>计划”</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建立“人才编制池”，在</w:t>
            </w:r>
            <w:r>
              <w:rPr>
                <w:rFonts w:hint="eastAsia" w:ascii="宋体" w:hAnsi="宋体" w:eastAsia="宋体" w:cs="宋体"/>
                <w:color w:val="000000" w:themeColor="text1"/>
                <w:sz w:val="24"/>
                <w:szCs w:val="24"/>
                <w:lang w:eastAsia="zh-CN"/>
                <w14:textFill>
                  <w14:solidFill>
                    <w14:schemeClr w14:val="tx1"/>
                  </w14:solidFill>
                </w14:textFill>
              </w:rPr>
              <w:t>全县事业单位编制总量内调剂</w:t>
            </w:r>
            <w:r>
              <w:rPr>
                <w:rFonts w:hint="eastAsia" w:ascii="宋体" w:hAnsi="宋体" w:eastAsia="宋体" w:cs="宋体"/>
                <w:color w:val="000000" w:themeColor="text1"/>
                <w:sz w:val="24"/>
                <w:szCs w:val="24"/>
                <w:lang w:val="en-US" w:eastAsia="zh-CN"/>
                <w14:textFill>
                  <w14:solidFill>
                    <w14:schemeClr w14:val="tx1"/>
                  </w14:solidFill>
                </w14:textFill>
              </w:rPr>
              <w:t>50名事业编制，专项用于人才引进。</w:t>
            </w:r>
          </w:p>
        </w:tc>
        <w:tc>
          <w:tcPr>
            <w:tcW w:w="1264" w:type="pct"/>
            <w:noWrap w:val="0"/>
            <w:vAlign w:val="center"/>
          </w:tcPr>
          <w:p w14:paraId="560839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县委组织部</w:t>
            </w: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、县发展和改革局</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牵头，县委编办、县人力资源和社会保障局、县财政局、县教育局、县卫生健康局、县农业农村水利局等按职责分工负责</w:t>
            </w:r>
          </w:p>
        </w:tc>
        <w:tc>
          <w:tcPr>
            <w:tcW w:w="652" w:type="pct"/>
            <w:noWrap w:val="0"/>
            <w:vAlign w:val="center"/>
          </w:tcPr>
          <w:p w14:paraId="5AE12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戴立山</w:t>
            </w:r>
          </w:p>
          <w:p w14:paraId="2A02B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4862C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赖文建</w:t>
            </w:r>
          </w:p>
          <w:p w14:paraId="4C750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袁光平</w:t>
            </w:r>
          </w:p>
          <w:p w14:paraId="73E7B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龙景星</w:t>
            </w:r>
          </w:p>
          <w:p w14:paraId="1C202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莫丛英</w:t>
            </w:r>
          </w:p>
          <w:p w14:paraId="24A01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  彬</w:t>
            </w:r>
          </w:p>
        </w:tc>
        <w:tc>
          <w:tcPr>
            <w:tcW w:w="788" w:type="pct"/>
            <w:noWrap w:val="0"/>
            <w:vAlign w:val="center"/>
          </w:tcPr>
          <w:p w14:paraId="33376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陵建华</w:t>
            </w:r>
          </w:p>
          <w:p w14:paraId="27245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周楚舜</w:t>
            </w:r>
          </w:p>
        </w:tc>
      </w:tr>
      <w:tr w14:paraId="08CA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241" w:type="pct"/>
            <w:noWrap w:val="0"/>
            <w:vAlign w:val="center"/>
          </w:tcPr>
          <w:p w14:paraId="0AF0F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2</w:t>
            </w:r>
          </w:p>
        </w:tc>
        <w:tc>
          <w:tcPr>
            <w:tcW w:w="2052" w:type="pct"/>
            <w:noWrap w:val="0"/>
            <w:vAlign w:val="center"/>
          </w:tcPr>
          <w:p w14:paraId="09065B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实施“乡村工匠”培育工程，加强与省内高等院校、科研院所合作，探索建立专家工作服务站，培育一批“土专家”“田秀才”。</w:t>
            </w:r>
            <w:r>
              <w:rPr>
                <w:rFonts w:hint="eastAsia" w:ascii="宋体" w:hAnsi="宋体" w:eastAsia="宋体" w:cs="宋体"/>
                <w:color w:val="000000" w:themeColor="text1"/>
                <w:sz w:val="24"/>
                <w:szCs w:val="24"/>
                <w14:textFill>
                  <w14:solidFill>
                    <w14:schemeClr w14:val="tx1"/>
                  </w14:solidFill>
                </w14:textFill>
              </w:rPr>
              <w:t>在全</w:t>
            </w:r>
            <w:r>
              <w:rPr>
                <w:rFonts w:hint="eastAsia" w:ascii="宋体" w:hAnsi="宋体" w:eastAsia="宋体" w:cs="宋体"/>
                <w:color w:val="000000" w:themeColor="text1"/>
                <w:sz w:val="24"/>
                <w:szCs w:val="24"/>
                <w:lang w:eastAsia="zh-CN"/>
                <w14:textFill>
                  <w14:solidFill>
                    <w14:schemeClr w14:val="tx1"/>
                  </w14:solidFill>
                </w14:textFill>
              </w:rPr>
              <w:t>县制种、楠竹加工、生态农业</w:t>
            </w:r>
            <w:r>
              <w:rPr>
                <w:rFonts w:hint="eastAsia" w:ascii="宋体" w:hAnsi="宋体" w:eastAsia="宋体" w:cs="宋体"/>
                <w:color w:val="000000" w:themeColor="text1"/>
                <w:sz w:val="24"/>
                <w:szCs w:val="24"/>
                <w14:textFill>
                  <w14:solidFill>
                    <w14:schemeClr w14:val="tx1"/>
                  </w14:solidFill>
                </w14:textFill>
              </w:rPr>
              <w:t>等重点领域培养</w:t>
            </w:r>
            <w:r>
              <w:rPr>
                <w:rFonts w:hint="eastAsia" w:ascii="宋体" w:hAnsi="宋体" w:eastAsia="宋体" w:cs="宋体"/>
                <w:color w:val="000000" w:themeColor="text1"/>
                <w:sz w:val="24"/>
                <w:szCs w:val="24"/>
                <w:lang w:val="en-US" w:eastAsia="zh-CN"/>
                <w14:textFill>
                  <w14:solidFill>
                    <w14:schemeClr w14:val="tx1"/>
                  </w14:solidFill>
                </w14:textFill>
              </w:rPr>
              <w:t>2000</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szCs w:val="24"/>
                <w:lang w:eastAsia="zh-CN"/>
                <w14:textFill>
                  <w14:solidFill>
                    <w14:schemeClr w14:val="tx1"/>
                  </w14:solidFill>
                </w14:textFill>
              </w:rPr>
              <w:t>以上</w:t>
            </w:r>
            <w:r>
              <w:rPr>
                <w:rFonts w:hint="eastAsia" w:ascii="宋体" w:hAnsi="宋体" w:eastAsia="宋体" w:cs="宋体"/>
                <w:color w:val="000000" w:themeColor="text1"/>
                <w:sz w:val="24"/>
                <w:szCs w:val="24"/>
                <w14:textFill>
                  <w14:solidFill>
                    <w14:schemeClr w14:val="tx1"/>
                  </w14:solidFill>
                </w14:textFill>
              </w:rPr>
              <w:t>的本土农业农村实用技术人才。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引导人才向基层、乡村振兴一线流动，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精准助力乡村振兴，</w:t>
            </w:r>
            <w:r>
              <w:rPr>
                <w:rFonts w:hint="eastAsia" w:asciiTheme="minorEastAsia" w:hAnsiTheme="minorEastAsia" w:eastAsiaTheme="minorEastAsia" w:cstheme="minorEastAsia"/>
                <w:color w:val="000000" w:themeColor="text1"/>
                <w:sz w:val="24"/>
                <w:szCs w:val="24"/>
                <w14:textFill>
                  <w14:solidFill>
                    <w14:schemeClr w14:val="tx1"/>
                  </w14:solidFill>
                </w14:textFill>
              </w:rPr>
              <w:t>选派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县</w:t>
            </w:r>
            <w:r>
              <w:rPr>
                <w:rFonts w:hint="eastAsia" w:asciiTheme="minorEastAsia" w:hAnsiTheme="minorEastAsia" w:eastAsiaTheme="minorEastAsia" w:cstheme="minorEastAsia"/>
                <w:color w:val="000000" w:themeColor="text1"/>
                <w:sz w:val="24"/>
                <w:szCs w:val="24"/>
                <w14:textFill>
                  <w14:solidFill>
                    <w14:schemeClr w14:val="tx1"/>
                  </w14:solidFill>
                </w14:textFill>
              </w:rPr>
              <w:t>级科技特派员1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0名以上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1264" w:type="pct"/>
            <w:noWrap w:val="0"/>
            <w:vAlign w:val="center"/>
          </w:tcPr>
          <w:p w14:paraId="0019D1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县委组织部、县发展和改革局、</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县人力资源和社会保障局、</w:t>
            </w: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县教育局、</w:t>
            </w: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县农业农村水利局等</w:t>
            </w: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按职责分工负责</w:t>
            </w:r>
          </w:p>
        </w:tc>
        <w:tc>
          <w:tcPr>
            <w:tcW w:w="652" w:type="pct"/>
            <w:noWrap w:val="0"/>
            <w:vAlign w:val="center"/>
          </w:tcPr>
          <w:p w14:paraId="1F8FD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戴立山</w:t>
            </w:r>
          </w:p>
          <w:p w14:paraId="11E33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5EC72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袁光平</w:t>
            </w:r>
          </w:p>
          <w:p w14:paraId="19A63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龙景星</w:t>
            </w:r>
          </w:p>
          <w:p w14:paraId="1AB0A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  彬</w:t>
            </w:r>
          </w:p>
        </w:tc>
        <w:tc>
          <w:tcPr>
            <w:tcW w:w="788" w:type="pct"/>
            <w:noWrap w:val="0"/>
            <w:vAlign w:val="center"/>
          </w:tcPr>
          <w:p w14:paraId="6C44B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陵建华</w:t>
            </w:r>
          </w:p>
          <w:p w14:paraId="1F395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梁恩雄</w:t>
            </w:r>
          </w:p>
          <w:p w14:paraId="499EB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周楚舜</w:t>
            </w:r>
          </w:p>
          <w:p w14:paraId="79EE1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黄先伟</w:t>
            </w:r>
          </w:p>
          <w:p w14:paraId="39F02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周元彪</w:t>
            </w:r>
          </w:p>
        </w:tc>
      </w:tr>
      <w:tr w14:paraId="473E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241" w:type="pct"/>
            <w:noWrap w:val="0"/>
            <w:vAlign w:val="center"/>
          </w:tcPr>
          <w:p w14:paraId="3BFB2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spacing w:val="-6"/>
                <w:kern w:val="0"/>
                <w:sz w:val="24"/>
                <w:szCs w:val="24"/>
                <w:u w:val="none"/>
                <w:lang w:val="en-US" w:eastAsia="zh-CN" w:bidi="ar"/>
                <w14:textFill>
                  <w14:solidFill>
                    <w14:schemeClr w14:val="tx1"/>
                  </w14:solidFill>
                </w14:textFill>
              </w:rPr>
              <w:t>13</w:t>
            </w:r>
          </w:p>
        </w:tc>
        <w:tc>
          <w:tcPr>
            <w:tcW w:w="2052" w:type="pct"/>
            <w:noWrap w:val="0"/>
            <w:vAlign w:val="center"/>
          </w:tcPr>
          <w:p w14:paraId="57BCF3F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实行“绿洲人才卡”服务制度，制发“绿洲人才卡”，为在绥宁建设发展中作出杰出贡献的科技人才，提供优先落户、子女入学、医疗优待、配偶就业等7项优质高效便捷服务。</w:t>
            </w:r>
            <w:r>
              <w:rPr>
                <w:rFonts w:hint="eastAsia" w:ascii="宋体" w:hAnsi="宋体" w:eastAsia="宋体" w:cs="宋体"/>
                <w:color w:val="000000" w:themeColor="text1"/>
                <w:sz w:val="24"/>
                <w:szCs w:val="24"/>
                <w:shd w:val="clear" w:color="auto" w:fill="FFFFFF"/>
                <w:lang w:val="en-US" w:eastAsia="zh-CN" w:bidi="ar"/>
                <w14:textFill>
                  <w14:solidFill>
                    <w14:schemeClr w14:val="tx1"/>
                  </w14:solidFill>
                </w14:textFill>
              </w:rPr>
              <w:t>采取“1+1”结对联系模式。</w:t>
            </w:r>
          </w:p>
        </w:tc>
        <w:tc>
          <w:tcPr>
            <w:tcW w:w="1264" w:type="pct"/>
            <w:noWrap w:val="0"/>
            <w:vAlign w:val="center"/>
          </w:tcPr>
          <w:p w14:paraId="7F8943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t>县委组织部、县发展和改革局、县人力资源和社会保障局、县教育局、县卫生健康局、县财政局、县农业农村水利局等按职责分工负责</w:t>
            </w:r>
          </w:p>
        </w:tc>
        <w:tc>
          <w:tcPr>
            <w:tcW w:w="652" w:type="pct"/>
            <w:noWrap w:val="0"/>
            <w:vAlign w:val="center"/>
          </w:tcPr>
          <w:p w14:paraId="184FF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戴立山</w:t>
            </w:r>
          </w:p>
          <w:p w14:paraId="6689D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唐友柏</w:t>
            </w:r>
          </w:p>
          <w:p w14:paraId="37FE3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袁光平</w:t>
            </w:r>
          </w:p>
          <w:p w14:paraId="18DDB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龙景星</w:t>
            </w:r>
          </w:p>
          <w:p w14:paraId="4B7F2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莫丛英</w:t>
            </w:r>
          </w:p>
          <w:p w14:paraId="254EC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罗  兴</w:t>
            </w:r>
          </w:p>
          <w:p w14:paraId="2407E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  彬</w:t>
            </w:r>
          </w:p>
        </w:tc>
        <w:tc>
          <w:tcPr>
            <w:tcW w:w="788" w:type="pct"/>
            <w:noWrap w:val="0"/>
            <w:vAlign w:val="center"/>
          </w:tcPr>
          <w:p w14:paraId="5B575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陵建华</w:t>
            </w:r>
          </w:p>
          <w:p w14:paraId="763AC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梁恩雄</w:t>
            </w:r>
          </w:p>
          <w:p w14:paraId="15555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周楚舜</w:t>
            </w:r>
          </w:p>
          <w:p w14:paraId="5CA9D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黄先伟</w:t>
            </w:r>
          </w:p>
          <w:p w14:paraId="1AD38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周元彪</w:t>
            </w:r>
          </w:p>
        </w:tc>
      </w:tr>
      <w:tr w14:paraId="28D0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000" w:type="pct"/>
            <w:gridSpan w:val="5"/>
            <w:noWrap w:val="0"/>
            <w:vAlign w:val="center"/>
          </w:tcPr>
          <w:p w14:paraId="5BB39F26">
            <w:pPr>
              <w:rPr>
                <w:rFonts w:hint="eastAsia" w:ascii="宋体" w:hAnsi="宋体" w:eastAsia="宋体" w:cs="宋体"/>
                <w:b w:val="0"/>
                <w:bCs w:val="0"/>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备注：各单项工作排第一的为牵头责任单位</w:t>
            </w:r>
          </w:p>
        </w:tc>
      </w:tr>
    </w:tbl>
    <w:p w14:paraId="4BE98F7F">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14:paraId="0406B35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绥宁县打好优化发展环境持久仗工作方案</w:t>
      </w:r>
    </w:p>
    <w:p w14:paraId="2359D47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p>
    <w:p w14:paraId="79F3D31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为深入贯彻落实省委省政府和市委市政府打好发展“六仗”部署，着眼打造市场化法治化国际化一流营商环境，推进我县营商环境持续优化，争创全省真抓实干激励先进，特制定本工作方案。</w:t>
      </w:r>
    </w:p>
    <w:p w14:paraId="7FDF3F0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一、工作目标</w:t>
      </w:r>
    </w:p>
    <w:p w14:paraId="2422E2B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面贯彻党的二十大精神，深入落实习近平总书记对湖南重要讲话重要指示批示精神，以营造市场化法治化国际化营商环境，更好服务市场主体，更好提振发展信心为目标，坚持问题导向、目标导向、结果导向，对标省对县营商环境评价指标体系，对标各类问题短板加大攻坚力度，聚焦激发创新活力与维护公平竞争两大核心诉求，深入落实“十个坚决”，纵深推进优化营商环境三年行动计划，确保营商环境评价排位进入全省35名以内，产业开发区营商环境评价进入全省前49名，为全面落实“三高四新”战略定位和使命任务、奋力建设“美丽绥宁、活力绥宁、幸福绥宁”提供更好支持和保障</w:t>
      </w:r>
      <w:r>
        <w:rPr>
          <w:rFonts w:hint="eastAsia" w:ascii="仿宋" w:hAnsi="仿宋" w:eastAsia="仿宋" w:cs="仿宋"/>
          <w:color w:val="000000" w:themeColor="text1"/>
          <w:sz w:val="32"/>
          <w:szCs w:val="32"/>
          <w:u w:val="none"/>
          <w:lang w:val="en-US" w:eastAsia="zh-CN"/>
          <w14:textFill>
            <w14:solidFill>
              <w14:schemeClr w14:val="tx1"/>
            </w14:solidFill>
          </w14:textFill>
        </w:rPr>
        <w:t>。</w:t>
      </w:r>
    </w:p>
    <w:p w14:paraId="65F21AB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二、工作任务</w:t>
      </w:r>
    </w:p>
    <w:p w14:paraId="20BEAB9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围绕市场主体需求精准施策。以改革创一流营商环境，深化国资国企改革，持续抓好民营经济“六个一”工作，全力推进“纾困增效”专项行动等改革。以开放促一流营商环境，持续推进通关便利化，建设市场友好型投资环境等。以服务强一流营商环境，精准放权赋能，优化“专窗改综窗”改革，推进政务数据共享等。以法治护一流营商环境，推进公正司法，加强政务诚信建设，防范和化解拖欠中小企业账款等，让企业放心投资、安心经营。</w:t>
      </w:r>
    </w:p>
    <w:p w14:paraId="1BF4297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三、推进机制</w:t>
      </w:r>
    </w:p>
    <w:p w14:paraId="25216F6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立打好优化发展环境持久仗专班，由县政府办副主任唐伯贫担任召集人，县发展和改革局局长唐友柏任副召集人，成员单位包括县发展和改革局、县公安局、县司法局、县财政局、县人力资源和社会保障局、县自然资源局、市生态环境局绥宁分局、县住房和城乡建设局、县城市管理和综合执法局、县交通运输局、县农业农村水利局、县审计局、县商务局、县城投公司、县市场监督管理局、县金融服务中心、县行政审批服务局、人民银行绥宁支行、县税务局、县人民法院、县人民检察院、县工商联等，专班办公室设在县发展和改革局（县优化办），由唐友柏兼任办公室主任，县发展和改革局副局长唐中魁任办公室副主任（电话：18692982389），负责日常协调和调度工作，县发展和改革局综合股工作人员黄东任联络员（电话：13517427629），负责日常联系。</w:t>
      </w:r>
    </w:p>
    <w:p w14:paraId="097454C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p>
    <w:p w14:paraId="4C9A4F3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附表：绥宁县打好“优化发展环境持久仗”重点工作任务</w:t>
      </w:r>
    </w:p>
    <w:p w14:paraId="40E6C8B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600" w:firstLineChars="5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sectPr>
          <w:pgSz w:w="11906" w:h="16838"/>
          <w:pgMar w:top="1440" w:right="1531" w:bottom="1440" w:left="1701" w:header="851" w:footer="992" w:gutter="0"/>
          <w:cols w:space="425" w:num="1"/>
          <w:docGrid w:type="lines" w:linePitch="312" w:charSpace="0"/>
        </w:sectPr>
      </w:pPr>
      <w:r>
        <w:rPr>
          <w:rFonts w:hint="eastAsia" w:ascii="仿宋" w:hAnsi="仿宋" w:eastAsia="仿宋" w:cs="仿宋"/>
          <w:color w:val="000000" w:themeColor="text1"/>
          <w:sz w:val="32"/>
          <w:szCs w:val="32"/>
          <w:lang w:val="en-US" w:eastAsia="zh-CN"/>
          <w14:textFill>
            <w14:solidFill>
              <w14:schemeClr w14:val="tx1"/>
            </w14:solidFill>
          </w14:textFill>
        </w:rPr>
        <w:t>分解表</w:t>
      </w:r>
    </w:p>
    <w:p w14:paraId="57F74937">
      <w:pPr>
        <w:pStyle w:val="8"/>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附表</w:t>
      </w:r>
    </w:p>
    <w:p w14:paraId="6AFAF8F8">
      <w:pPr>
        <w:pStyle w:val="8"/>
        <w:ind w:left="0" w:leftChars="0" w:firstLine="0" w:firstLineChars="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绥宁县打好“优化发展环境持久仗“重点工作任务分解表</w:t>
      </w:r>
    </w:p>
    <w:p w14:paraId="63010C5D">
      <w:pPr>
        <w:pStyle w:val="8"/>
        <w:ind w:left="0" w:leftChars="0" w:firstLine="0" w:firstLineChars="0"/>
        <w:rPr>
          <w:rFonts w:hint="eastAsia"/>
          <w:color w:val="000000" w:themeColor="text1"/>
          <w:lang w:val="en-US" w:eastAsia="zh-CN"/>
          <w14:textFill>
            <w14:solidFill>
              <w14:schemeClr w14:val="tx1"/>
            </w14:solidFill>
          </w14:textFill>
        </w:rPr>
      </w:pPr>
    </w:p>
    <w:tbl>
      <w:tblPr>
        <w:tblStyle w:val="9"/>
        <w:tblpPr w:leftFromText="180" w:rightFromText="180" w:vertAnchor="text" w:tblpX="93" w:tblpY="1"/>
        <w:tblOverlap w:val="never"/>
        <w:tblW w:w="137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7676"/>
        <w:gridCol w:w="3007"/>
        <w:gridCol w:w="1035"/>
        <w:gridCol w:w="1305"/>
      </w:tblGrid>
      <w:tr w14:paraId="7AF0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27829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ign w:val="center"/>
          </w:tcPr>
          <w:p w14:paraId="5FADE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7F4C2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2DAD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C5B9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县级责</w:t>
            </w:r>
          </w:p>
          <w:p w14:paraId="68C7A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任领导</w:t>
            </w:r>
          </w:p>
        </w:tc>
      </w:tr>
      <w:tr w14:paraId="151E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68" w:type="dxa"/>
            <w:gridSpan w:val="5"/>
            <w:tcBorders>
              <w:top w:val="single" w:color="000000" w:sz="4" w:space="0"/>
              <w:left w:val="single" w:color="000000" w:sz="4" w:space="0"/>
              <w:bottom w:val="single" w:color="000000" w:sz="4" w:space="0"/>
              <w:right w:val="single" w:color="000000" w:sz="4" w:space="0"/>
            </w:tcBorders>
            <w:noWrap/>
            <w:vAlign w:val="center"/>
          </w:tcPr>
          <w:p w14:paraId="26C89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一、以改革创一流环境</w:t>
            </w:r>
          </w:p>
        </w:tc>
      </w:tr>
      <w:tr w14:paraId="72A6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3165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66345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围绕民营企业发展所需的项目、资金、人才等核心要素，整合各类机构资源驻点办公</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按照民营经济“六个一”工作要求，</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设立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县民营企业服务中心，</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为民营企业提供相关公益服务，承担民营企业投诉维权的受理、登记、呈报、转办和处理结果反馈等工作；设立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“绥宁县</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政企服务热线</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”，开好民营企业家座谈会，落实好民营企业家接待日制度。</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5A108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县工商联、县发展和改革局、绥宁产业开发区管理委员会</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以下工作责任单位均包含乡镇，不再单列。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1B3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陈善昭</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唐友柏</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匡继辉</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1235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曾红亮</w:t>
            </w:r>
          </w:p>
        </w:tc>
      </w:tr>
      <w:tr w14:paraId="142C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B4AA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2F9229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优化纳税服务。全年纳税次数压减至4次，纳税累计时间压减至80小时，非接触式办税比例达到90%以上，全面推广电子发票，报税后流程指数提升2个百分比点。开展“便民办税春风行动”，优化增值税留抵退税办理流程。</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79E94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县税务局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B547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  杰</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F090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416B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2"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DE9E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6E596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推进要素市场化配置综合改革。深化土地要素市场化配置，建立健全城乡统一的建设用地市场，推进产业用地市场化配置改革，盘活用好存量建设用地。引导劳动力要素合理畅通有序流动。深化户籍制度改革，畅通劳动力和人才流动渠道，健全技术技能评价制度，加大引才引智力度。加快发展技术要素市场，培育高新技术企业4家，技术合同成交额达4.38亿元，完成入库科技型中小企业48家，全社会研发投入总量达4.5亿元。</w:t>
            </w:r>
            <w:r>
              <w:rPr>
                <w:rStyle w:val="14"/>
                <w:color w:val="000000" w:themeColor="text1"/>
                <w:lang w:val="en-US" w:eastAsia="zh-CN" w:bidi="ar"/>
                <w14:textFill>
                  <w14:solidFill>
                    <w14:schemeClr w14:val="tx1"/>
                  </w14:solidFill>
                </w14:textFill>
              </w:rPr>
              <w:t>加快培育数据要素市场。推进政府数据开放共享，提升社会数据资源价值，加强数据资源整合和安全保护。</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66534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县发展和改革局、县自然资源局、县人力资源和社会保障局、县公安局、县市场监督管理局、县商务局、县行政审批服务局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CD9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唐友柏     </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丁再荣   袁光平         </w:t>
            </w:r>
          </w:p>
          <w:p w14:paraId="77D0C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唐  彬          向祖金   徐邦东   兰  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0FDA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3693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AA6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5F4B4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75FD0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3D31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4A95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县级责任领导</w:t>
            </w:r>
          </w:p>
        </w:tc>
      </w:tr>
      <w:tr w14:paraId="3648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746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452D3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提升获得信贷水平。优化信贷融资保障服务，持续加大“信易贷”国家中小企业融资平台宣传力度，并完成有效对接，推动金融机构应用平台信息创新金融服务和产品。</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持续开展</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政府性融资担保“暖春行动”。</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F179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w:t>
            </w:r>
            <w:r>
              <w:rPr>
                <w:rFonts w:hint="eastAsia" w:ascii="宋体" w:hAnsi="宋体" w:eastAsia="宋体" w:cs="宋体"/>
                <w:i w:val="0"/>
                <w:iCs w:val="0"/>
                <w:color w:val="000000" w:themeColor="text1"/>
                <w:spacing w:val="-11"/>
                <w:kern w:val="0"/>
                <w:sz w:val="24"/>
                <w:szCs w:val="24"/>
                <w:u w:val="none"/>
                <w:lang w:val="en-US" w:eastAsia="zh-CN" w:bidi="ar"/>
                <w14:textFill>
                  <w14:solidFill>
                    <w14:schemeClr w14:val="tx1"/>
                  </w14:solidFill>
                </w14:textFill>
              </w:rPr>
              <w:t>人民银行绥宁支行、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县财政局、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县金融服务中心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B204F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唐友柏            </w:t>
            </w:r>
          </w:p>
          <w:p w14:paraId="03CEB4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肖新哲         罗  兴张克俭     </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15136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21B7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8866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323F65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全力推进"纾困增效"专项行动。坚定不移实施</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产业</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强县”战略</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，积极组织企业负担状况调查，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落实县级领导挂点和县直部门定点帮扶企业机制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，帮助企业解决生产经营和长远发展中遇到的困难问题，让企业“暖心、安心、放心、舒心</w:t>
            </w: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发展，持续开展"送政策解难题优服务"专项行动。</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159B7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9E6B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F11F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5EC4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245A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7FCBD4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持续减税降费更好助企“纾困增效</w:t>
            </w:r>
            <w: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。加强部门协作，切实抓好国家新一轮组合式减税降费政策落实，推动中央面向市场主体实施的新出台和延续实施的减税降费政策落地见效，持续减轻中小微企业和制造业企业等市场主体税费负担。</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19FFF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县财政局、县税务局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AB8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罗  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张</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杰</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59548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5975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98F3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6EC592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进一步降低市场主体制度性交易成本。及时发布</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绥宁县</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涉企收费清单，推动涉企收费公示常态化、制度化、精准化。深入推进能源、水利、资源等领域价格衔接改革。</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1F0CA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县发展和改革局、县财政局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88E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唐友柏    罗  兴</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ABB2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0198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39357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298780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断提升服务效能。落实好阶段性缓缴工伤失业保险费政策，进一步优化服务经办服务流程，实行综合柜员制。延续实施失业保险、工伤保险阶段性降费政策。2022年5月1日至2023年4月30日，全省工伤保险行业费率在全省统一的行业基准费率基础上统一下降20%，失业保险保持1％费率，执行期限至2023年4月30日。持续推进市场主体登记便利化，企业在办理登记注册时，同步完成社会保险登记，对申报资料齐全、符合条件的企业，在1个工作日内完成参保信息补录或者参保单位注销。</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3686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lang w:val="en-US" w:eastAsia="zh-CN"/>
              </w:rPr>
            </w:pPr>
            <w:r>
              <w:rPr>
                <w:rFonts w:hint="eastAsia"/>
                <w:lang w:val="en-US" w:eastAsia="zh-CN"/>
              </w:rPr>
              <w:t>县人力资源和社会保障局、</w:t>
            </w:r>
          </w:p>
          <w:p w14:paraId="5A297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县行政审批服务局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81B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袁光平</w:t>
            </w:r>
          </w:p>
          <w:p w14:paraId="13EBB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兰  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CB5A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陵建华</w:t>
            </w:r>
          </w:p>
        </w:tc>
      </w:tr>
      <w:tr w14:paraId="1553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A46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776C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3486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1611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C2C3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20D5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4B39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75C64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深化国资国企改革。坚持主业归核、产业归位、资产归集，坚持战略性重组和专业化整合协调联动，巩固提升国有资本布局优化和结构调整成果。坚持分类改革方向，处理好国企经济责任和社会责任关系。</w:t>
            </w:r>
            <w:r>
              <w:rPr>
                <w:rStyle w:val="13"/>
                <w:color w:val="000000" w:themeColor="text1"/>
                <w:lang w:val="en-US" w:eastAsia="zh-CN" w:bidi="ar"/>
                <w14:textFill>
                  <w14:solidFill>
                    <w14:schemeClr w14:val="tx1"/>
                  </w14:solidFill>
                </w14:textFill>
              </w:rPr>
              <w:t>完成国企改制扫尾工作，</w:t>
            </w:r>
            <w:r>
              <w:rPr>
                <w:rStyle w:val="14"/>
                <w:color w:val="000000" w:themeColor="text1"/>
                <w:lang w:val="en-US" w:eastAsia="zh-CN" w:bidi="ar"/>
                <w14:textFill>
                  <w14:solidFill>
                    <w14:schemeClr w14:val="tx1"/>
                  </w14:solidFill>
                </w14:textFill>
              </w:rPr>
              <w:t>完善国有企业现代公司治理，真正按市场化机制运行。</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45AB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县财政局、县城投公司、</w:t>
            </w:r>
          </w:p>
          <w:p w14:paraId="0FD78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县农投公司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52FC6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罗  兴</w:t>
            </w:r>
          </w:p>
          <w:p w14:paraId="6DFAB1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龙景佳</w:t>
            </w:r>
          </w:p>
          <w:p w14:paraId="5435224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陈历新   </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CEEC64A">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陵建华</w:t>
            </w:r>
          </w:p>
        </w:tc>
      </w:tr>
      <w:tr w14:paraId="5FD6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3768" w:type="dxa"/>
            <w:gridSpan w:val="5"/>
            <w:tcBorders>
              <w:top w:val="single" w:color="000000" w:sz="4" w:space="0"/>
              <w:left w:val="single" w:color="000000" w:sz="4" w:space="0"/>
              <w:bottom w:val="single" w:color="000000" w:sz="4" w:space="0"/>
              <w:right w:val="single" w:color="000000" w:sz="4" w:space="0"/>
            </w:tcBorders>
            <w:noWrap/>
            <w:vAlign w:val="center"/>
          </w:tcPr>
          <w:p w14:paraId="3671B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二、以开放促一流环境</w:t>
            </w:r>
          </w:p>
        </w:tc>
      </w:tr>
      <w:tr w14:paraId="143C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3CC1B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766E3B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积极融入开发新格局。围绕“一主一特”产业定位，积极融入“一带一路”、湖南自贸试验区、粤港澳大湾区等国省开发新格局，创新发展“飞地经济”，在规则、规制、管理、标准等制度型方面全面对标，复制推广改革创新成果，提升外资外贸发展规模和质量、外国高端人才和专业人才引进水平。</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03C8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县商务局、县发展和改革局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6B1E7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徐邦东</w:t>
            </w:r>
          </w:p>
          <w:p w14:paraId="7D6FCC9E">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2BDBD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彭遵礼</w:t>
            </w:r>
          </w:p>
        </w:tc>
      </w:tr>
      <w:tr w14:paraId="3D82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6FB63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4FCE22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设市场友好型投资环境。进一步提振投资者信心，提高外商来绥贸易投资洽谈便利度。全面落实外商投资国民待遇，将外商投资项目纳入全县重点建设项目予以统筹管理，建立工作专班推进机制，强化签约项目履约落地服务保障。建立外资企业、</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行业</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商业协会常态化工作机制，及时解决企业运营的困难问题。</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20FC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县商务局、县发展和改革局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85A4C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徐邦东</w:t>
            </w:r>
          </w:p>
          <w:p w14:paraId="7F6CE09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890303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彭遵礼</w:t>
            </w:r>
          </w:p>
        </w:tc>
      </w:tr>
      <w:tr w14:paraId="173C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768" w:type="dxa"/>
            <w:gridSpan w:val="5"/>
            <w:tcBorders>
              <w:top w:val="single" w:color="000000" w:sz="4" w:space="0"/>
              <w:left w:val="single" w:color="000000" w:sz="4" w:space="0"/>
              <w:bottom w:val="single" w:color="000000" w:sz="4" w:space="0"/>
              <w:right w:val="single" w:color="000000" w:sz="4" w:space="0"/>
            </w:tcBorders>
            <w:noWrap/>
            <w:vAlign w:val="center"/>
          </w:tcPr>
          <w:p w14:paraId="19133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三、以服务强一流环境</w:t>
            </w:r>
          </w:p>
        </w:tc>
      </w:tr>
      <w:tr w14:paraId="2580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4613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38C69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好用好“湘易办”超级服务端。以“湘易办”超级服务端为枢纽，打造全省移动政务服务体系，持续做好迭代、运营和推广工作。精心打造“湘易办”公众版，各部门政务服务及高频应用要按规范全量接入，打通用户体系，实现数据互通共享，深化电子证照场景应用，确保服务事项“走得通”“办得好”，力争2023年底集成可应用的电子证照种类超过20类，用户数突破10万。</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78D40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服务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市属、县直相关单位  </w:t>
            </w:r>
          </w:p>
          <w:p w14:paraId="5FCCF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5BFF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59FF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2E69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B17E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11FB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7140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23106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w:t>
            </w:r>
          </w:p>
          <w:p w14:paraId="55E4D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4137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4755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F8EF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3E1B5B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持续打造“一件事一次办”升级版。落实个人、企业、项目三个全生命周期26个主题式、套餐式“一件事”落地，2023年底前实现办证、就业、婚姻、“身后”、企业用工、员工保障、政策兑现、融资服务、招投标、用地审批等10个主题式、套餐式场景应用“一网通办”“一件事一次办”，持续打造“一件事一次办”升级版，擦亮“一件事一次办”品牌。</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325F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服务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市属、县直相关单位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9419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282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69CE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6BD6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378E2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巩固扩大“跨省通办”事项范围。</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分次分批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落地实施</w:t>
            </w:r>
            <w:r>
              <w:rPr>
                <w:rStyle w:val="13"/>
                <w:color w:val="000000" w:themeColor="text1"/>
                <w:lang w:val="en-US" w:eastAsia="zh-CN" w:bidi="ar"/>
                <w14:textFill>
                  <w14:solidFill>
                    <w14:schemeClr w14:val="tx1"/>
                  </w14:solidFill>
                </w14:textFill>
              </w:rPr>
              <w:t>162项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Style w:val="14"/>
                <w:color w:val="000000" w:themeColor="text1"/>
                <w:lang w:val="en-US" w:eastAsia="zh-CN" w:bidi="ar"/>
                <w14:textFill>
                  <w14:solidFill>
                    <w14:schemeClr w14:val="tx1"/>
                  </w14:solidFill>
                </w14:textFill>
              </w:rPr>
              <w:t>跨省通办</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Style w:val="14"/>
                <w:color w:val="000000" w:themeColor="text1"/>
                <w:lang w:val="en-US" w:eastAsia="zh-CN" w:bidi="ar"/>
                <w14:textFill>
                  <w14:solidFill>
                    <w14:schemeClr w14:val="tx1"/>
                  </w14:solidFill>
                </w14:textFill>
              </w:rPr>
              <w:t>事项。2023年6月底前实现"跨省通办"事项名称、编码、依据、类型等基本要素和受理条件、服务对象、办理流程、申请材料、办结时限、办理结果等在全国范围统一，持续推进</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Style w:val="14"/>
                <w:color w:val="000000" w:themeColor="text1"/>
                <w:lang w:val="en-US" w:eastAsia="zh-CN" w:bidi="ar"/>
                <w14:textFill>
                  <w14:solidFill>
                    <w14:schemeClr w14:val="tx1"/>
                  </w14:solidFill>
                </w14:textFill>
              </w:rPr>
              <w:t>跨省通办"事项线上、线下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Style w:val="14"/>
                <w:color w:val="000000" w:themeColor="text1"/>
                <w:lang w:val="en-US" w:eastAsia="zh-CN" w:bidi="ar"/>
                <w14:textFill>
                  <w14:solidFill>
                    <w14:schemeClr w14:val="tx1"/>
                  </w14:solidFill>
                </w14:textFill>
              </w:rPr>
              <w:t>无差别受理、同标准办理"。</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D295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县行政审批服务局，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市属、县直相关单位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F7A7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D360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7E9B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28655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71D297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优化“专窗改综窗”改革。政务大厅将分单位设置的窗口升级为综合窗口或分领域综合办事窗口，实现无差别受理；实行“前台综合受理、后台分类审批、综合窗口出件”。</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6E4DE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县行政审批服务局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F452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慧</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0E21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2385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AC68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6D9EC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打造工程项目审批制度改革3.0版。2023年，一般社会投资工程建设项目审批时间压减至55个工作日以内，政府投资工程建设项目审批时间压减至80个工作日以内。深化全覆盖创新，推行“洽谈即服务、签约即供地、开工即配套、竣工即办证”，开展“多设合一、多审合一、技审分离”改革试点，纵深推进“多测合一”改革，深入推进施工图“多图联审”。深化全流程优化，实现全县工程建设项目审批事项内部审批程序环节规范统一，推进审批管理精细化和规划审批制度改革，提升获得水电气服务水平，推进经营性项目“验收即开业”、“交房即交证”和住房全周期监管改革。深化全平台赋能，强化智慧审批和管理，进一步扩大电子证照应用范围，强化国土空间规划“一张图”的共享共用。依法依规研究通过政策性减免、政府购买服务等措施降低工程报建成本。</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5454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县住房和城乡建设局、</w:t>
            </w:r>
          </w:p>
          <w:p w14:paraId="1DE71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宋体"/>
                <w:lang w:eastAsia="zh-CN"/>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县自然资源局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18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黄始伟</w:t>
            </w:r>
          </w:p>
          <w:p w14:paraId="00441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丁再荣</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74E4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杨昌盛</w:t>
            </w:r>
          </w:p>
        </w:tc>
      </w:tr>
      <w:tr w14:paraId="4C89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8393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6391B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0DB4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C344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w:t>
            </w:r>
          </w:p>
          <w:p w14:paraId="4E6A1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3A21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7950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DA8E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547597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精准放权赋能。落地实施</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园区</w:t>
            </w:r>
            <w:r>
              <w:rPr>
                <w:rStyle w:val="14"/>
                <w:color w:val="000000" w:themeColor="text1"/>
                <w:lang w:val="en-US" w:eastAsia="zh-CN" w:bidi="ar"/>
                <w14:textFill>
                  <w14:solidFill>
                    <w14:schemeClr w14:val="tx1"/>
                  </w14:solidFill>
                </w14:textFill>
              </w:rPr>
              <w:t>赋权事项</w:t>
            </w:r>
            <w:r>
              <w:rPr>
                <w:rStyle w:val="14"/>
                <w:rFonts w:hint="eastAsia"/>
                <w:color w:val="000000" w:themeColor="text1"/>
                <w:lang w:val="en-US" w:eastAsia="zh-CN" w:bidi="ar"/>
                <w14:textFill>
                  <w14:solidFill>
                    <w14:schemeClr w14:val="tx1"/>
                  </w14:solidFill>
                </w14:textFill>
              </w:rPr>
              <w:t>158项</w:t>
            </w:r>
            <w:r>
              <w:rPr>
                <w:rStyle w:val="14"/>
                <w:color w:val="000000" w:themeColor="text1"/>
                <w:lang w:val="en-US" w:eastAsia="zh-CN" w:bidi="ar"/>
                <w14:textFill>
                  <w14:solidFill>
                    <w14:schemeClr w14:val="tx1"/>
                  </w14:solidFill>
                </w14:textFill>
              </w:rPr>
              <w:t>，并加强跟踪评估。</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2AB70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县行政审批服务局、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县委编办、县司法局、绥宁产业开发区管理委员会</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6B9E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兰  慧</w:t>
            </w:r>
          </w:p>
          <w:p w14:paraId="047D8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赖文建</w:t>
            </w:r>
          </w:p>
          <w:p w14:paraId="085F5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w:t>
            </w:r>
          </w:p>
          <w:p w14:paraId="6176D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匡继辉</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70F7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0383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26ECF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28AD9B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推进政务数据共享攻坚行动。推进各部门政务信息化系统与市“互联网＋政务服务”一体化平台的对接，统筹安排各部门政务信息系统迁移上云，形成县级政务数据目录。线上开设“政策兑现”服务主题场景应用，打造涉企政策服务平台和网上政策超市。政务服务“全程网办”事项比例达到75％以上，“一件事一次办”高频事项网上可办率达90%、掌上可办率达85%。</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63478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县行政审批服务局，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市属、县直各有关单位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2AF1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兰 慧</w:t>
            </w:r>
          </w:p>
          <w:p w14:paraId="05D19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市属、县直</w:t>
            </w:r>
          </w:p>
          <w:p w14:paraId="04E80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各有关单位负责人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3AB6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67C9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0946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D0006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加强市优化营商环境</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110平台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”转办</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办件、县营商环境监督测评点和测评员反馈问题、企业投诉反馈问题的处理力度。健全常态化跟踪问效、评价监督机制，力求诉求解决率达到90％以上、满意度达95%，让</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身在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绥宁</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、办事顺畅</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成为</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绥宁</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的亮丽名片。</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15BB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1271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86C9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6C6D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68" w:type="dxa"/>
            <w:gridSpan w:val="5"/>
            <w:tcBorders>
              <w:top w:val="single" w:color="000000" w:sz="4" w:space="0"/>
              <w:left w:val="single" w:color="000000" w:sz="4" w:space="0"/>
              <w:bottom w:val="single" w:color="000000" w:sz="4" w:space="0"/>
              <w:right w:val="single" w:color="000000" w:sz="4" w:space="0"/>
            </w:tcBorders>
            <w:noWrap/>
            <w:vAlign w:val="center"/>
          </w:tcPr>
          <w:p w14:paraId="0DD81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四、以法治护一流环境</w:t>
            </w:r>
          </w:p>
        </w:tc>
      </w:tr>
      <w:tr w14:paraId="4506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97A2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32DB6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持续推进优化营商环境三年行动计划，明确细化2023年重点工作任务。扎实做好省营商环境评价工作，力争获得省政府真抓实干激励。</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35A51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2985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5CF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66B4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3896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EA0E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7D704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593F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w:t>
            </w:r>
          </w:p>
          <w:p w14:paraId="4D0F2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A2B3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0118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7CA8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7FB5B0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建立健全商事主体参与立法机制，实现商事主体在立法制定前的征求意见到制定后的调研和评估全过程参与。全面建设各类所有制企业一视同仁的市场环境和公平公正的法治环境。</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1940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县司法局、县发展和改革局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F1C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唐友柏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80B32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黎  军</w:t>
            </w:r>
          </w:p>
        </w:tc>
      </w:tr>
      <w:tr w14:paraId="0DAA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FD76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379A8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维护生产经营秩序。开展涉企行政执法突出问题专项整治行动，严厉打击“衣食住行”市场中的乱象、金融领域非法集资、工程建设领域恶意竞标和强揽工程等破坏市场经营秩序的违法犯罪行为以及市场主体反映的不作为、慢作为、乱作为、逐利执法等问题。</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FBE4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县市场监督管理局、县司法局、</w:t>
            </w:r>
            <w:r>
              <w:rPr>
                <w:rFonts w:hint="eastAsia" w:ascii="宋体" w:hAnsi="宋体" w:eastAsia="宋体" w:cs="宋体"/>
                <w:i w:val="0"/>
                <w:iCs w:val="0"/>
                <w:color w:val="000000" w:themeColor="text1"/>
                <w:spacing w:val="-11"/>
                <w:kern w:val="0"/>
                <w:sz w:val="24"/>
                <w:szCs w:val="24"/>
                <w:u w:val="none"/>
                <w:lang w:val="en-US" w:eastAsia="zh-CN" w:bidi="ar"/>
                <w14:textFill>
                  <w14:solidFill>
                    <w14:schemeClr w14:val="tx1"/>
                  </w14:solidFill>
                </w14:textFill>
              </w:rPr>
              <w:t>县住房和城乡建设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局、县交通运输局、县农业农村水利局、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市生态环境局绥宁分局、</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县行政审批服务局、      县金融</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服务中心、县公安局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D058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向祖金</w:t>
            </w:r>
          </w:p>
          <w:p w14:paraId="7D10E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w:t>
            </w:r>
          </w:p>
          <w:p w14:paraId="643D2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黄始伟</w:t>
            </w:r>
          </w:p>
          <w:p w14:paraId="06B9A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陈又清</w:t>
            </w:r>
          </w:p>
          <w:p w14:paraId="4238F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李  彬</w:t>
            </w:r>
          </w:p>
          <w:p w14:paraId="18B01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袁惠雄</w:t>
            </w:r>
          </w:p>
          <w:p w14:paraId="2D2F2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兰  慧</w:t>
            </w:r>
          </w:p>
          <w:p w14:paraId="70BBB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张克俭</w:t>
            </w:r>
          </w:p>
          <w:p w14:paraId="6BBD1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唐  彬</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9AB54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2BA7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9568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25BD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全面落实“三项制度”。即落实行政执法公示、执法过程全记录、重大执法决定法制审核“三项制度”，大力推进严格规范公正文明执法。</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CCE8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县司法局，</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市属、县直</w:t>
            </w:r>
          </w:p>
          <w:p w14:paraId="7BB6D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各有关单位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A9266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于成伟市属、县直</w:t>
            </w:r>
          </w:p>
          <w:p w14:paraId="616A30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各有关单位负责人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1F1C5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黎  军</w:t>
            </w:r>
          </w:p>
        </w:tc>
      </w:tr>
      <w:tr w14:paraId="2737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FC9C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4A2296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加大涉企业纠纷多元解纷力度。与总工会、人社部门等建立诉调对接机制，完善劳动争议等纠纷的多元解纷制度；进一步落实金融纠纷、知识产权纠纷等诉调对接制度，推动相关机制有效运转。进一步完善繁简分流制度，促进</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一审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民商事案件简案快审，快审案件平均审理期限25天。加强绥宁产业开发区诉源治理工作</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推进</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，建立涉园区纠纷立、审、执绿色通道</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B424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县人民法院、县司法局、</w:t>
            </w:r>
          </w:p>
          <w:p w14:paraId="35442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县人力资源和社会保障局、县总工会</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70B89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谭历伟</w:t>
            </w:r>
          </w:p>
          <w:p w14:paraId="661733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w:t>
            </w:r>
          </w:p>
          <w:p w14:paraId="57A555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袁光平</w:t>
            </w:r>
          </w:p>
          <w:p w14:paraId="7561B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杨志剑</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8AA45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张  乐</w:t>
            </w:r>
          </w:p>
          <w:p w14:paraId="445C70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黎  军</w:t>
            </w:r>
          </w:p>
          <w:p w14:paraId="63FE6D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AB2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82F3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33ECA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3226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01AC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w:t>
            </w:r>
          </w:p>
          <w:p w14:paraId="37E51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4361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5410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9"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7F88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247F4E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推动司法行政部门与法院建立信息数据共享机制、行政应诉监督机制、共同化解行政争议机制，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一审案件服判息诉率达92%、首执案件实际执行到位率达60%，完善</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民刑</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审判的监督制度，在审理过程中充分发挥监督与纠错的作用。建立政务诚信诉求执行协调机制，督导相关单位及时履行生效的司法判决。积极推动网络司法拍卖，构建完善执行队伍人员考核评价体系。</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EE13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县人民法院、县司法局</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4B6C600">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谭历伟</w:t>
            </w:r>
          </w:p>
          <w:p w14:paraId="5ADDC52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于成伟</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0DC2E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黎  军</w:t>
            </w:r>
          </w:p>
          <w:p w14:paraId="1BEBA63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张  乐</w:t>
            </w:r>
          </w:p>
        </w:tc>
      </w:tr>
      <w:tr w14:paraId="1342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24FB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4BAA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继续开展涉金融、涉民营企业案件专项执行行动，努力实现申请执行人胜诉债权，构建诚信社会。继续坚持善意文明执行、在法律允许范围内尽量采用"活查封"等方式，减少对被执行人企业生产经营的影响，避免因法院查封导致企业破产。突出执行工作强制性，加大打击拒执力度，充分适用拘留、罚款等强制执行措施。推动信息化执行发展  ，数据化执行手段100％覆盖，保障执行高效、有序运行。</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B3A1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县人民法院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F3DEF4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谭历伟</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6C1A6A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张  乐</w:t>
            </w:r>
          </w:p>
        </w:tc>
      </w:tr>
      <w:tr w14:paraId="287D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7905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28C68A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面推开企业合规案件办理，按照省院的要求对逮捕、审查起诉、不起诉的案件进行逐级审批。提前介入公安机关侦查监察机关调查的案件时，提出对涉案财产的处置的建议。对公安机关随意查封扣押冻结财产的情况开展专项监督活动。</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41269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县人民检察院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D6347B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杨  超</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B289175">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王瑞平</w:t>
            </w:r>
          </w:p>
        </w:tc>
      </w:tr>
      <w:tr w14:paraId="7033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65560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78FA48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推进政务诚信和商务诚信提升工程，加强“双公示”信息共享，确保“双公示”信息报送合规率达到100%，迟报率、瞒报率双清零；将水、电、气等“七类十八项”涉企数据纳入信用信息共享范围并全量报送。在各行业、各领域开展企业信用评级工作，并根据企业信用等级实施分级分类监管；在行政审批、行政许可、行政处罚、财政资金补助、招标投标等领域全面开展信用核查，做到逢办必查。将政府违约毁约、拖欠账款、拒不履行司法裁决等失信信息纳入社会信用信息共享平台并向社会公示。</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1AFFE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县发展和改革局、县社会</w:t>
            </w:r>
          </w:p>
          <w:p w14:paraId="0C686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信用体系建设领导小组</w:t>
            </w:r>
          </w:p>
          <w:p w14:paraId="0ED0F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各成员单位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D7A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唐友柏    各相关单位主要负责人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C781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r w14:paraId="390E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9A2E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1C9D1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重点工作任务</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5C19F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主要责任单位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E26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主要</w:t>
            </w:r>
          </w:p>
          <w:p w14:paraId="74CFA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责任人</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B404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县级责任领导</w:t>
            </w:r>
          </w:p>
        </w:tc>
      </w:tr>
      <w:tr w14:paraId="6CAC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621B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7676" w:type="dxa"/>
            <w:tcBorders>
              <w:top w:val="single" w:color="000000" w:sz="4" w:space="0"/>
              <w:left w:val="single" w:color="000000" w:sz="4" w:space="0"/>
              <w:bottom w:val="single" w:color="000000" w:sz="4" w:space="0"/>
              <w:right w:val="single" w:color="000000" w:sz="4" w:space="0"/>
            </w:tcBorders>
            <w:noWrap w:val="0"/>
            <w:vAlign w:val="center"/>
          </w:tcPr>
          <w:p w14:paraId="07F9E1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防范和化解拖欠中小企业账款。将清理政府部门和国有企业拖欠民营企业账款工作纳入对各单位各部门年终绩效考核，推动政府机关、事业单位和大型企业拖欠中小企业账款动态清零。建立问题台账，及时处理民营企业投诉举报欠款问题线索。加强政府投资项目监管，从源头上预防新增拖欠。将政府违约毁约、国企拖欠民企账款、拒不履行司法裁决等失信事项纳入审计范围，加强审计监督。认真落实国务院《保障中小企业款项支付条例》有关规定，按履约进度或定期（一般按季）验收，30日内支付款项，最长不得超过60日。</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C498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县发展和改革局、             县财政局、县审计局  </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439096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唐友柏</w:t>
            </w:r>
          </w:p>
          <w:p w14:paraId="00889B82">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罗  兴</w:t>
            </w:r>
          </w:p>
          <w:p w14:paraId="0AE04F26">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张小文</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DF09F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陵建华</w:t>
            </w:r>
          </w:p>
        </w:tc>
      </w:tr>
    </w:tbl>
    <w:p w14:paraId="3B4C5BB7">
      <w:pPr>
        <w:pStyle w:val="8"/>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color w:val="000000" w:themeColor="text1"/>
          <w:sz w:val="32"/>
          <w:szCs w:val="32"/>
          <w:lang w:val="en-US" w:eastAsia="zh-CN"/>
          <w14:textFill>
            <w14:solidFill>
              <w14:schemeClr w14:val="tx1"/>
            </w14:solidFill>
          </w14:textFill>
        </w:rPr>
        <w:sectPr>
          <w:pgSz w:w="16838" w:h="11906" w:orient="landscape"/>
          <w:pgMar w:top="1701" w:right="1440" w:bottom="1531" w:left="1440" w:header="851" w:footer="992" w:gutter="0"/>
          <w:cols w:space="425" w:num="1"/>
          <w:docGrid w:type="lines" w:linePitch="312" w:charSpace="0"/>
        </w:sectPr>
      </w:pPr>
    </w:p>
    <w:p w14:paraId="6D766B37">
      <w:pPr>
        <w:keepNext w:val="0"/>
        <w:keepLines w:val="0"/>
        <w:pageBreakBefore w:val="0"/>
        <w:kinsoku/>
        <w:wordWrap/>
        <w:overflowPunct/>
        <w:topLinePunct w:val="0"/>
        <w:autoSpaceDE/>
        <w:autoSpaceDN/>
        <w:bidi w:val="0"/>
        <w:adjustRightInd/>
        <w:spacing w:line="560" w:lineRule="exact"/>
        <w:jc w:val="both"/>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附件5   </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 xml:space="preserve">                                                        </w:t>
      </w:r>
    </w:p>
    <w:p w14:paraId="3922A9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绥宁县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打好防范化解风险阻击仗工作方案</w:t>
      </w:r>
    </w:p>
    <w:p w14:paraId="57CAE9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14:paraId="4646E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为更好统筹发展和安全，坚持底线思维，增强</w:t>
      </w:r>
      <w:r>
        <w:rPr>
          <w:rFonts w:hint="eastAsia" w:ascii="仿宋" w:hAnsi="仿宋" w:eastAsia="仿宋" w:cs="仿宋"/>
          <w:color w:val="000000" w:themeColor="text1"/>
          <w:sz w:val="32"/>
          <w:szCs w:val="32"/>
          <w:lang w:val="en-US" w:eastAsia="zh-CN"/>
          <w14:textFill>
            <w14:solidFill>
              <w14:schemeClr w14:val="tx1"/>
            </w14:solidFill>
          </w14:textFill>
        </w:rPr>
        <w:t>忧患</w:t>
      </w:r>
      <w:r>
        <w:rPr>
          <w:rFonts w:hint="eastAsia" w:ascii="仿宋" w:hAnsi="仿宋" w:eastAsia="仿宋" w:cs="仿宋"/>
          <w:color w:val="000000" w:themeColor="text1"/>
          <w:sz w:val="32"/>
          <w:szCs w:val="32"/>
          <w14:textFill>
            <w14:solidFill>
              <w14:schemeClr w14:val="tx1"/>
            </w14:solidFill>
          </w14:textFill>
        </w:rPr>
        <w:t>意识，提高防控能力，着力防范化解重大风险，确保经济持续健康发展和社会大局稳定，特制定本方案。</w:t>
      </w:r>
    </w:p>
    <w:p w14:paraId="4F402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一、工作目标</w:t>
      </w:r>
    </w:p>
    <w:p w14:paraId="2F766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化解</w:t>
      </w:r>
      <w:r>
        <w:rPr>
          <w:rFonts w:hint="eastAsia" w:ascii="仿宋" w:hAnsi="仿宋" w:eastAsia="仿宋" w:cs="仿宋"/>
          <w:color w:val="000000" w:themeColor="text1"/>
          <w:sz w:val="32"/>
          <w:szCs w:val="32"/>
          <w:lang w:val="en-US" w:eastAsia="zh-CN"/>
          <w14:textFill>
            <w14:solidFill>
              <w14:schemeClr w14:val="tx1"/>
            </w14:solidFill>
          </w14:textFill>
        </w:rPr>
        <w:t>政府</w:t>
      </w:r>
      <w:r>
        <w:rPr>
          <w:rFonts w:hint="eastAsia" w:ascii="仿宋" w:hAnsi="仿宋" w:eastAsia="仿宋" w:cs="仿宋"/>
          <w:color w:val="000000" w:themeColor="text1"/>
          <w:sz w:val="32"/>
          <w:szCs w:val="32"/>
          <w14:textFill>
            <w14:solidFill>
              <w14:schemeClr w14:val="tx1"/>
            </w14:solidFill>
          </w14:textFill>
        </w:rPr>
        <w:t>债务风险，严禁新增政府隐性债务，组织各级筹集资金化解债务，按时完成政府债券发行任务，按照“六个一批”措施缓释到期债务风险，推进平</w:t>
      </w:r>
      <w:r>
        <w:rPr>
          <w:rFonts w:hint="eastAsia" w:ascii="仿宋" w:hAnsi="仿宋" w:eastAsia="仿宋" w:cs="仿宋"/>
          <w:color w:val="000000" w:themeColor="text1"/>
          <w:sz w:val="32"/>
          <w:szCs w:val="32"/>
          <w:lang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公司“关停并转”。化解金融风险，全</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金融领域重大风险点得到有序处置，金融乱象得到有效遏制，金融生态环境持续优化。化解地产风险，做好风险项目的信息预警、</w:t>
      </w:r>
      <w:r>
        <w:rPr>
          <w:rFonts w:hint="eastAsia" w:ascii="仿宋" w:hAnsi="仿宋" w:eastAsia="仿宋" w:cs="仿宋"/>
          <w:color w:val="000000" w:themeColor="text1"/>
          <w:sz w:val="32"/>
          <w:szCs w:val="32"/>
          <w:lang w:val="en-US" w:eastAsia="zh-CN"/>
          <w14:textFill>
            <w14:solidFill>
              <w14:schemeClr w14:val="tx1"/>
            </w14:solidFill>
          </w14:textFill>
        </w:rPr>
        <w:t>隐患</w:t>
      </w:r>
      <w:r>
        <w:rPr>
          <w:rFonts w:hint="eastAsia" w:ascii="仿宋" w:hAnsi="仿宋" w:eastAsia="仿宋" w:cs="仿宋"/>
          <w:color w:val="000000" w:themeColor="text1"/>
          <w:sz w:val="32"/>
          <w:szCs w:val="32"/>
          <w14:textFill>
            <w14:solidFill>
              <w14:schemeClr w14:val="tx1"/>
            </w14:solidFill>
          </w14:textFill>
        </w:rPr>
        <w:t>排查、应急处置等各项工作，推动房地产市场平稳健康发展。化解疫情风险，认真落实“乙类乙管”，突出“保健康、防重症”，最大程度保护群众生命安全、</w:t>
      </w:r>
      <w:r>
        <w:rPr>
          <w:rFonts w:hint="eastAsia" w:ascii="仿宋" w:hAnsi="仿宋" w:eastAsia="仿宋" w:cs="仿宋"/>
          <w:color w:val="000000" w:themeColor="text1"/>
          <w:sz w:val="32"/>
          <w:szCs w:val="32"/>
          <w:lang w:val="en-US" w:eastAsia="zh-CN"/>
          <w14:textFill>
            <w14:solidFill>
              <w14:schemeClr w14:val="tx1"/>
            </w14:solidFill>
          </w14:textFill>
        </w:rPr>
        <w:t>减少</w:t>
      </w:r>
      <w:r>
        <w:rPr>
          <w:rFonts w:hint="eastAsia" w:ascii="仿宋" w:hAnsi="仿宋" w:eastAsia="仿宋" w:cs="仿宋"/>
          <w:color w:val="000000" w:themeColor="text1"/>
          <w:sz w:val="32"/>
          <w:szCs w:val="32"/>
          <w14:textFill>
            <w14:solidFill>
              <w14:schemeClr w14:val="tx1"/>
            </w14:solidFill>
          </w14:textFill>
        </w:rPr>
        <w:t>疫情影响。化解极端天气引发的风险，“立足防、超前治、科学救”，将极端天气</w:t>
      </w:r>
      <w:r>
        <w:rPr>
          <w:rFonts w:hint="eastAsia" w:ascii="仿宋" w:hAnsi="仿宋" w:eastAsia="仿宋" w:cs="仿宋"/>
          <w:color w:val="000000" w:themeColor="text1"/>
          <w:sz w:val="32"/>
          <w:szCs w:val="32"/>
          <w:lang w:val="en-US" w:eastAsia="zh-CN"/>
          <w14:textFill>
            <w14:solidFill>
              <w14:schemeClr w14:val="tx1"/>
            </w14:solidFill>
          </w14:textFill>
        </w:rPr>
        <w:t>灾害</w:t>
      </w:r>
      <w:r>
        <w:rPr>
          <w:rFonts w:hint="eastAsia" w:ascii="仿宋" w:hAnsi="仿宋" w:eastAsia="仿宋" w:cs="仿宋"/>
          <w:color w:val="000000" w:themeColor="text1"/>
          <w:sz w:val="32"/>
          <w:szCs w:val="32"/>
          <w14:textFill>
            <w14:solidFill>
              <w14:schemeClr w14:val="tx1"/>
            </w14:solidFill>
          </w14:textFill>
        </w:rPr>
        <w:t>损失降至最低，确保生产生活有序、社会大局稳定。</w:t>
      </w:r>
    </w:p>
    <w:p w14:paraId="054B0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二、工作任务</w:t>
      </w:r>
    </w:p>
    <w:p w14:paraId="28031B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防范化解政府债务风险（</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县财政局</w:t>
      </w:r>
      <w:r>
        <w:rPr>
          <w:rFonts w:hint="eastAsia" w:ascii="楷体_GB2312" w:hAnsi="楷体_GB2312" w:eastAsia="楷体_GB2312" w:cs="楷体_GB2312"/>
          <w:b/>
          <w:bCs/>
          <w:color w:val="000000" w:themeColor="text1"/>
          <w:sz w:val="32"/>
          <w:szCs w:val="32"/>
          <w14:textFill>
            <w14:solidFill>
              <w14:schemeClr w14:val="tx1"/>
            </w14:solidFill>
          </w14:textFill>
        </w:rPr>
        <w:t>牵头</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p>
    <w:p w14:paraId="436B2A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1.严格遏制新增政府隐性债务。</w:t>
      </w:r>
      <w:r>
        <w:rPr>
          <w:rFonts w:hint="eastAsia" w:ascii="仿宋" w:hAnsi="仿宋" w:eastAsia="仿宋" w:cs="仿宋"/>
          <w:color w:val="000000" w:themeColor="text1"/>
          <w:sz w:val="32"/>
          <w:szCs w:val="32"/>
          <w14:textFill>
            <w14:solidFill>
              <w14:schemeClr w14:val="tx1"/>
            </w14:solidFill>
          </w14:textFill>
        </w:rPr>
        <w:t>落实规范政府投资项目</w:t>
      </w:r>
      <w:r>
        <w:rPr>
          <w:rFonts w:hint="eastAsia" w:ascii="仿宋" w:hAnsi="仿宋" w:eastAsia="仿宋" w:cs="仿宋"/>
          <w:color w:val="000000" w:themeColor="text1"/>
          <w:sz w:val="32"/>
          <w:szCs w:val="32"/>
          <w:lang w:val="en-US" w:eastAsia="zh-CN"/>
          <w14:textFill>
            <w14:solidFill>
              <w14:schemeClr w14:val="tx1"/>
            </w14:solidFill>
          </w14:textFill>
        </w:rPr>
        <w:t>立项</w:t>
      </w:r>
      <w:r>
        <w:rPr>
          <w:rFonts w:hint="eastAsia" w:ascii="仿宋" w:hAnsi="仿宋" w:eastAsia="仿宋" w:cs="仿宋"/>
          <w:color w:val="000000" w:themeColor="text1"/>
          <w:sz w:val="32"/>
          <w:szCs w:val="32"/>
          <w14:textFill>
            <w14:solidFill>
              <w14:schemeClr w14:val="tx1"/>
            </w14:solidFill>
          </w14:textFill>
        </w:rPr>
        <w:t>管理办法，执行高风险地区上级财政开工核准制。深化违规举债和</w:t>
      </w:r>
      <w:r>
        <w:rPr>
          <w:rFonts w:hint="eastAsia" w:ascii="仿宋" w:hAnsi="仿宋" w:eastAsia="仿宋" w:cs="仿宋"/>
          <w:color w:val="000000" w:themeColor="text1"/>
          <w:sz w:val="32"/>
          <w:szCs w:val="32"/>
          <w:lang w:val="en-US" w:eastAsia="zh-CN"/>
          <w14:textFill>
            <w14:solidFill>
              <w14:schemeClr w14:val="tx1"/>
            </w14:solidFill>
          </w14:textFill>
        </w:rPr>
        <w:t>虚假</w:t>
      </w:r>
      <w:r>
        <w:rPr>
          <w:rFonts w:hint="eastAsia" w:ascii="仿宋" w:hAnsi="仿宋" w:eastAsia="仿宋" w:cs="仿宋"/>
          <w:color w:val="000000" w:themeColor="text1"/>
          <w:sz w:val="32"/>
          <w:szCs w:val="32"/>
          <w14:textFill>
            <w14:solidFill>
              <w14:schemeClr w14:val="tx1"/>
            </w14:solidFill>
          </w14:textFill>
        </w:rPr>
        <w:t>化债专项监督，加大执纪问责力度。加强债务管理工作考核，将防范化解债务风险纳入</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委</w:t>
      </w:r>
      <w:r>
        <w:rPr>
          <w:rFonts w:hint="eastAsia" w:ascii="仿宋" w:hAnsi="仿宋" w:eastAsia="仿宋" w:cs="仿宋"/>
          <w:color w:val="000000" w:themeColor="text1"/>
          <w:sz w:val="32"/>
          <w:szCs w:val="32"/>
          <w:lang w:val="en-US" w:eastAsia="zh-CN"/>
          <w14:textFill>
            <w14:solidFill>
              <w14:schemeClr w14:val="tx1"/>
            </w14:solidFill>
          </w14:textFill>
        </w:rPr>
        <w:t>巡察</w:t>
      </w:r>
      <w:r>
        <w:rPr>
          <w:rFonts w:hint="eastAsia" w:ascii="仿宋" w:hAnsi="仿宋" w:eastAsia="仿宋" w:cs="仿宋"/>
          <w:color w:val="000000" w:themeColor="text1"/>
          <w:sz w:val="32"/>
          <w:szCs w:val="32"/>
          <w14:textFill>
            <w14:solidFill>
              <w14:schemeClr w14:val="tx1"/>
            </w14:solidFill>
          </w14:textFill>
        </w:rPr>
        <w:t>、绩效考核、真抓实</w:t>
      </w:r>
      <w:r>
        <w:rPr>
          <w:rFonts w:hint="eastAsia" w:ascii="仿宋" w:hAnsi="仿宋" w:eastAsia="仿宋" w:cs="仿宋"/>
          <w:color w:val="000000" w:themeColor="text1"/>
          <w:sz w:val="32"/>
          <w:szCs w:val="32"/>
          <w:lang w:val="en-US" w:eastAsia="zh-CN"/>
          <w14:textFill>
            <w14:solidFill>
              <w14:schemeClr w14:val="tx1"/>
            </w14:solidFill>
          </w14:textFill>
        </w:rPr>
        <w:t>干</w:t>
      </w:r>
      <w:r>
        <w:rPr>
          <w:rFonts w:hint="eastAsia" w:ascii="仿宋" w:hAnsi="仿宋" w:eastAsia="仿宋" w:cs="仿宋"/>
          <w:color w:val="000000" w:themeColor="text1"/>
          <w:sz w:val="32"/>
          <w:szCs w:val="32"/>
          <w14:textFill>
            <w14:solidFill>
              <w14:schemeClr w14:val="tx1"/>
            </w14:solidFill>
          </w14:textFill>
        </w:rPr>
        <w:t>、审计等的重点范围。</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县纪委监委</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县委巡察办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县委组织部&lt;</w:t>
      </w:r>
      <w:r>
        <w:rPr>
          <w:rFonts w:hint="eastAsia" w:ascii="仿宋" w:hAnsi="仿宋" w:eastAsia="仿宋" w:cs="仿宋"/>
          <w:color w:val="000000" w:themeColor="text1"/>
          <w:sz w:val="32"/>
          <w:szCs w:val="32"/>
          <w:lang w:eastAsia="zh-CN"/>
          <w14:textFill>
            <w14:solidFill>
              <w14:schemeClr w14:val="tx1"/>
            </w14:solidFill>
          </w14:textFill>
        </w:rPr>
        <w:t>县委考评</w:t>
      </w:r>
      <w:r>
        <w:rPr>
          <w:rFonts w:hint="eastAsia" w:ascii="仿宋" w:hAnsi="仿宋" w:eastAsia="仿宋" w:cs="仿宋"/>
          <w:color w:val="000000" w:themeColor="text1"/>
          <w:sz w:val="32"/>
          <w:szCs w:val="32"/>
          <w:lang w:val="en-US" w:eastAsia="zh-CN"/>
          <w14:textFill>
            <w14:solidFill>
              <w14:schemeClr w14:val="tx1"/>
            </w14:solidFill>
          </w14:textFill>
        </w:rPr>
        <w:t>办&gt;、</w:t>
      </w:r>
      <w:r>
        <w:rPr>
          <w:rFonts w:hint="eastAsia" w:ascii="仿宋" w:hAnsi="仿宋" w:eastAsia="仿宋" w:cs="仿宋"/>
          <w:color w:val="000000" w:themeColor="text1"/>
          <w:sz w:val="32"/>
          <w:szCs w:val="32"/>
          <w:lang w:eastAsia="zh-CN"/>
          <w14:textFill>
            <w14:solidFill>
              <w14:schemeClr w14:val="tx1"/>
            </w14:solidFill>
          </w14:textFill>
        </w:rPr>
        <w:t>县审计局、</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绥宁产业开发区管理委员会、县城投公司</w:t>
      </w:r>
      <w:r>
        <w:rPr>
          <w:rFonts w:hint="eastAsia" w:ascii="仿宋" w:hAnsi="仿宋" w:eastAsia="仿宋" w:cs="仿宋"/>
          <w:color w:val="000000" w:themeColor="text1"/>
          <w:sz w:val="32"/>
          <w:szCs w:val="32"/>
          <w14:textFill>
            <w14:solidFill>
              <w14:schemeClr w14:val="tx1"/>
            </w14:solidFill>
          </w14:textFill>
        </w:rPr>
        <w:t>等负责</w:t>
      </w:r>
      <w:r>
        <w:rPr>
          <w:rFonts w:hint="eastAsia" w:ascii="仿宋" w:hAnsi="仿宋" w:eastAsia="仿宋" w:cs="仿宋"/>
          <w:color w:val="000000" w:themeColor="text1"/>
          <w:sz w:val="32"/>
          <w:szCs w:val="32"/>
          <w:lang w:eastAsia="zh-CN"/>
          <w14:textFill>
            <w14:solidFill>
              <w14:schemeClr w14:val="tx1"/>
            </w14:solidFill>
          </w14:textFill>
        </w:rPr>
        <w:t>）</w:t>
      </w:r>
    </w:p>
    <w:p w14:paraId="117CDA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多措并举化解存量债务。</w:t>
      </w:r>
      <w:r>
        <w:rPr>
          <w:rFonts w:hint="eastAsia" w:ascii="仿宋" w:hAnsi="仿宋" w:eastAsia="仿宋" w:cs="仿宋"/>
          <w:color w:val="000000" w:themeColor="text1"/>
          <w:sz w:val="32"/>
          <w:szCs w:val="32"/>
          <w14:textFill>
            <w14:solidFill>
              <w14:schemeClr w14:val="tx1"/>
            </w14:solidFill>
          </w14:textFill>
        </w:rPr>
        <w:t>组织各级多渠道筹集资金化解债务，优先保障付息，严禁</w:t>
      </w:r>
      <w:r>
        <w:rPr>
          <w:rFonts w:hint="eastAsia" w:ascii="仿宋" w:hAnsi="仿宋" w:eastAsia="仿宋" w:cs="仿宋"/>
          <w:color w:val="000000" w:themeColor="text1"/>
          <w:sz w:val="32"/>
          <w:szCs w:val="32"/>
          <w:lang w:val="en-US" w:eastAsia="zh-CN"/>
          <w14:textFill>
            <w14:solidFill>
              <w14:schemeClr w14:val="tx1"/>
            </w14:solidFill>
          </w14:textFill>
        </w:rPr>
        <w:t>虚假</w:t>
      </w:r>
      <w:r>
        <w:rPr>
          <w:rFonts w:hint="eastAsia" w:ascii="仿宋" w:hAnsi="仿宋" w:eastAsia="仿宋" w:cs="仿宋"/>
          <w:color w:val="000000" w:themeColor="text1"/>
          <w:sz w:val="32"/>
          <w:szCs w:val="32"/>
          <w14:textFill>
            <w14:solidFill>
              <w14:schemeClr w14:val="tx1"/>
            </w14:solidFill>
          </w14:textFill>
        </w:rPr>
        <w:t>化债和</w:t>
      </w:r>
      <w:r>
        <w:rPr>
          <w:rFonts w:hint="eastAsia" w:ascii="仿宋" w:hAnsi="仿宋" w:eastAsia="仿宋" w:cs="仿宋"/>
          <w:color w:val="000000" w:themeColor="text1"/>
          <w:sz w:val="32"/>
          <w:szCs w:val="32"/>
          <w:lang w:val="en-US" w:eastAsia="zh-CN"/>
          <w14:textFill>
            <w14:solidFill>
              <w14:schemeClr w14:val="tx1"/>
            </w14:solidFill>
          </w14:textFill>
        </w:rPr>
        <w:t>数字</w:t>
      </w:r>
      <w:r>
        <w:rPr>
          <w:rFonts w:hint="eastAsia" w:ascii="仿宋" w:hAnsi="仿宋" w:eastAsia="仿宋" w:cs="仿宋"/>
          <w:color w:val="000000" w:themeColor="text1"/>
          <w:sz w:val="32"/>
          <w:szCs w:val="32"/>
          <w14:textFill>
            <w14:solidFill>
              <w14:schemeClr w14:val="tx1"/>
            </w14:solidFill>
          </w14:textFill>
        </w:rPr>
        <w:t>化债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落实化债部门</w:t>
      </w:r>
      <w:r>
        <w:rPr>
          <w:rFonts w:hint="eastAsia" w:ascii="仿宋" w:hAnsi="仿宋" w:eastAsia="仿宋" w:cs="仿宋"/>
          <w:color w:val="000000" w:themeColor="text1"/>
          <w:sz w:val="32"/>
          <w:szCs w:val="32"/>
          <w:lang w:val="en-US" w:eastAsia="zh-CN"/>
          <w14:textFill>
            <w14:solidFill>
              <w14:schemeClr w14:val="tx1"/>
            </w14:solidFill>
          </w14:textFill>
        </w:rPr>
        <w:t>责任</w:t>
      </w:r>
      <w:r>
        <w:rPr>
          <w:rFonts w:hint="eastAsia" w:ascii="仿宋" w:hAnsi="仿宋" w:eastAsia="仿宋" w:cs="仿宋"/>
          <w:color w:val="000000" w:themeColor="text1"/>
          <w:sz w:val="32"/>
          <w:szCs w:val="32"/>
          <w14:textFill>
            <w14:solidFill>
              <w14:schemeClr w14:val="tx1"/>
            </w14:solidFill>
          </w14:textFill>
        </w:rPr>
        <w:t>制。</w:t>
      </w:r>
      <w:r>
        <w:rPr>
          <w:rFonts w:hint="eastAsia" w:ascii="仿宋" w:hAnsi="仿宋" w:eastAsia="仿宋" w:cs="仿宋"/>
          <w:color w:val="000000" w:themeColor="text1"/>
          <w:sz w:val="32"/>
          <w:szCs w:val="32"/>
          <w:lang w:val="en-US" w:eastAsia="zh-CN"/>
          <w14:textFill>
            <w14:solidFill>
              <w14:schemeClr w14:val="tx1"/>
            </w14:solidFill>
          </w14:textFill>
        </w:rPr>
        <w:t>创造条件开展</w:t>
      </w:r>
      <w:r>
        <w:rPr>
          <w:rFonts w:hint="eastAsia" w:ascii="仿宋" w:hAnsi="仿宋" w:eastAsia="仿宋" w:cs="仿宋"/>
          <w:color w:val="000000" w:themeColor="text1"/>
          <w:sz w:val="32"/>
          <w:szCs w:val="32"/>
          <w14:textFill>
            <w14:solidFill>
              <w14:schemeClr w14:val="tx1"/>
            </w14:solidFill>
          </w14:textFill>
        </w:rPr>
        <w:t>风险等级“创绿”、政府隐性债务“清零”试点。（</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绥宁产业开发区管理委员会、县城投公司、</w:t>
      </w:r>
      <w:r>
        <w:rPr>
          <w:rFonts w:hint="eastAsia" w:ascii="仿宋" w:hAnsi="仿宋" w:eastAsia="仿宋" w:cs="仿宋"/>
          <w:color w:val="000000" w:themeColor="text1"/>
          <w:sz w:val="32"/>
          <w:szCs w:val="32"/>
          <w14:textFill>
            <w14:solidFill>
              <w14:schemeClr w14:val="tx1"/>
            </w14:solidFill>
          </w14:textFill>
        </w:rPr>
        <w:t>相关</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直部门等负责)</w:t>
      </w:r>
    </w:p>
    <w:p w14:paraId="369C23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3.常态化监测预警债务风险。</w:t>
      </w:r>
      <w:r>
        <w:rPr>
          <w:rFonts w:hint="eastAsia" w:ascii="仿宋" w:hAnsi="仿宋" w:eastAsia="仿宋" w:cs="仿宋"/>
          <w:color w:val="000000" w:themeColor="text1"/>
          <w:sz w:val="32"/>
          <w:szCs w:val="32"/>
          <w14:textFill>
            <w14:solidFill>
              <w14:schemeClr w14:val="tx1"/>
            </w14:solidFill>
          </w14:textFill>
        </w:rPr>
        <w:t>健全常态化债务监测机制，及时开展债务风险评估预警。发挥政信资源引导作用，协调金融机构运用“六个一批”措施缓释到期债务风险。持续做好债务</w:t>
      </w:r>
      <w:r>
        <w:rPr>
          <w:rFonts w:hint="eastAsia" w:ascii="仿宋" w:hAnsi="仿宋" w:eastAsia="仿宋" w:cs="仿宋"/>
          <w:color w:val="000000" w:themeColor="text1"/>
          <w:sz w:val="32"/>
          <w:szCs w:val="32"/>
          <w:lang w:val="en-US" w:eastAsia="zh-CN"/>
          <w14:textFill>
            <w14:solidFill>
              <w14:schemeClr w14:val="tx1"/>
            </w14:solidFill>
          </w14:textFill>
        </w:rPr>
        <w:t>舆情</w:t>
      </w:r>
      <w:r>
        <w:rPr>
          <w:rFonts w:hint="eastAsia" w:ascii="仿宋" w:hAnsi="仿宋" w:eastAsia="仿宋" w:cs="仿宋"/>
          <w:color w:val="000000" w:themeColor="text1"/>
          <w:sz w:val="32"/>
          <w:szCs w:val="32"/>
          <w14:textFill>
            <w14:solidFill>
              <w14:schemeClr w14:val="tx1"/>
            </w14:solidFill>
          </w14:textFill>
        </w:rPr>
        <w:t>监测处置工作。</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县金融服务中心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县委网信办、</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绥宁产业开发区管理委员会、县城投公司</w:t>
      </w:r>
      <w:r>
        <w:rPr>
          <w:rFonts w:hint="eastAsia" w:ascii="仿宋" w:hAnsi="仿宋" w:eastAsia="仿宋" w:cs="仿宋"/>
          <w:color w:val="000000" w:themeColor="text1"/>
          <w:sz w:val="32"/>
          <w:szCs w:val="32"/>
          <w14:textFill>
            <w14:solidFill>
              <w14:schemeClr w14:val="tx1"/>
            </w14:solidFill>
          </w14:textFill>
        </w:rPr>
        <w:t>等负责</w:t>
      </w:r>
      <w:r>
        <w:rPr>
          <w:rFonts w:hint="eastAsia" w:ascii="仿宋" w:hAnsi="仿宋" w:eastAsia="仿宋" w:cs="仿宋"/>
          <w:color w:val="000000" w:themeColor="text1"/>
          <w:sz w:val="32"/>
          <w:szCs w:val="32"/>
          <w:lang w:eastAsia="zh-CN"/>
          <w14:textFill>
            <w14:solidFill>
              <w14:schemeClr w14:val="tx1"/>
            </w14:solidFill>
          </w14:textFill>
        </w:rPr>
        <w:t>）</w:t>
      </w:r>
    </w:p>
    <w:p w14:paraId="384DDA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4.加强政府债券管理。</w:t>
      </w:r>
      <w:r>
        <w:rPr>
          <w:rFonts w:hint="eastAsia" w:ascii="仿宋" w:hAnsi="仿宋" w:eastAsia="仿宋" w:cs="仿宋"/>
          <w:color w:val="000000" w:themeColor="text1"/>
          <w:sz w:val="32"/>
          <w:szCs w:val="32"/>
          <w14:textFill>
            <w14:solidFill>
              <w14:schemeClr w14:val="tx1"/>
            </w14:solidFill>
          </w14:textFill>
        </w:rPr>
        <w:t>争取</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财政</w:t>
      </w:r>
      <w:r>
        <w:rPr>
          <w:rFonts w:hint="eastAsia" w:ascii="仿宋" w:hAnsi="仿宋" w:eastAsia="仿宋" w:cs="仿宋"/>
          <w:color w:val="000000" w:themeColor="text1"/>
          <w:sz w:val="32"/>
          <w:szCs w:val="32"/>
          <w:lang w:val="en-US" w:eastAsia="zh-CN"/>
          <w14:textFill>
            <w14:solidFill>
              <w14:schemeClr w14:val="tx1"/>
            </w14:solidFill>
          </w14:textFill>
        </w:rPr>
        <w:t>厅</w:t>
      </w:r>
      <w:r>
        <w:rPr>
          <w:rFonts w:hint="eastAsia" w:ascii="仿宋" w:hAnsi="仿宋" w:eastAsia="仿宋" w:cs="仿宋"/>
          <w:color w:val="000000" w:themeColor="text1"/>
          <w:sz w:val="32"/>
          <w:szCs w:val="32"/>
          <w14:textFill>
            <w14:solidFill>
              <w14:schemeClr w14:val="tx1"/>
            </w14:solidFill>
          </w14:textFill>
        </w:rPr>
        <w:t>对我</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债券限额分配支持。聚焦短板领域、重点方向、重大项目，组织县优质储备债券项目。加快政府债券发行使用进度，加强专项债券投后管理，探索实施专项债券穿透式监测。按时足额还本付息，确保法定债券不出风险。(</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lang w:val="en-US" w:eastAsia="zh-CN"/>
          <w14:textFill>
            <w14:solidFill>
              <w14:schemeClr w14:val="tx1"/>
            </w14:solidFill>
          </w14:textFill>
        </w:rPr>
        <w:t>县自然资源局、县</w:t>
      </w:r>
      <w:r>
        <w:rPr>
          <w:rFonts w:hint="eastAsia" w:ascii="仿宋" w:hAnsi="仿宋" w:eastAsia="仿宋" w:cs="仿宋"/>
          <w:color w:val="000000" w:themeColor="text1"/>
          <w:sz w:val="32"/>
          <w:szCs w:val="32"/>
          <w:lang w:eastAsia="zh-CN"/>
          <w14:textFill>
            <w14:solidFill>
              <w14:schemeClr w14:val="tx1"/>
            </w14:solidFill>
          </w14:textFill>
        </w:rPr>
        <w:t>住房和城乡建设局、</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绥宁产业开发区管理委员会、相关县直主管部门及项目单位</w:t>
      </w:r>
      <w:r>
        <w:rPr>
          <w:rFonts w:hint="eastAsia" w:ascii="仿宋" w:hAnsi="仿宋" w:eastAsia="仿宋" w:cs="仿宋"/>
          <w:color w:val="000000" w:themeColor="text1"/>
          <w:sz w:val="32"/>
          <w:szCs w:val="32"/>
          <w14:textFill>
            <w14:solidFill>
              <w14:schemeClr w14:val="tx1"/>
            </w14:solidFill>
          </w14:textFill>
        </w:rPr>
        <w:t>等负责）</w:t>
      </w:r>
    </w:p>
    <w:p w14:paraId="0170CA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5.加强平</w:t>
      </w:r>
      <w:r>
        <w:rPr>
          <w:rFonts w:hint="eastAsia" w:ascii="仿宋" w:hAnsi="仿宋" w:eastAsia="仿宋" w:cs="仿宋"/>
          <w:b/>
          <w:bCs/>
          <w:color w:val="000000" w:themeColor="text1"/>
          <w:sz w:val="32"/>
          <w:szCs w:val="32"/>
          <w:lang w:eastAsia="zh-CN"/>
          <w14:textFill>
            <w14:solidFill>
              <w14:schemeClr w14:val="tx1"/>
            </w14:solidFill>
          </w14:textFill>
        </w:rPr>
        <w:t>台</w:t>
      </w:r>
      <w:r>
        <w:rPr>
          <w:rFonts w:hint="eastAsia" w:ascii="仿宋" w:hAnsi="仿宋" w:eastAsia="仿宋" w:cs="仿宋"/>
          <w:b/>
          <w:bCs/>
          <w:color w:val="000000" w:themeColor="text1"/>
          <w:sz w:val="32"/>
          <w:szCs w:val="32"/>
          <w14:textFill>
            <w14:solidFill>
              <w14:schemeClr w14:val="tx1"/>
            </w14:solidFill>
          </w14:textFill>
        </w:rPr>
        <w:t>公司综合</w:t>
      </w:r>
      <w:r>
        <w:rPr>
          <w:rFonts w:hint="eastAsia" w:ascii="仿宋" w:hAnsi="仿宋" w:eastAsia="仿宋" w:cs="仿宋"/>
          <w:b/>
          <w:bCs/>
          <w:color w:val="000000" w:themeColor="text1"/>
          <w:sz w:val="32"/>
          <w:szCs w:val="32"/>
          <w:lang w:eastAsia="zh-CN"/>
          <w14:textFill>
            <w14:solidFill>
              <w14:schemeClr w14:val="tx1"/>
            </w14:solidFill>
          </w14:textFill>
        </w:rPr>
        <w:t>治</w:t>
      </w:r>
      <w:r>
        <w:rPr>
          <w:rFonts w:hint="eastAsia" w:ascii="仿宋" w:hAnsi="仿宋" w:eastAsia="仿宋" w:cs="仿宋"/>
          <w:b/>
          <w:bCs/>
          <w:color w:val="000000" w:themeColor="text1"/>
          <w:sz w:val="32"/>
          <w:szCs w:val="32"/>
          <w14:textFill>
            <w14:solidFill>
              <w14:schemeClr w14:val="tx1"/>
            </w14:solidFill>
          </w14:textFill>
        </w:rPr>
        <w:t>理</w:t>
      </w:r>
      <w:r>
        <w:rPr>
          <w:rFonts w:hint="eastAsia" w:ascii="仿宋" w:hAnsi="仿宋" w:eastAsia="仿宋" w:cs="仿宋"/>
          <w:color w:val="000000" w:themeColor="text1"/>
          <w:sz w:val="32"/>
          <w:szCs w:val="32"/>
          <w14:textFill>
            <w14:solidFill>
              <w14:schemeClr w14:val="tx1"/>
            </w14:solidFill>
          </w14:textFill>
        </w:rPr>
        <w:t>。严禁新设融资平</w:t>
      </w:r>
      <w:r>
        <w:rPr>
          <w:rFonts w:hint="eastAsia" w:ascii="仿宋" w:hAnsi="仿宋" w:eastAsia="仿宋" w:cs="仿宋"/>
          <w:color w:val="000000" w:themeColor="text1"/>
          <w:sz w:val="32"/>
          <w:szCs w:val="32"/>
          <w:lang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公司，防范国有企事业单位“平台化”。剥离平台公司政府融资职能，规范平台公司融资信息披露，严禁与政府信用挂钩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加快推进平</w:t>
      </w:r>
      <w:r>
        <w:rPr>
          <w:rFonts w:hint="eastAsia" w:ascii="仿宋" w:hAnsi="仿宋" w:eastAsia="仿宋" w:cs="仿宋"/>
          <w:color w:val="000000" w:themeColor="text1"/>
          <w:sz w:val="32"/>
          <w:szCs w:val="32"/>
          <w:lang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公司“关停并转”。</w:t>
      </w:r>
      <w:r>
        <w:rPr>
          <w:rFonts w:hint="eastAsia" w:ascii="仿宋" w:hAnsi="仿宋" w:eastAsia="仿宋" w:cs="仿宋"/>
          <w:color w:val="000000" w:themeColor="text1"/>
          <w:sz w:val="32"/>
          <w:szCs w:val="32"/>
          <w:lang w:eastAsia="zh-CN"/>
          <w14:textFill>
            <w14:solidFill>
              <w14:schemeClr w14:val="tx1"/>
            </w14:solidFill>
          </w14:textFill>
        </w:rPr>
        <w:t>（县发展和改革局&lt;县委财经办&gt;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县金融服务中心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绥宁产业开发区管理委员会、县城投公司、相关县直部门</w:t>
      </w:r>
      <w:r>
        <w:rPr>
          <w:rFonts w:hint="eastAsia" w:ascii="仿宋" w:hAnsi="仿宋" w:eastAsia="仿宋" w:cs="仿宋"/>
          <w:color w:val="000000" w:themeColor="text1"/>
          <w:sz w:val="32"/>
          <w:szCs w:val="32"/>
          <w14:textFill>
            <w14:solidFill>
              <w14:schemeClr w14:val="tx1"/>
            </w14:solidFill>
          </w14:textFill>
        </w:rPr>
        <w:t>等负责</w:t>
      </w:r>
      <w:r>
        <w:rPr>
          <w:rFonts w:hint="eastAsia" w:ascii="仿宋" w:hAnsi="仿宋" w:eastAsia="仿宋" w:cs="仿宋"/>
          <w:color w:val="000000" w:themeColor="text1"/>
          <w:sz w:val="32"/>
          <w:szCs w:val="32"/>
          <w:lang w:eastAsia="zh-CN"/>
          <w14:textFill>
            <w14:solidFill>
              <w14:schemeClr w14:val="tx1"/>
            </w14:solidFill>
          </w14:textFill>
        </w:rPr>
        <w:t>）</w:t>
      </w:r>
    </w:p>
    <w:p w14:paraId="6108A7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防范化解金融风险(</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县金融服务中心</w:t>
      </w:r>
      <w:r>
        <w:rPr>
          <w:rFonts w:hint="eastAsia" w:ascii="楷体_GB2312" w:hAnsi="楷体_GB2312" w:eastAsia="楷体_GB2312" w:cs="楷体_GB2312"/>
          <w:b/>
          <w:bCs/>
          <w:color w:val="000000" w:themeColor="text1"/>
          <w:sz w:val="32"/>
          <w:szCs w:val="32"/>
          <w14:textFill>
            <w14:solidFill>
              <w14:schemeClr w14:val="tx1"/>
            </w14:solidFill>
          </w14:textFill>
        </w:rPr>
        <w:t>牵头)</w:t>
      </w:r>
    </w:p>
    <w:p w14:paraId="6E62B6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6.有效化解高风险机构风险。</w:t>
      </w:r>
      <w:r>
        <w:rPr>
          <w:rFonts w:hint="eastAsia" w:ascii="仿宋" w:hAnsi="仿宋" w:eastAsia="仿宋" w:cs="仿宋"/>
          <w:color w:val="000000" w:themeColor="text1"/>
          <w:sz w:val="32"/>
          <w:szCs w:val="32"/>
          <w14:textFill>
            <w14:solidFill>
              <w14:schemeClr w14:val="tx1"/>
            </w14:solidFill>
          </w14:textFill>
        </w:rPr>
        <w:t>加快推动高风险中小银行机构化险脱困。加大中小银行改革发展和声誉风险防范处置支持力度，防范流动性风险事件。(人民银行</w:t>
      </w:r>
      <w:r>
        <w:rPr>
          <w:rFonts w:hint="eastAsia" w:ascii="仿宋" w:hAnsi="仿宋" w:eastAsia="仿宋" w:cs="仿宋"/>
          <w:color w:val="000000" w:themeColor="text1"/>
          <w:sz w:val="32"/>
          <w:szCs w:val="32"/>
          <w:lang w:eastAsia="zh-CN"/>
          <w14:textFill>
            <w14:solidFill>
              <w14:schemeClr w14:val="tx1"/>
            </w14:solidFill>
          </w14:textFill>
        </w:rPr>
        <w:t>绥宁支</w:t>
      </w:r>
      <w:r>
        <w:rPr>
          <w:rFonts w:hint="eastAsia" w:ascii="仿宋" w:hAnsi="仿宋" w:eastAsia="仿宋" w:cs="仿宋"/>
          <w:color w:val="000000" w:themeColor="text1"/>
          <w:sz w:val="32"/>
          <w:szCs w:val="32"/>
          <w14:textFill>
            <w14:solidFill>
              <w14:schemeClr w14:val="tx1"/>
            </w14:solidFill>
          </w14:textFill>
        </w:rPr>
        <w:t>行、</w:t>
      </w:r>
      <w:r>
        <w:rPr>
          <w:rFonts w:hint="eastAsia" w:ascii="仿宋" w:hAnsi="仿宋" w:eastAsia="仿宋" w:cs="仿宋"/>
          <w:color w:val="000000" w:themeColor="text1"/>
          <w:sz w:val="32"/>
          <w:szCs w:val="32"/>
          <w:lang w:eastAsia="zh-CN"/>
          <w14:textFill>
            <w14:solidFill>
              <w14:schemeClr w14:val="tx1"/>
            </w14:solidFill>
          </w14:textFill>
        </w:rPr>
        <w:t>县金融服务中心、县农商银行、县村镇银行</w:t>
      </w:r>
      <w:r>
        <w:rPr>
          <w:rFonts w:hint="eastAsia" w:ascii="仿宋" w:hAnsi="仿宋" w:eastAsia="仿宋" w:cs="仿宋"/>
          <w:color w:val="000000" w:themeColor="text1"/>
          <w:sz w:val="32"/>
          <w:szCs w:val="32"/>
          <w14:textFill>
            <w14:solidFill>
              <w14:schemeClr w14:val="tx1"/>
            </w14:solidFill>
          </w14:textFill>
        </w:rPr>
        <w:t>等负责)</w:t>
      </w:r>
    </w:p>
    <w:p w14:paraId="55BBFA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7.强化地方金融组织日常监管。</w:t>
      </w:r>
      <w:r>
        <w:rPr>
          <w:rFonts w:hint="eastAsia" w:ascii="仿宋" w:hAnsi="仿宋" w:eastAsia="仿宋" w:cs="仿宋"/>
          <w:color w:val="000000" w:themeColor="text1"/>
          <w:sz w:val="32"/>
          <w:szCs w:val="32"/>
          <w14:textFill>
            <w14:solidFill>
              <w14:schemeClr w14:val="tx1"/>
            </w14:solidFill>
          </w14:textFill>
        </w:rPr>
        <w:t>贯彻省地方金融监督管理条例，持续完善配套监管制度体系，做好小额贷款公司、融资</w:t>
      </w:r>
      <w:r>
        <w:rPr>
          <w:rFonts w:hint="eastAsia" w:ascii="仿宋" w:hAnsi="仿宋" w:eastAsia="仿宋" w:cs="仿宋"/>
          <w:color w:val="000000" w:themeColor="text1"/>
          <w:spacing w:val="-6"/>
          <w:sz w:val="32"/>
          <w:szCs w:val="32"/>
          <w14:textFill>
            <w14:solidFill>
              <w14:schemeClr w14:val="tx1"/>
            </w14:solidFill>
          </w14:textFill>
        </w:rPr>
        <w:t>担保公司等7类地方金融组织日常监管。(</w:t>
      </w:r>
      <w:r>
        <w:rPr>
          <w:rFonts w:hint="eastAsia" w:ascii="仿宋" w:hAnsi="仿宋" w:eastAsia="仿宋" w:cs="仿宋"/>
          <w:color w:val="000000" w:themeColor="text1"/>
          <w:spacing w:val="-6"/>
          <w:sz w:val="32"/>
          <w:szCs w:val="32"/>
          <w:lang w:eastAsia="zh-CN"/>
          <w14:textFill>
            <w14:solidFill>
              <w14:schemeClr w14:val="tx1"/>
            </w14:solidFill>
          </w14:textFill>
        </w:rPr>
        <w:t>县金融服务中心</w:t>
      </w:r>
      <w:r>
        <w:rPr>
          <w:rFonts w:hint="eastAsia" w:ascii="仿宋" w:hAnsi="仿宋" w:eastAsia="仿宋" w:cs="仿宋"/>
          <w:color w:val="000000" w:themeColor="text1"/>
          <w:spacing w:val="-6"/>
          <w:sz w:val="32"/>
          <w:szCs w:val="32"/>
          <w14:textFill>
            <w14:solidFill>
              <w14:schemeClr w14:val="tx1"/>
            </w14:solidFill>
          </w14:textFill>
        </w:rPr>
        <w:t>负责)</w:t>
      </w:r>
    </w:p>
    <w:p w14:paraId="6B606C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8.全力推进重大案件风险处置。</w:t>
      </w:r>
      <w:r>
        <w:rPr>
          <w:rFonts w:hint="eastAsia" w:ascii="仿宋" w:hAnsi="仿宋" w:eastAsia="仿宋" w:cs="仿宋"/>
          <w:color w:val="000000" w:themeColor="text1"/>
          <w:sz w:val="32"/>
          <w:szCs w:val="32"/>
          <w14:textFill>
            <w14:solidFill>
              <w14:schemeClr w14:val="tx1"/>
            </w14:solidFill>
          </w14:textFill>
        </w:rPr>
        <w:t>做好“盛大金禧”等重大案件侦办查处、追赃挽损、信息核实、资产处置、信访维稳、</w:t>
      </w:r>
      <w:r>
        <w:rPr>
          <w:rFonts w:hint="eastAsia" w:ascii="仿宋" w:hAnsi="仿宋" w:eastAsia="仿宋" w:cs="仿宋"/>
          <w:color w:val="000000" w:themeColor="text1"/>
          <w:spacing w:val="-6"/>
          <w:sz w:val="32"/>
          <w:szCs w:val="32"/>
          <w:lang w:val="en-US" w:eastAsia="zh-CN"/>
          <w14:textFill>
            <w14:solidFill>
              <w14:schemeClr w14:val="tx1"/>
            </w14:solidFill>
          </w14:textFill>
        </w:rPr>
        <w:t>舆情管控等工作，严厉打击违法犯罪，切实维护群众利益和社会稳定。(县“盛大金禧”案风险处置工作领导小组各成员单位负责)</w:t>
      </w:r>
    </w:p>
    <w:p w14:paraId="5D8B16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9.开展非法集资整治专项行动。</w:t>
      </w:r>
      <w:r>
        <w:rPr>
          <w:rFonts w:hint="eastAsia" w:ascii="仿宋" w:hAnsi="仿宋" w:eastAsia="仿宋" w:cs="仿宋"/>
          <w:color w:val="000000" w:themeColor="text1"/>
          <w:sz w:val="32"/>
          <w:szCs w:val="32"/>
          <w14:textFill>
            <w14:solidFill>
              <w14:schemeClr w14:val="tx1"/>
            </w14:solidFill>
          </w14:textFill>
        </w:rPr>
        <w:t>全面摸清风险隐患底数并制定防控措施。完善行刑衔接和依法打击机制，常态化开展防非处非宣传、金融领域扫黑除恶、打击整治养老领域非法集资等工作，严厉打击“一非三贷”、“三贷三霸”等非法活动，从重打击以“养老”为幌子从事非法集资犯罪的市场主体和个人。(</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打击和处置非法集资工作领导小组各成员单位负责)</w:t>
      </w:r>
    </w:p>
    <w:p w14:paraId="317BFA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10.完善非法金融监测预警机制</w:t>
      </w:r>
      <w:r>
        <w:rPr>
          <w:rFonts w:hint="eastAsia" w:ascii="仿宋" w:hAnsi="仿宋" w:eastAsia="仿宋" w:cs="仿宋"/>
          <w:color w:val="000000" w:themeColor="text1"/>
          <w:sz w:val="32"/>
          <w:szCs w:val="32"/>
          <w14:textFill>
            <w14:solidFill>
              <w14:schemeClr w14:val="tx1"/>
            </w14:solidFill>
          </w14:textFill>
        </w:rPr>
        <w:t>。加强部门间数据信息共享，加快建立全链条地方金融风险防控治理体系。(</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打击和处置非法集资工作领导小组各成员单位负责)</w:t>
      </w:r>
    </w:p>
    <w:p w14:paraId="74A866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11.防范化解上市公司风险</w:t>
      </w:r>
      <w:r>
        <w:rPr>
          <w:rFonts w:hint="eastAsia" w:ascii="仿宋" w:hAnsi="仿宋" w:eastAsia="仿宋" w:cs="仿宋"/>
          <w:color w:val="000000" w:themeColor="text1"/>
          <w:sz w:val="32"/>
          <w:szCs w:val="32"/>
          <w14:textFill>
            <w14:solidFill>
              <w14:schemeClr w14:val="tx1"/>
            </w14:solidFill>
          </w14:textFill>
        </w:rPr>
        <w:t>。加大对上市公司违法违规问题的监管处罚力度。支持上市公司通过并购重组、破产重整等方式出清风险，推动高风险上市公司重组工作。支持银行、证券、保险、私募股权基金等机构参与上市公司股票质押风险化解。(</w:t>
      </w:r>
      <w:r>
        <w:rPr>
          <w:rFonts w:hint="eastAsia" w:ascii="仿宋" w:hAnsi="仿宋" w:eastAsia="仿宋" w:cs="仿宋"/>
          <w:color w:val="000000" w:themeColor="text1"/>
          <w:sz w:val="32"/>
          <w:szCs w:val="32"/>
          <w:lang w:eastAsia="zh-CN"/>
          <w14:textFill>
            <w14:solidFill>
              <w14:schemeClr w14:val="tx1"/>
            </w14:solidFill>
          </w14:textFill>
        </w:rPr>
        <w:t>县金融服务中心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财政局等负责)</w:t>
      </w:r>
    </w:p>
    <w:p w14:paraId="317D44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12.加强私募股权投资机构监管。</w:t>
      </w:r>
      <w:r>
        <w:rPr>
          <w:rFonts w:hint="eastAsia" w:ascii="仿宋" w:hAnsi="仿宋" w:eastAsia="仿宋" w:cs="仿宋"/>
          <w:color w:val="000000" w:themeColor="text1"/>
          <w:sz w:val="32"/>
          <w:szCs w:val="32"/>
          <w14:textFill>
            <w14:solidFill>
              <w14:schemeClr w14:val="tx1"/>
            </w14:solidFill>
          </w14:textFill>
        </w:rPr>
        <w:t>严厉打击各类违法违规行为，严控私募基金增量风险，稳妥化解存量风险，提升行业规范发展水平。(</w:t>
      </w:r>
      <w:r>
        <w:rPr>
          <w:rFonts w:hint="eastAsia" w:ascii="仿宋" w:hAnsi="仿宋" w:eastAsia="仿宋" w:cs="仿宋"/>
          <w:color w:val="000000" w:themeColor="text1"/>
          <w:sz w:val="32"/>
          <w:szCs w:val="32"/>
          <w:lang w:eastAsia="zh-CN"/>
          <w14:textFill>
            <w14:solidFill>
              <w14:schemeClr w14:val="tx1"/>
            </w14:solidFill>
          </w14:textFill>
        </w:rPr>
        <w:t>县金融服务中心</w:t>
      </w:r>
      <w:r>
        <w:rPr>
          <w:rFonts w:hint="eastAsia" w:ascii="仿宋" w:hAnsi="仿宋" w:eastAsia="仿宋" w:cs="仿宋"/>
          <w:color w:val="000000" w:themeColor="text1"/>
          <w:sz w:val="32"/>
          <w:szCs w:val="32"/>
          <w14:textFill>
            <w14:solidFill>
              <w14:schemeClr w14:val="tx1"/>
            </w14:solidFill>
          </w14:textFill>
        </w:rPr>
        <w:t>负责)</w:t>
      </w:r>
    </w:p>
    <w:p w14:paraId="275ED0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13.持续推进交易场所和互联网金融风险清理整治</w:t>
      </w:r>
      <w:r>
        <w:rPr>
          <w:rFonts w:hint="eastAsia" w:ascii="仿宋" w:hAnsi="仿宋" w:eastAsia="仿宋" w:cs="仿宋"/>
          <w:color w:val="000000" w:themeColor="text1"/>
          <w:sz w:val="32"/>
          <w:szCs w:val="32"/>
          <w14:textFill>
            <w14:solidFill>
              <w14:schemeClr w14:val="tx1"/>
            </w14:solidFill>
          </w14:textFill>
        </w:rPr>
        <w:t>。强化对“伪金交所”、产权交易所的风险排查和处置，推动行业主管部门落实监管要求，建立健全风险防范和处置协调机制。打好网络借贷风险整治收官战，推动P2P风险全面出清。(</w:t>
      </w:r>
      <w:r>
        <w:rPr>
          <w:rFonts w:hint="eastAsia" w:ascii="仿宋" w:hAnsi="仿宋" w:eastAsia="仿宋" w:cs="仿宋"/>
          <w:color w:val="000000" w:themeColor="text1"/>
          <w:sz w:val="32"/>
          <w:szCs w:val="32"/>
          <w:lang w:eastAsia="zh-CN"/>
          <w14:textFill>
            <w14:solidFill>
              <w14:schemeClr w14:val="tx1"/>
            </w14:solidFill>
          </w14:textFill>
        </w:rPr>
        <w:t>县金融服务中心、人民银行绥宁支行</w:t>
      </w:r>
      <w:r>
        <w:rPr>
          <w:rFonts w:hint="eastAsia" w:ascii="仿宋" w:hAnsi="仿宋" w:eastAsia="仿宋" w:cs="仿宋"/>
          <w:color w:val="000000" w:themeColor="text1"/>
          <w:sz w:val="32"/>
          <w:szCs w:val="32"/>
          <w14:textFill>
            <w14:solidFill>
              <w14:schemeClr w14:val="tx1"/>
            </w14:solidFill>
          </w14:textFill>
        </w:rPr>
        <w:t>等负责)</w:t>
      </w:r>
    </w:p>
    <w:p w14:paraId="72F4E7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（三）防范化解地产风险（</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县住房和城乡建设局</w:t>
      </w:r>
      <w:r>
        <w:rPr>
          <w:rFonts w:hint="eastAsia" w:ascii="楷体_GB2312" w:hAnsi="楷体_GB2312" w:eastAsia="楷体_GB2312" w:cs="楷体_GB2312"/>
          <w:b/>
          <w:bCs/>
          <w:color w:val="000000" w:themeColor="text1"/>
          <w:sz w:val="32"/>
          <w:szCs w:val="32"/>
          <w14:textFill>
            <w14:solidFill>
              <w14:schemeClr w14:val="tx1"/>
            </w14:solidFill>
          </w14:textFill>
        </w:rPr>
        <w:t>牵头)</w:t>
      </w:r>
    </w:p>
    <w:p w14:paraId="09F042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14.</w:t>
      </w:r>
      <w:r>
        <w:rPr>
          <w:rFonts w:hint="eastAsia" w:ascii="仿宋" w:hAnsi="仿宋" w:eastAsia="仿宋" w:cs="仿宋"/>
          <w:b/>
          <w:bCs/>
          <w:color w:val="000000" w:themeColor="text1"/>
          <w:sz w:val="32"/>
          <w:szCs w:val="32"/>
          <w:lang w:val="en-US" w:eastAsia="zh-CN"/>
          <w14:textFill>
            <w14:solidFill>
              <w14:schemeClr w14:val="tx1"/>
            </w14:solidFill>
          </w14:textFill>
        </w:rPr>
        <w:t>狠抓项目提速保质。</w:t>
      </w:r>
      <w:r>
        <w:rPr>
          <w:rFonts w:hint="eastAsia" w:ascii="仿宋" w:hAnsi="仿宋" w:eastAsia="仿宋" w:cs="仿宋"/>
          <w:color w:val="000000" w:themeColor="text1"/>
          <w:sz w:val="32"/>
          <w:szCs w:val="32"/>
          <w:lang w:val="en-US" w:eastAsia="zh-CN"/>
          <w14:textFill>
            <w14:solidFill>
              <w14:schemeClr w14:val="tx1"/>
            </w14:solidFill>
          </w14:textFill>
        </w:rPr>
        <w:t>推进工程审批制度改革，简化项目竣工验收，快捷办理项目竣工交付。狠抓质量安全，强化过程监管和验收管理</w:t>
      </w:r>
      <w:r>
        <w:rPr>
          <w:rFonts w:hint="eastAsia" w:ascii="仿宋" w:hAnsi="仿宋" w:eastAsia="仿宋" w:cs="仿宋"/>
          <w:color w:val="000000" w:themeColor="text1"/>
          <w:sz w:val="32"/>
          <w:szCs w:val="32"/>
          <w14:textFill>
            <w14:solidFill>
              <w14:schemeClr w14:val="tx1"/>
            </w14:solidFill>
          </w14:textFill>
        </w:rPr>
        <w:t>。总结202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年项目建设经验，努力克服各种不利因素在确保施工安全和工程质量的前提下，优化工期管理，加快项目建设进度，推动项目完成更多实物工作量和早日竣工投入使用。(</w:t>
      </w:r>
      <w:r>
        <w:rPr>
          <w:rFonts w:hint="eastAsia" w:ascii="仿宋" w:hAnsi="仿宋" w:eastAsia="仿宋" w:cs="仿宋"/>
          <w:color w:val="000000" w:themeColor="text1"/>
          <w:sz w:val="32"/>
          <w:szCs w:val="32"/>
          <w:lang w:eastAsia="zh-CN"/>
          <w14:textFill>
            <w14:solidFill>
              <w14:schemeClr w14:val="tx1"/>
            </w14:solidFill>
          </w14:textFill>
        </w:rPr>
        <w:t>县住房和城乡建设局、</w:t>
      </w:r>
      <w:r>
        <w:rPr>
          <w:rFonts w:hint="eastAsia" w:ascii="仿宋" w:hAnsi="仿宋" w:eastAsia="仿宋" w:cs="仿宋"/>
          <w:color w:val="000000" w:themeColor="text1"/>
          <w:sz w:val="32"/>
          <w:szCs w:val="32"/>
          <w:lang w:val="en-US" w:eastAsia="zh-CN"/>
          <w14:textFill>
            <w14:solidFill>
              <w14:schemeClr w14:val="tx1"/>
            </w14:solidFill>
          </w14:textFill>
        </w:rPr>
        <w:t>各乡镇等</w:t>
      </w:r>
      <w:r>
        <w:rPr>
          <w:rFonts w:hint="eastAsia" w:ascii="仿宋" w:hAnsi="仿宋" w:eastAsia="仿宋" w:cs="仿宋"/>
          <w:color w:val="000000" w:themeColor="text1"/>
          <w:sz w:val="32"/>
          <w:szCs w:val="32"/>
          <w14:textFill>
            <w14:solidFill>
              <w14:schemeClr w14:val="tx1"/>
            </w14:solidFill>
          </w14:textFill>
        </w:rPr>
        <w:t>负责)</w:t>
      </w:r>
    </w:p>
    <w:p w14:paraId="175D88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15</w:t>
      </w:r>
      <w:r>
        <w:rPr>
          <w:rFonts w:hint="eastAsia" w:ascii="仿宋" w:hAnsi="仿宋" w:eastAsia="仿宋" w:cs="仿宋"/>
          <w:b/>
          <w:bCs/>
          <w:color w:val="000000" w:themeColor="text1"/>
          <w:sz w:val="32"/>
          <w:szCs w:val="32"/>
          <w:lang w:val="en-US" w:eastAsia="zh-CN"/>
          <w14:textFill>
            <w14:solidFill>
              <w14:schemeClr w14:val="tx1"/>
            </w14:solidFill>
          </w14:textFill>
        </w:rPr>
        <w:t>.强化银行配套融资</w:t>
      </w:r>
      <w:r>
        <w:rPr>
          <w:rFonts w:hint="eastAsia" w:ascii="仿宋" w:hAnsi="仿宋" w:eastAsia="仿宋" w:cs="仿宋"/>
          <w:color w:val="000000" w:themeColor="text1"/>
          <w:sz w:val="32"/>
          <w:szCs w:val="32"/>
          <w:lang w:val="en-US" w:eastAsia="zh-CN"/>
          <w14:textFill>
            <w14:solidFill>
              <w14:schemeClr w14:val="tx1"/>
            </w14:solidFill>
          </w14:textFill>
        </w:rPr>
        <w:t>。加强政银企对接，加大对房地产、建筑业企业的信贷投放力度。协调金融机构加大对房地产开发项目尤其是保交楼项目新增按揭贷款、开发贷款、经营贷款和抵押贷款等配套融资支持，展期专项借款支持项目存量融资。商业银行按照房地产融资任务安排，满足项目合理融资需求。妥善解决房地产领域商业承兑汇票逾期未兑付问题和强制停贷问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县金融服务中心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14:textFill>
            <w14:solidFill>
              <w14:schemeClr w14:val="tx1"/>
            </w14:solidFill>
          </w14:textFill>
        </w:rPr>
        <w:t>等负责）</w:t>
      </w:r>
    </w:p>
    <w:p w14:paraId="2DE501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16.</w:t>
      </w:r>
      <w:r>
        <w:rPr>
          <w:rFonts w:hint="eastAsia" w:ascii="仿宋" w:hAnsi="仿宋" w:eastAsia="仿宋" w:cs="仿宋"/>
          <w:b/>
          <w:bCs/>
          <w:color w:val="000000" w:themeColor="text1"/>
          <w:sz w:val="32"/>
          <w:szCs w:val="32"/>
          <w:lang w:val="en-US" w:eastAsia="zh-CN"/>
          <w14:textFill>
            <w14:solidFill>
              <w14:schemeClr w14:val="tx1"/>
            </w14:solidFill>
          </w14:textFill>
        </w:rPr>
        <w:t>做好支持政策落地。</w:t>
      </w:r>
      <w:r>
        <w:rPr>
          <w:rFonts w:hint="eastAsia" w:ascii="仿宋" w:hAnsi="仿宋" w:eastAsia="仿宋" w:cs="仿宋"/>
          <w:color w:val="000000" w:themeColor="text1"/>
          <w:sz w:val="32"/>
          <w:szCs w:val="32"/>
          <w:lang w:val="en-US" w:eastAsia="zh-CN"/>
          <w14:textFill>
            <w14:solidFill>
              <w14:schemeClr w14:val="tx1"/>
            </w14:solidFill>
          </w14:textFill>
        </w:rPr>
        <w:t>落实财税〔2022〕41号文件要求，加速落地税收优惠政策。把握查封、扣押、冻结尺度，避免司法行为与“保交楼”政策冲突。严格执行有关规定，认真履行预售资金受托管理义务。严格落实保交楼专项借款还款责任，提高资金循环使用率。优化保交楼项目网签抵押交易税收监管，对保交楼项目资产保全网签抵押交易时的税金实行减免，在真</w:t>
      </w:r>
      <w:r>
        <w:rPr>
          <w:rFonts w:hint="eastAsia" w:ascii="仿宋" w:hAnsi="仿宋" w:eastAsia="仿宋" w:cs="仿宋"/>
          <w:color w:val="000000" w:themeColor="text1"/>
          <w:spacing w:val="-6"/>
          <w:sz w:val="32"/>
          <w:szCs w:val="32"/>
          <w:lang w:val="en-US" w:eastAsia="zh-CN"/>
          <w14:textFill>
            <w14:solidFill>
              <w14:schemeClr w14:val="tx1"/>
            </w14:solidFill>
          </w14:textFill>
        </w:rPr>
        <w:t>实交易时缴纳一次。</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县税务局</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县人民法院</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县金融服务中心</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县财政局</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县住房和城乡建设局</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人民银行绥宁支行</w:t>
      </w:r>
      <w:r>
        <w:rPr>
          <w:rFonts w:hint="eastAsia" w:ascii="仿宋" w:hAnsi="仿宋" w:eastAsia="仿宋" w:cs="仿宋"/>
          <w:color w:val="000000" w:themeColor="text1"/>
          <w:spacing w:val="-6"/>
          <w:sz w:val="32"/>
          <w:szCs w:val="32"/>
          <w14:textFill>
            <w14:solidFill>
              <w14:schemeClr w14:val="tx1"/>
            </w14:solidFill>
          </w14:textFill>
        </w:rPr>
        <w:t>等负责</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1D4E82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17.</w:t>
      </w:r>
      <w:r>
        <w:rPr>
          <w:rFonts w:hint="eastAsia" w:ascii="仿宋" w:hAnsi="仿宋" w:eastAsia="仿宋" w:cs="仿宋"/>
          <w:b/>
          <w:bCs/>
          <w:color w:val="000000" w:themeColor="text1"/>
          <w:sz w:val="32"/>
          <w:szCs w:val="32"/>
          <w:lang w:val="en-US" w:eastAsia="zh-CN"/>
          <w14:textFill>
            <w14:solidFill>
              <w14:schemeClr w14:val="tx1"/>
            </w14:solidFill>
          </w14:textFill>
        </w:rPr>
        <w:t>优化办证手续流程。</w:t>
      </w:r>
      <w:r>
        <w:rPr>
          <w:rFonts w:hint="eastAsia" w:ascii="仿宋" w:hAnsi="仿宋" w:eastAsia="仿宋" w:cs="仿宋"/>
          <w:color w:val="000000" w:themeColor="text1"/>
          <w:sz w:val="32"/>
          <w:szCs w:val="32"/>
          <w:lang w:val="en-US" w:eastAsia="zh-CN"/>
          <w14:textFill>
            <w14:solidFill>
              <w14:schemeClr w14:val="tx1"/>
            </w14:solidFill>
          </w14:textFill>
        </w:rPr>
        <w:t>对房地产项目及“保交楼”专项借款项目，通过容缺办证、承诺制等方式，全面推行“交房即交证”。加大历史遗留问题办证力度，加快交房进度。</w:t>
      </w:r>
      <w:r>
        <w:rPr>
          <w:rFonts w:hint="eastAsia" w:ascii="仿宋" w:hAnsi="仿宋" w:eastAsia="仿宋" w:cs="仿宋"/>
          <w:color w:val="000000" w:themeColor="text1"/>
          <w:sz w:val="32"/>
          <w:szCs w:val="32"/>
          <w14:textFill>
            <w14:solidFill>
              <w14:schemeClr w14:val="tx1"/>
            </w14:solidFill>
          </w14:textFill>
        </w:rPr>
        <w:t>持续加大行政执法力度，重点对可能存在社会矛盾风险点的房地产项目</w:t>
      </w:r>
      <w:r>
        <w:rPr>
          <w:rFonts w:hint="eastAsia" w:ascii="仿宋" w:hAnsi="仿宋" w:eastAsia="仿宋" w:cs="仿宋"/>
          <w:color w:val="000000" w:themeColor="text1"/>
          <w:spacing w:val="-6"/>
          <w:sz w:val="32"/>
          <w:szCs w:val="32"/>
          <w:lang w:val="en-US" w:eastAsia="zh-CN"/>
          <w14:textFill>
            <w14:solidFill>
              <w14:schemeClr w14:val="tx1"/>
            </w14:solidFill>
          </w14:textFill>
        </w:rPr>
        <w:t>进行深入摸排，对存在隐患的责任单位要求立行立改，做好督导“回头看”工作。（县自然资源局、县住房和城乡建设局等负责)</w:t>
      </w:r>
    </w:p>
    <w:p w14:paraId="2FACD4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18.</w:t>
      </w:r>
      <w:r>
        <w:rPr>
          <w:rFonts w:hint="eastAsia" w:ascii="仿宋" w:hAnsi="仿宋" w:eastAsia="仿宋" w:cs="仿宋"/>
          <w:b/>
          <w:bCs/>
          <w:color w:val="000000" w:themeColor="text1"/>
          <w:sz w:val="32"/>
          <w:szCs w:val="32"/>
          <w:lang w:val="en-US" w:eastAsia="zh-CN"/>
          <w14:textFill>
            <w14:solidFill>
              <w14:schemeClr w14:val="tx1"/>
            </w14:solidFill>
          </w14:textFill>
        </w:rPr>
        <w:t>营造良好稳定环境。</w:t>
      </w:r>
      <w:r>
        <w:rPr>
          <w:rFonts w:hint="eastAsia" w:ascii="仿宋" w:hAnsi="仿宋" w:eastAsia="仿宋" w:cs="仿宋"/>
          <w:color w:val="000000" w:themeColor="text1"/>
          <w:sz w:val="32"/>
          <w:szCs w:val="32"/>
          <w:lang w:val="en-US" w:eastAsia="zh-CN"/>
          <w14:textFill>
            <w14:solidFill>
              <w14:schemeClr w14:val="tx1"/>
            </w14:solidFill>
          </w14:textFill>
        </w:rPr>
        <w:t>压实属地责任，落实“四方见面沟通”机制，防止出现赴省进京集访群访事件。全面完成第一批、第二批专项借款项目原有预售资金专项审计工作，启动开发企业主要股东抽逃预售资金的追缴工作。依法查处涉房地产领域违法犯罪案件，严惩违法违规行为，重点查处拖欠农民工工资、违规预售、虚假宣传、挪用抽逃资金、搭伙倒账、扰乱市场正常秩序等问题。从严查处打击众筹资金、捐助资金用于资助群体房闹、集访群访、越级上访的违法行为，非法获利一律清退追缴。</w:t>
      </w:r>
      <w:r>
        <w:rPr>
          <w:rFonts w:hint="eastAsia" w:ascii="仿宋" w:hAnsi="仿宋" w:eastAsia="仿宋" w:cs="仿宋"/>
          <w:color w:val="000000" w:themeColor="text1"/>
          <w:sz w:val="32"/>
          <w:szCs w:val="32"/>
          <w14:textFill>
            <w14:solidFill>
              <w14:schemeClr w14:val="tx1"/>
            </w14:solidFill>
          </w14:textFill>
        </w:rPr>
        <w:t>针对收集的线索问题，积极分析研判，深挖问题本质，切实补足工作中的短板和漏洞，及时修订完善已有制度，形成长效机制，努力营造良好的住建环境。(</w:t>
      </w:r>
      <w:r>
        <w:rPr>
          <w:rFonts w:hint="eastAsia" w:ascii="仿宋" w:hAnsi="仿宋" w:eastAsia="仿宋" w:cs="仿宋"/>
          <w:color w:val="000000" w:themeColor="text1"/>
          <w:sz w:val="32"/>
          <w:szCs w:val="32"/>
          <w:lang w:eastAsia="zh-CN"/>
          <w14:textFill>
            <w14:solidFill>
              <w14:schemeClr w14:val="tx1"/>
            </w14:solidFill>
          </w14:textFill>
        </w:rPr>
        <w:t>县委宣传部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县委网信办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县公安局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县住房和城乡建设局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县审计局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县信访局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县人力资源和社会保障局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县市场监督管理局</w:t>
      </w:r>
      <w:r>
        <w:rPr>
          <w:rFonts w:hint="eastAsia" w:ascii="仿宋" w:hAnsi="仿宋" w:eastAsia="仿宋" w:cs="仿宋"/>
          <w:color w:val="000000" w:themeColor="text1"/>
          <w:sz w:val="32"/>
          <w:szCs w:val="32"/>
          <w14:textFill>
            <w14:solidFill>
              <w14:schemeClr w14:val="tx1"/>
            </w14:solidFill>
          </w14:textFill>
        </w:rPr>
        <w:t>等负责）</w:t>
      </w:r>
    </w:p>
    <w:p w14:paraId="2BE124E3">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（四）防范化解疫情风险(县卫生健康局牵头)</w:t>
      </w:r>
    </w:p>
    <w:p w14:paraId="6F973CE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19.提高疫苗接种率。</w:t>
      </w:r>
      <w:r>
        <w:rPr>
          <w:rFonts w:hint="eastAsia" w:ascii="仿宋" w:hAnsi="仿宋" w:eastAsia="仿宋" w:cs="仿宋"/>
          <w:bCs/>
          <w:color w:val="000000" w:themeColor="text1"/>
          <w:sz w:val="32"/>
          <w:szCs w:val="32"/>
          <w14:textFill>
            <w14:solidFill>
              <w14:schemeClr w14:val="tx1"/>
            </w14:solidFill>
          </w14:textFill>
        </w:rPr>
        <w:t>持续提供疫苗接种服务，</w:t>
      </w:r>
      <w:r>
        <w:rPr>
          <w:rFonts w:hint="eastAsia" w:ascii="仿宋" w:hAnsi="仿宋" w:eastAsia="仿宋" w:cs="仿宋"/>
          <w:color w:val="000000" w:themeColor="text1"/>
          <w:sz w:val="32"/>
          <w:szCs w:val="32"/>
          <w14:textFill>
            <w14:solidFill>
              <w14:schemeClr w14:val="tx1"/>
            </w14:solidFill>
          </w14:textFill>
        </w:rPr>
        <w:t>加快提高疫苗加强免疫接种覆盖率，特别是高风险岗位、老年人等重点人群新冠疫苗接种覆盖率。加强组织动员力度，继续做好接种宣传工作，切实提高居民接种意愿。优化完善接种流程，提高接种服务水平和能力，确保接种工作安全、规范、有序开展。(县卫生健康局、</w:t>
      </w:r>
      <w:r>
        <w:rPr>
          <w:rFonts w:hint="eastAsia" w:ascii="仿宋" w:hAnsi="仿宋" w:eastAsia="仿宋" w:cs="仿宋"/>
          <w:color w:val="000000" w:themeColor="text1"/>
          <w:sz w:val="32"/>
          <w:szCs w:val="32"/>
          <w:lang w:eastAsia="zh-CN"/>
          <w14:textFill>
            <w14:solidFill>
              <w14:schemeClr w14:val="tx1"/>
            </w14:solidFill>
          </w14:textFill>
        </w:rPr>
        <w:t>县市场监督管理局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县医疗保障局</w:t>
      </w:r>
      <w:r>
        <w:rPr>
          <w:rFonts w:hint="eastAsia" w:ascii="仿宋" w:hAnsi="仿宋" w:eastAsia="仿宋" w:cs="仿宋"/>
          <w:color w:val="000000" w:themeColor="text1"/>
          <w:sz w:val="32"/>
          <w:szCs w:val="32"/>
          <w14:textFill>
            <w14:solidFill>
              <w14:schemeClr w14:val="tx1"/>
            </w14:solidFill>
          </w14:textFill>
        </w:rPr>
        <w:t>、县财政局、县疾控中心、各乡镇</w:t>
      </w:r>
      <w:r>
        <w:rPr>
          <w:rFonts w:hint="eastAsia" w:ascii="仿宋" w:hAnsi="仿宋" w:eastAsia="仿宋" w:cs="仿宋"/>
          <w:color w:val="000000" w:themeColor="text1"/>
          <w:sz w:val="32"/>
          <w:szCs w:val="32"/>
          <w:lang w:eastAsia="zh-CN"/>
          <w14:textFill>
            <w14:solidFill>
              <w14:schemeClr w14:val="tx1"/>
            </w14:solidFill>
          </w14:textFill>
        </w:rPr>
        <w:t>等负责</w:t>
      </w:r>
      <w:r>
        <w:rPr>
          <w:rFonts w:hint="eastAsia" w:ascii="仿宋" w:hAnsi="仿宋" w:eastAsia="仿宋" w:cs="仿宋"/>
          <w:color w:val="000000" w:themeColor="text1"/>
          <w:sz w:val="32"/>
          <w:szCs w:val="32"/>
          <w14:textFill>
            <w14:solidFill>
              <w14:schemeClr w14:val="tx1"/>
            </w14:solidFill>
          </w14:textFill>
        </w:rPr>
        <w:t>)</w:t>
      </w:r>
    </w:p>
    <w:p w14:paraId="73F744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20.保障药品和检测试剂需求。</w:t>
      </w:r>
      <w:r>
        <w:rPr>
          <w:rFonts w:hint="eastAsia" w:ascii="仿宋" w:hAnsi="仿宋" w:eastAsia="仿宋" w:cs="仿宋"/>
          <w:color w:val="000000" w:themeColor="text1"/>
          <w:sz w:val="32"/>
          <w:szCs w:val="32"/>
          <w14:textFill>
            <w14:solidFill>
              <w14:schemeClr w14:val="tx1"/>
            </w14:solidFill>
          </w14:textFill>
        </w:rPr>
        <w:t>县级以上医疗机构按照三个月的日常使用量动态储备新型冠状病毒感染相关药物、解热和止咳等对症治疗药物。基层医疗卫生机构按照服务人口数的15%-20%动态准备相关中药、对症治疗药物。(县卫生健康局、</w:t>
      </w:r>
      <w:r>
        <w:rPr>
          <w:rFonts w:hint="eastAsia" w:ascii="仿宋" w:hAnsi="仿宋" w:eastAsia="仿宋" w:cs="仿宋"/>
          <w:color w:val="000000" w:themeColor="text1"/>
          <w:sz w:val="32"/>
          <w:szCs w:val="32"/>
          <w:lang w:eastAsia="zh-CN"/>
          <w14:textFill>
            <w14:solidFill>
              <w14:schemeClr w14:val="tx1"/>
            </w14:solidFill>
          </w14:textFill>
        </w:rPr>
        <w:t>县市场监督管理局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县医疗保障局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、县财政局</w:t>
      </w:r>
      <w:r>
        <w:rPr>
          <w:rFonts w:hint="eastAsia" w:ascii="仿宋" w:hAnsi="仿宋" w:eastAsia="仿宋" w:cs="仿宋"/>
          <w:color w:val="000000" w:themeColor="text1"/>
          <w:sz w:val="32"/>
          <w:szCs w:val="32"/>
          <w:lang w:eastAsia="zh-CN"/>
          <w14:textFill>
            <w14:solidFill>
              <w14:schemeClr w14:val="tx1"/>
            </w14:solidFill>
          </w14:textFill>
        </w:rPr>
        <w:t>等负责</w:t>
      </w:r>
      <w:r>
        <w:rPr>
          <w:rFonts w:hint="eastAsia" w:ascii="仿宋" w:hAnsi="仿宋" w:eastAsia="仿宋" w:cs="仿宋"/>
          <w:color w:val="000000" w:themeColor="text1"/>
          <w:sz w:val="32"/>
          <w:szCs w:val="32"/>
          <w14:textFill>
            <w14:solidFill>
              <w14:schemeClr w14:val="tx1"/>
            </w14:solidFill>
          </w14:textFill>
        </w:rPr>
        <w:t>)</w:t>
      </w:r>
    </w:p>
    <w:p w14:paraId="0E3217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21.提高医疗应急机构救治能力。</w:t>
      </w:r>
      <w:r>
        <w:rPr>
          <w:rFonts w:hint="eastAsia" w:ascii="仿宋" w:hAnsi="仿宋" w:eastAsia="仿宋" w:cs="仿宋"/>
          <w:bCs/>
          <w:color w:val="000000" w:themeColor="text1"/>
          <w:sz w:val="32"/>
          <w:szCs w:val="32"/>
          <w14:textFill>
            <w14:solidFill>
              <w14:schemeClr w14:val="tx1"/>
            </w14:solidFill>
          </w14:textFill>
        </w:rPr>
        <w:t>加大院前急救车辆和人员的配置力度，畅通120急救电话，提高危重急症患者转运能力，完善应急预案。</w:t>
      </w:r>
      <w:r>
        <w:rPr>
          <w:rFonts w:hint="eastAsia" w:ascii="仿宋" w:hAnsi="仿宋" w:eastAsia="仿宋" w:cs="仿宋"/>
          <w:color w:val="000000" w:themeColor="text1"/>
          <w:sz w:val="32"/>
          <w:szCs w:val="32"/>
          <w14:textFill>
            <w14:solidFill>
              <w14:schemeClr w14:val="tx1"/>
            </w14:solidFill>
          </w14:textFill>
        </w:rPr>
        <w:t>各医疗机构做好住院床位准备，县人民医院、县中医医院需做好重症床位准备，强化自主医疗资源准备及医</w:t>
      </w:r>
      <w:r>
        <w:rPr>
          <w:rFonts w:hint="eastAsia" w:ascii="仿宋" w:hAnsi="仿宋" w:eastAsia="仿宋" w:cs="仿宋"/>
          <w:color w:val="000000" w:themeColor="text1"/>
          <w:spacing w:val="-6"/>
          <w:sz w:val="32"/>
          <w:szCs w:val="32"/>
          <w14:textFill>
            <w14:solidFill>
              <w14:schemeClr w14:val="tx1"/>
            </w14:solidFill>
          </w14:textFill>
        </w:rPr>
        <w:t>护力量配备。(县卫生健康局、</w:t>
      </w:r>
      <w:r>
        <w:rPr>
          <w:rFonts w:hint="eastAsia" w:ascii="仿宋" w:hAnsi="仿宋" w:eastAsia="仿宋" w:cs="仿宋"/>
          <w:color w:val="000000" w:themeColor="text1"/>
          <w:spacing w:val="-6"/>
          <w:sz w:val="32"/>
          <w:szCs w:val="32"/>
          <w:lang w:eastAsia="zh-CN"/>
          <w14:textFill>
            <w14:solidFill>
              <w14:schemeClr w14:val="tx1"/>
            </w14:solidFill>
          </w14:textFill>
        </w:rPr>
        <w:t>县发展和改革局</w:t>
      </w:r>
      <w:r>
        <w:rPr>
          <w:rFonts w:hint="eastAsia" w:ascii="仿宋" w:hAnsi="仿宋" w:eastAsia="仿宋" w:cs="仿宋"/>
          <w:color w:val="000000" w:themeColor="text1"/>
          <w:spacing w:val="-6"/>
          <w:sz w:val="32"/>
          <w:szCs w:val="32"/>
          <w14:textFill>
            <w14:solidFill>
              <w14:schemeClr w14:val="tx1"/>
            </w14:solidFill>
          </w14:textFill>
        </w:rPr>
        <w:t>、县财政局</w:t>
      </w:r>
      <w:r>
        <w:rPr>
          <w:rFonts w:hint="eastAsia" w:ascii="仿宋" w:hAnsi="仿宋" w:eastAsia="仿宋" w:cs="仿宋"/>
          <w:color w:val="000000" w:themeColor="text1"/>
          <w:spacing w:val="-6"/>
          <w:sz w:val="32"/>
          <w:szCs w:val="32"/>
          <w:lang w:eastAsia="zh-CN"/>
          <w14:textFill>
            <w14:solidFill>
              <w14:schemeClr w14:val="tx1"/>
            </w14:solidFill>
          </w14:textFill>
        </w:rPr>
        <w:t>等负责</w:t>
      </w:r>
      <w:r>
        <w:rPr>
          <w:rFonts w:hint="eastAsia" w:ascii="仿宋" w:hAnsi="仿宋" w:eastAsia="仿宋" w:cs="仿宋"/>
          <w:color w:val="000000" w:themeColor="text1"/>
          <w:spacing w:val="-6"/>
          <w:sz w:val="32"/>
          <w:szCs w:val="32"/>
          <w14:textFill>
            <w14:solidFill>
              <w14:schemeClr w14:val="tx1"/>
            </w14:solidFill>
          </w14:textFill>
        </w:rPr>
        <w:t>)</w:t>
      </w:r>
    </w:p>
    <w:p w14:paraId="3D81C9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22.优化人群核酸检测策略。</w:t>
      </w:r>
      <w:r>
        <w:rPr>
          <w:rFonts w:hint="eastAsia" w:ascii="仿宋" w:hAnsi="仿宋" w:eastAsia="仿宋" w:cs="仿宋"/>
          <w:color w:val="000000" w:themeColor="text1"/>
          <w:sz w:val="32"/>
          <w:szCs w:val="32"/>
          <w14:textFill>
            <w14:solidFill>
              <w14:schemeClr w14:val="tx1"/>
            </w14:solidFill>
          </w14:textFill>
        </w:rPr>
        <w:t>对医疗机构收治的符合条件患者、有症状医务人员开展抗原或核酸检测。疫情期间对脆弱人群集中场所工作人员和被照护人员开展抗原或核酸检测。在各核酸检测定点机构，保证居民“愿检尽检”。(县卫生健康局、县民政局、</w:t>
      </w:r>
      <w:r>
        <w:rPr>
          <w:rFonts w:hint="eastAsia" w:ascii="仿宋" w:hAnsi="仿宋" w:eastAsia="仿宋" w:cs="仿宋"/>
          <w:color w:val="000000" w:themeColor="text1"/>
          <w:sz w:val="32"/>
          <w:szCs w:val="32"/>
          <w:lang w:eastAsia="zh-CN"/>
          <w14:textFill>
            <w14:solidFill>
              <w14:schemeClr w14:val="tx1"/>
            </w14:solidFill>
          </w14:textFill>
        </w:rPr>
        <w:t>县市场监督管理局</w:t>
      </w:r>
      <w:r>
        <w:rPr>
          <w:rFonts w:hint="eastAsia" w:ascii="仿宋" w:hAnsi="仿宋" w:eastAsia="仿宋" w:cs="仿宋"/>
          <w:color w:val="000000" w:themeColor="text1"/>
          <w:sz w:val="32"/>
          <w:szCs w:val="32"/>
          <w14:textFill>
            <w14:solidFill>
              <w14:schemeClr w14:val="tx1"/>
            </w14:solidFill>
          </w14:textFill>
        </w:rPr>
        <w:t>、各乡镇</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78CB01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23.分级分类救治患者。</w:t>
      </w:r>
      <w:r>
        <w:rPr>
          <w:rFonts w:hint="eastAsia" w:ascii="仿宋" w:hAnsi="仿宋" w:eastAsia="仿宋" w:cs="仿宋"/>
          <w:color w:val="000000" w:themeColor="text1"/>
          <w:sz w:val="32"/>
          <w:szCs w:val="32"/>
          <w14:textFill>
            <w14:solidFill>
              <w14:schemeClr w14:val="tx1"/>
            </w14:solidFill>
          </w14:textFill>
        </w:rPr>
        <w:t>各乡镇卫生院（村卫生室）全面实行发热等患者基层首诊负责制，做好分级诊疗。</w:t>
      </w:r>
      <w:r>
        <w:rPr>
          <w:rFonts w:hint="eastAsia" w:ascii="仿宋" w:hAnsi="仿宋" w:eastAsia="仿宋" w:cs="仿宋"/>
          <w:color w:val="000000" w:themeColor="text1"/>
          <w:kern w:val="0"/>
          <w:sz w:val="32"/>
          <w:szCs w:val="32"/>
          <w14:textFill>
            <w14:solidFill>
              <w14:schemeClr w14:val="tx1"/>
            </w14:solidFill>
          </w14:textFill>
        </w:rPr>
        <w:t>乡镇卫生院负责居家治疗人员用药指导、心理疏导、配合直接收治或转诊；二级医疗机构对符合住院要求的阳性人员进行住院收治；阳性重症人员由专家统一进行研判，再确定是否转诊到相对应的市三级医院救治。(县卫生健康局、各乡镇</w:t>
      </w:r>
      <w:r>
        <w:rPr>
          <w:rFonts w:hint="eastAsia" w:ascii="仿宋" w:hAnsi="仿宋" w:eastAsia="仿宋" w:cs="仿宋"/>
          <w:color w:val="000000" w:themeColor="text1"/>
          <w:kern w:val="0"/>
          <w:sz w:val="32"/>
          <w:szCs w:val="32"/>
          <w:lang w:eastAsia="zh-CN"/>
          <w14:textFill>
            <w14:solidFill>
              <w14:schemeClr w14:val="tx1"/>
            </w14:solidFill>
          </w14:textFill>
        </w:rPr>
        <w:t>负责</w:t>
      </w:r>
      <w:r>
        <w:rPr>
          <w:rFonts w:hint="eastAsia" w:ascii="仿宋" w:hAnsi="仿宋" w:eastAsia="仿宋" w:cs="仿宋"/>
          <w:color w:val="000000" w:themeColor="text1"/>
          <w:kern w:val="0"/>
          <w:sz w:val="32"/>
          <w:szCs w:val="32"/>
          <w14:textFill>
            <w14:solidFill>
              <w14:schemeClr w14:val="tx1"/>
            </w14:solidFill>
          </w14:textFill>
        </w:rPr>
        <w:t>)</w:t>
      </w:r>
    </w:p>
    <w:p w14:paraId="1B4406F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24.做好重点人群健康服务。</w:t>
      </w:r>
      <w:r>
        <w:rPr>
          <w:rFonts w:hint="eastAsia" w:ascii="仿宋" w:hAnsi="仿宋" w:eastAsia="仿宋" w:cs="仿宋"/>
          <w:color w:val="000000" w:themeColor="text1"/>
          <w:sz w:val="32"/>
          <w:szCs w:val="32"/>
          <w14:textFill>
            <w14:solidFill>
              <w14:schemeClr w14:val="tx1"/>
            </w14:solidFill>
          </w14:textFill>
        </w:rPr>
        <w:t>进一步压实乡镇、村（居）委会、村医等责任，协助基层医疗卫生机构为重症高风险人群建立台账，实行网格管理，按照不同重症风险等级进行分级健康监测。有力有序开展老年人、儿童、孕产妇、慢性基础性疾病患者等重点人群分级分类动态服务工作，切实做好新冠重点人群健康管理和医疗救治工作。(县卫生健康局、县民政局、各乡镇</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72AB37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25.强化重点机构场所感染防控。</w:t>
      </w:r>
      <w:r>
        <w:rPr>
          <w:rFonts w:hint="eastAsia" w:ascii="仿宋" w:hAnsi="仿宋" w:eastAsia="仿宋" w:cs="仿宋"/>
          <w:color w:val="000000" w:themeColor="text1"/>
          <w:sz w:val="32"/>
          <w:szCs w:val="32"/>
          <w14:textFill>
            <w14:solidFill>
              <w14:schemeClr w14:val="tx1"/>
            </w14:solidFill>
          </w14:textFill>
        </w:rPr>
        <w:t>对养老机构等人群集中场所建立医疗救治绿色通道，疫情严重时经评估可适时采取封闭管理。强化医疗机构日常消毒和通风，做好学校、企业、监所等人员聚集重点机构人员健康监测，发生疫情采取减少人际接触措施。(县民政局、县卫生健康局、县教育局、县公安局</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7DD615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26.加强农村地区疫情防控。</w:t>
      </w:r>
      <w:r>
        <w:rPr>
          <w:rFonts w:hint="eastAsia" w:ascii="仿宋" w:hAnsi="仿宋" w:eastAsia="仿宋" w:cs="仿宋"/>
          <w:color w:val="000000" w:themeColor="text1"/>
          <w:sz w:val="32"/>
          <w:szCs w:val="32"/>
          <w14:textFill>
            <w14:solidFill>
              <w14:schemeClr w14:val="tx1"/>
            </w14:solidFill>
          </w14:textFill>
        </w:rPr>
        <w:t>成立工作专班，统筹调度全县阳性感染者的收治、转诊、诊疗、药品、医疗设施设备等工作，为医疗救治做好全面储备。发挥县乡村三级医疗卫生网作用，医疗机构要配足指氧仪、呼吸机、肺功能仪、制氧机等紧缺诊治疗设备。充分发挥县域医共体作用，县级医院与乡镇（中心）卫生院有效建立转诊救治体系，确保有急诊转运车辆进行急重症病人转运。对重点人群实施分类救治，并开放绿色救治通道。积极统筹药品购买和使用，疫情防控药品进行指向性的平台采购。适当控制农村集市等聚集性活动规模和频次。(</w:t>
      </w:r>
      <w:r>
        <w:rPr>
          <w:rFonts w:hint="eastAsia" w:ascii="仿宋" w:hAnsi="仿宋" w:eastAsia="仿宋" w:cs="仿宋"/>
          <w:color w:val="000000" w:themeColor="text1"/>
          <w:sz w:val="32"/>
          <w:szCs w:val="32"/>
          <w:lang w:eastAsia="zh-CN"/>
          <w14:textFill>
            <w14:solidFill>
              <w14:schemeClr w14:val="tx1"/>
            </w14:solidFill>
          </w14:textFill>
        </w:rPr>
        <w:t>县农业农村水利局</w:t>
      </w:r>
      <w:r>
        <w:rPr>
          <w:rFonts w:hint="eastAsia" w:ascii="仿宋" w:hAnsi="仿宋" w:eastAsia="仿宋" w:cs="仿宋"/>
          <w:color w:val="000000" w:themeColor="text1"/>
          <w:sz w:val="32"/>
          <w:szCs w:val="32"/>
          <w14:textFill>
            <w14:solidFill>
              <w14:schemeClr w14:val="tx1"/>
            </w14:solidFill>
          </w14:textFill>
        </w:rPr>
        <w:t>、县卫生健康局、各乡镇</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655037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27.强化疫情监测研判。</w:t>
      </w:r>
      <w:r>
        <w:rPr>
          <w:rFonts w:hint="eastAsia" w:ascii="仿宋" w:hAnsi="仿宋" w:eastAsia="仿宋" w:cs="仿宋"/>
          <w:color w:val="000000" w:themeColor="text1"/>
          <w:sz w:val="32"/>
          <w:szCs w:val="32"/>
          <w14:textFill>
            <w14:solidFill>
              <w14:schemeClr w14:val="tx1"/>
            </w14:solidFill>
          </w14:textFill>
        </w:rPr>
        <w:t>定期召开疫情防控会商会，动态掌握县内病毒流行强度，研判疫情发展态势，坚决按照上级要求应对疫情高峰。(县卫生健康局、县疾控中心</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377814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28.倡导坚持个人防护。</w:t>
      </w:r>
      <w:r>
        <w:rPr>
          <w:rFonts w:hint="eastAsia" w:ascii="仿宋" w:hAnsi="仿宋" w:eastAsia="仿宋" w:cs="仿宋"/>
          <w:color w:val="000000" w:themeColor="text1"/>
          <w:sz w:val="32"/>
          <w:szCs w:val="32"/>
          <w14:textFill>
            <w14:solidFill>
              <w14:schemeClr w14:val="tx1"/>
            </w14:solidFill>
          </w14:textFill>
        </w:rPr>
        <w:t>广泛宣传“健康第一责任人”理念，鼓励做好个人防护，科学佩戴口罩，勤洗手，公筷制，保持良好卫生习惯。疫情严重时，减少串门与人员流动，患有基础疾病的老年人及孕妇、儿童等尽量减少前往人员密集场所。(县委宣传部、县卫生健康局、各乡镇</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57511C4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29.做好信息发布和宣传教育。</w:t>
      </w:r>
      <w:r>
        <w:rPr>
          <w:rFonts w:hint="eastAsia" w:ascii="仿宋" w:hAnsi="仿宋" w:eastAsia="仿宋" w:cs="仿宋"/>
          <w:color w:val="000000" w:themeColor="text1"/>
          <w:sz w:val="32"/>
          <w:szCs w:val="32"/>
          <w14:textFill>
            <w14:solidFill>
              <w14:schemeClr w14:val="tx1"/>
            </w14:solidFill>
          </w14:textFill>
        </w:rPr>
        <w:t>定期发布我县新冠疫情和突发公共卫生事件信息。应用各类媒体平台做好心理疏导、用药、使用抗原检测试剂等科普宣传，通过自媒体、村村响、广播等渠道做好农村地区的宣传工作。做好关于涉疫舆情的监测和化解工作，对涉疫谣言加大打击力度。(县委宣传部、县委网信办、县公安局、县卫生健康局</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163D58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30.优化入绥人员管理。</w:t>
      </w:r>
      <w:r>
        <w:rPr>
          <w:rFonts w:hint="eastAsia" w:ascii="仿宋" w:hAnsi="仿宋" w:eastAsia="仿宋" w:cs="仿宋"/>
          <w:color w:val="000000" w:themeColor="text1"/>
          <w:sz w:val="32"/>
          <w:szCs w:val="32"/>
          <w14:textFill>
            <w14:solidFill>
              <w14:schemeClr w14:val="tx1"/>
            </w14:solidFill>
          </w14:textFill>
        </w:rPr>
        <w:t>取消入绥人员核酸检测和集中隔离，不再查验核酸检测阴性证明、开展落地检。根据疫情形势变化，按照上级要求动态调整和落实管理措施。(县交通运输局、县卫生健康局</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33895E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31.做好心理援助工作。</w:t>
      </w:r>
      <w:r>
        <w:rPr>
          <w:rFonts w:hint="eastAsia" w:ascii="仿宋" w:hAnsi="仿宋" w:eastAsia="仿宋" w:cs="仿宋"/>
          <w:color w:val="000000" w:themeColor="text1"/>
          <w:sz w:val="32"/>
          <w:szCs w:val="32"/>
          <w14:textFill>
            <w14:solidFill>
              <w14:schemeClr w14:val="tx1"/>
            </w14:solidFill>
          </w14:textFill>
        </w:rPr>
        <w:t>依托现有市民服务热线，建立疫情防控心理援助热线，及时解答群众关于新冠病毒感染就医、用药等疑问。同时，针对医务人员开展心理疏导工作。（县卫生健康局</w:t>
      </w:r>
      <w:r>
        <w:rPr>
          <w:rFonts w:hint="eastAsia" w:ascii="仿宋" w:hAnsi="仿宋" w:eastAsia="仿宋" w:cs="仿宋"/>
          <w:color w:val="000000" w:themeColor="text1"/>
          <w:sz w:val="32"/>
          <w:szCs w:val="32"/>
          <w:lang w:eastAsia="zh-CN"/>
          <w14:textFill>
            <w14:solidFill>
              <w14:schemeClr w14:val="tx1"/>
            </w14:solidFill>
          </w14:textFill>
        </w:rPr>
        <w:t>负责</w:t>
      </w:r>
      <w:r>
        <w:rPr>
          <w:rFonts w:hint="eastAsia" w:ascii="仿宋" w:hAnsi="仿宋" w:eastAsia="仿宋" w:cs="仿宋"/>
          <w:color w:val="000000" w:themeColor="text1"/>
          <w:sz w:val="32"/>
          <w:szCs w:val="32"/>
          <w14:textFill>
            <w14:solidFill>
              <w14:schemeClr w14:val="tx1"/>
            </w14:solidFill>
          </w14:textFill>
        </w:rPr>
        <w:t>）</w:t>
      </w:r>
    </w:p>
    <w:p w14:paraId="01C699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(五)防范化解极端天气带来的风险（</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县</w:t>
      </w:r>
      <w:r>
        <w:rPr>
          <w:rFonts w:hint="eastAsia" w:ascii="楷体_GB2312" w:hAnsi="楷体_GB2312" w:eastAsia="楷体_GB2312" w:cs="楷体_GB2312"/>
          <w:b/>
          <w:bCs/>
          <w:color w:val="000000" w:themeColor="text1"/>
          <w:sz w:val="32"/>
          <w:szCs w:val="32"/>
          <w14:textFill>
            <w14:solidFill>
              <w14:schemeClr w14:val="tx1"/>
            </w14:solidFill>
          </w14:textFill>
        </w:rPr>
        <w:t>应急管理局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牵头</w:t>
      </w:r>
      <w:r>
        <w:rPr>
          <w:rFonts w:hint="eastAsia" w:ascii="楷体_GB2312" w:hAnsi="楷体_GB2312" w:eastAsia="楷体_GB2312" w:cs="楷体_GB2312"/>
          <w:b/>
          <w:bCs/>
          <w:color w:val="000000" w:themeColor="text1"/>
          <w:sz w:val="32"/>
          <w:szCs w:val="32"/>
          <w14:textFill>
            <w14:solidFill>
              <w14:schemeClr w14:val="tx1"/>
            </w14:solidFill>
          </w14:textFill>
        </w:rPr>
        <w:t>)</w:t>
      </w:r>
    </w:p>
    <w:p w14:paraId="662280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32.加强风险隐患排查和修订完善预案方案。</w:t>
      </w:r>
      <w:r>
        <w:rPr>
          <w:rFonts w:hint="eastAsia" w:ascii="仿宋" w:hAnsi="仿宋" w:eastAsia="仿宋" w:cs="仿宋"/>
          <w:color w:val="000000" w:themeColor="text1"/>
          <w:sz w:val="32"/>
          <w:szCs w:val="32"/>
          <w14:textFill>
            <w14:solidFill>
              <w14:schemeClr w14:val="tx1"/>
            </w14:solidFill>
          </w14:textFill>
        </w:rPr>
        <w:t>做好极端天气条件下重大自然灾害、事故灾难的危险源、危险区域调查、登记、风险评估，采取安全风险防范化解措施，按规定及时公布。对极端天气可能引发的重大灾害事故，修订完善应急预案方案，组织开展应急演练。（</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安委会、</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减灾委相关成员单位负责)</w:t>
      </w:r>
    </w:p>
    <w:p w14:paraId="1C24F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33.加强监测预警和信息发布</w:t>
      </w:r>
      <w:r>
        <w:rPr>
          <w:rFonts w:hint="eastAsia" w:ascii="仿宋" w:hAnsi="仿宋" w:eastAsia="仿宋" w:cs="仿宋"/>
          <w:color w:val="000000" w:themeColor="text1"/>
          <w:sz w:val="32"/>
          <w:szCs w:val="32"/>
          <w14:textFill>
            <w14:solidFill>
              <w14:schemeClr w14:val="tx1"/>
            </w14:solidFill>
          </w14:textFill>
        </w:rPr>
        <w:t>。建立健全气象灾害监测、信息收集评估及预警系统。加强极端天气会商研判，及时向</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委</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政府提出应对建议。健全发布体系，及时发布极端天气预报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预警信息，确保第一时间传达到一线岗位和受威胁人群。（</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安委会、</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减灾委相关成员单位负责）</w:t>
      </w:r>
    </w:p>
    <w:p w14:paraId="53C6DE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34.保障交通</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通信通畅。</w:t>
      </w:r>
      <w:r>
        <w:rPr>
          <w:rFonts w:hint="eastAsia" w:ascii="仿宋" w:hAnsi="仿宋" w:eastAsia="仿宋" w:cs="仿宋"/>
          <w:color w:val="000000" w:themeColor="text1"/>
          <w:sz w:val="32"/>
          <w:szCs w:val="32"/>
          <w14:textFill>
            <w14:solidFill>
              <w14:schemeClr w14:val="tx1"/>
            </w14:solidFill>
          </w14:textFill>
        </w:rPr>
        <w:t>做好极端天气交通保畅准备工作，强化交通疏导和管制，尽最大可能保障交通通畅。保障通信网络运行安全，做好极端天气情况下断网、断电、断路的应急通信保障工作。保障重要通信机房、基站用电安全。(</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交通运输局、</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公安局交警</w:t>
      </w:r>
      <w:r>
        <w:rPr>
          <w:rFonts w:hint="eastAsia" w:ascii="仿宋" w:hAnsi="仿宋" w:eastAsia="仿宋" w:cs="仿宋"/>
          <w:color w:val="000000" w:themeColor="text1"/>
          <w:sz w:val="32"/>
          <w:szCs w:val="32"/>
          <w:lang w:val="en-US"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队等负责)</w:t>
      </w:r>
    </w:p>
    <w:p w14:paraId="20DFCC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35.保障能源稳定供应。</w:t>
      </w:r>
      <w:r>
        <w:rPr>
          <w:rFonts w:hint="eastAsia" w:ascii="仿宋" w:hAnsi="仿宋" w:eastAsia="仿宋" w:cs="仿宋"/>
          <w:color w:val="000000" w:themeColor="text1"/>
          <w:sz w:val="32"/>
          <w:szCs w:val="32"/>
          <w14:textFill>
            <w14:solidFill>
              <w14:schemeClr w14:val="tx1"/>
            </w14:solidFill>
          </w14:textFill>
        </w:rPr>
        <w:t>加强电力运行调度，提前预判供电缺口，及时启动负荷管理，确保电网安全稳定运行和电力可靠供应，确保不发生规模化停电限电。做好天然气储</w:t>
      </w:r>
      <w:r>
        <w:rPr>
          <w:rFonts w:hint="eastAsia" w:ascii="仿宋" w:hAnsi="仿宋" w:eastAsia="仿宋" w:cs="仿宋"/>
          <w:color w:val="000000" w:themeColor="text1"/>
          <w:sz w:val="32"/>
          <w:szCs w:val="32"/>
          <w:lang w:val="en-US" w:eastAsia="zh-CN"/>
          <w14:textFill>
            <w14:solidFill>
              <w14:schemeClr w14:val="tx1"/>
            </w14:solidFill>
          </w14:textFill>
        </w:rPr>
        <w:t>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全力保障极端天气下发电和居民用气需求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县发展和改革局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县供电公司</w:t>
      </w:r>
      <w:r>
        <w:rPr>
          <w:rFonts w:hint="eastAsia" w:ascii="仿宋" w:hAnsi="仿宋" w:eastAsia="仿宋" w:cs="仿宋"/>
          <w:color w:val="000000" w:themeColor="text1"/>
          <w:sz w:val="32"/>
          <w:szCs w:val="32"/>
          <w14:textFill>
            <w14:solidFill>
              <w14:schemeClr w14:val="tx1"/>
            </w14:solidFill>
          </w14:textFill>
        </w:rPr>
        <w:t>等负责)</w:t>
      </w:r>
    </w:p>
    <w:p w14:paraId="43FC32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36</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保障饮用水安全。</w:t>
      </w:r>
      <w:r>
        <w:rPr>
          <w:rFonts w:hint="eastAsia" w:ascii="仿宋" w:hAnsi="仿宋" w:eastAsia="仿宋" w:cs="仿宋"/>
          <w:color w:val="000000" w:themeColor="text1"/>
          <w:sz w:val="32"/>
          <w:szCs w:val="32"/>
          <w14:textFill>
            <w14:solidFill>
              <w14:schemeClr w14:val="tx1"/>
            </w14:solidFill>
          </w14:textFill>
        </w:rPr>
        <w:t>采取工程措施和非工程措施相结合的方式，最大限度保障极端天气下农村饮水和城市供水安全。</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城市管理和综合执法局、</w:t>
      </w:r>
      <w:r>
        <w:rPr>
          <w:rFonts w:hint="eastAsia" w:ascii="仿宋" w:hAnsi="仿宋" w:eastAsia="仿宋" w:cs="仿宋"/>
          <w:color w:val="000000" w:themeColor="text1"/>
          <w:sz w:val="32"/>
          <w:szCs w:val="32"/>
          <w:lang w:val="en-US" w:eastAsia="zh-CN"/>
          <w14:textFill>
            <w14:solidFill>
              <w14:schemeClr w14:val="tx1"/>
            </w14:solidFill>
          </w14:textFill>
        </w:rPr>
        <w:t>县农业农村水利局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生态环境局</w:t>
      </w:r>
      <w:r>
        <w:rPr>
          <w:rFonts w:hint="eastAsia" w:ascii="仿宋" w:hAnsi="仿宋" w:eastAsia="仿宋" w:cs="仿宋"/>
          <w:color w:val="000000" w:themeColor="text1"/>
          <w:sz w:val="32"/>
          <w:szCs w:val="32"/>
          <w:lang w:eastAsia="zh-CN"/>
          <w14:textFill>
            <w14:solidFill>
              <w14:schemeClr w14:val="tx1"/>
            </w14:solidFill>
          </w14:textFill>
        </w:rPr>
        <w:t>绥宁分局</w:t>
      </w:r>
      <w:r>
        <w:rPr>
          <w:rFonts w:hint="eastAsia" w:ascii="仿宋" w:hAnsi="仿宋" w:eastAsia="仿宋" w:cs="仿宋"/>
          <w:color w:val="000000" w:themeColor="text1"/>
          <w:sz w:val="32"/>
          <w:szCs w:val="32"/>
          <w:lang w:val="en-US" w:eastAsia="zh-CN"/>
          <w14:textFill>
            <w14:solidFill>
              <w14:schemeClr w14:val="tx1"/>
            </w14:solidFill>
          </w14:textFill>
        </w:rPr>
        <w:t>等负责）</w:t>
      </w:r>
    </w:p>
    <w:p w14:paraId="10C35B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37.做好农业抗灾减损。</w:t>
      </w:r>
      <w:r>
        <w:rPr>
          <w:rFonts w:hint="eastAsia" w:ascii="仿宋" w:hAnsi="仿宋" w:eastAsia="仿宋" w:cs="仿宋"/>
          <w:color w:val="000000" w:themeColor="text1"/>
          <w:sz w:val="32"/>
          <w:szCs w:val="32"/>
          <w14:textFill>
            <w14:solidFill>
              <w14:schemeClr w14:val="tx1"/>
            </w14:solidFill>
          </w14:textFill>
        </w:rPr>
        <w:t>加强极端天气下农作物的技术服务，及时做好受灾情影响农作物的</w:t>
      </w:r>
      <w:r>
        <w:rPr>
          <w:rFonts w:hint="eastAsia" w:ascii="仿宋" w:hAnsi="仿宋" w:eastAsia="仿宋" w:cs="仿宋"/>
          <w:color w:val="000000" w:themeColor="text1"/>
          <w:sz w:val="32"/>
          <w:szCs w:val="32"/>
          <w:lang w:val="en-US" w:eastAsia="zh-CN"/>
          <w14:textFill>
            <w14:solidFill>
              <w14:schemeClr w14:val="tx1"/>
            </w14:solidFill>
          </w14:textFill>
        </w:rPr>
        <w:t>改</w:t>
      </w:r>
      <w:r>
        <w:rPr>
          <w:rFonts w:hint="eastAsia" w:ascii="仿宋" w:hAnsi="仿宋" w:eastAsia="仿宋" w:cs="仿宋"/>
          <w:color w:val="000000" w:themeColor="text1"/>
          <w:sz w:val="32"/>
          <w:szCs w:val="32"/>
          <w14:textFill>
            <w14:solidFill>
              <w14:schemeClr w14:val="tx1"/>
            </w14:solidFill>
          </w14:textFill>
        </w:rPr>
        <w:t>种补种工作。加强农业生产防雪抗冻和灾后恢复生产技术指导。加强畜牧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水产养殖业越冬管理，保证保湿防冻设施安全有效。（</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农业农村</w:t>
      </w:r>
      <w:r>
        <w:rPr>
          <w:rFonts w:hint="eastAsia" w:ascii="仿宋" w:hAnsi="仿宋" w:eastAsia="仿宋" w:cs="仿宋"/>
          <w:color w:val="000000" w:themeColor="text1"/>
          <w:sz w:val="32"/>
          <w:szCs w:val="32"/>
          <w:lang w:val="en-US" w:eastAsia="zh-CN"/>
          <w14:textFill>
            <w14:solidFill>
              <w14:schemeClr w14:val="tx1"/>
            </w14:solidFill>
          </w14:textFill>
        </w:rPr>
        <w:t>水利</w:t>
      </w:r>
      <w:r>
        <w:rPr>
          <w:rFonts w:hint="eastAsia" w:ascii="仿宋" w:hAnsi="仿宋" w:eastAsia="仿宋" w:cs="仿宋"/>
          <w:color w:val="000000" w:themeColor="text1"/>
          <w:sz w:val="32"/>
          <w:szCs w:val="32"/>
          <w14:textFill>
            <w14:solidFill>
              <w14:schemeClr w14:val="tx1"/>
            </w14:solidFill>
          </w14:textFill>
        </w:rPr>
        <w:t>局负责)</w:t>
      </w:r>
    </w:p>
    <w:p w14:paraId="2EEF18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38.防范应对极端天气自然灾害和安全生产事故。</w:t>
      </w:r>
      <w:r>
        <w:rPr>
          <w:rFonts w:hint="eastAsia" w:ascii="仿宋" w:hAnsi="仿宋" w:eastAsia="仿宋" w:cs="仿宋"/>
          <w:color w:val="000000" w:themeColor="text1"/>
          <w:sz w:val="32"/>
          <w:szCs w:val="32"/>
          <w14:textFill>
            <w14:solidFill>
              <w14:schemeClr w14:val="tx1"/>
            </w14:solidFill>
          </w14:textFill>
        </w:rPr>
        <w:t>做好极端天气洪涝灾害、地质灾害、干旱灾害、森林火灾、低温雨雪冰冻、安全生产等重大风险灾害防范工作。落实企业主体责任，督促合理安排生产经营活动，防范极端天气自然灾害和安全生产事故。（</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安委会、</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减灾委相关成员单位负责)</w:t>
      </w:r>
    </w:p>
    <w:p w14:paraId="62CA43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39.做好应急教援准备保障。</w:t>
      </w:r>
      <w:r>
        <w:rPr>
          <w:rFonts w:hint="eastAsia" w:ascii="仿宋" w:hAnsi="仿宋" w:eastAsia="仿宋" w:cs="仿宋"/>
          <w:color w:val="000000" w:themeColor="text1"/>
          <w:sz w:val="32"/>
          <w:szCs w:val="32"/>
          <w14:textFill>
            <w14:solidFill>
              <w14:schemeClr w14:val="tx1"/>
            </w14:solidFill>
          </w14:textFill>
        </w:rPr>
        <w:t>加强</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级专业应急救援队伍能力建设，根据需要建立专业或半专业应急救援队伍。做好</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级专业</w:t>
      </w:r>
      <w:r>
        <w:rPr>
          <w:rFonts w:hint="eastAsia" w:ascii="仿宋" w:hAnsi="仿宋" w:eastAsia="仿宋" w:cs="仿宋"/>
          <w:color w:val="000000" w:themeColor="text1"/>
          <w:sz w:val="32"/>
          <w:szCs w:val="32"/>
          <w:lang w:val="en-US" w:eastAsia="zh-CN"/>
          <w14:textFill>
            <w14:solidFill>
              <w14:schemeClr w14:val="tx1"/>
            </w14:solidFill>
          </w14:textFill>
        </w:rPr>
        <w:t>救</w:t>
      </w:r>
      <w:r>
        <w:rPr>
          <w:rFonts w:hint="eastAsia" w:ascii="仿宋" w:hAnsi="仿宋" w:eastAsia="仿宋" w:cs="仿宋"/>
          <w:color w:val="000000" w:themeColor="text1"/>
          <w:sz w:val="32"/>
          <w:szCs w:val="32"/>
          <w14:textFill>
            <w14:solidFill>
              <w14:schemeClr w14:val="tx1"/>
            </w14:solidFill>
          </w14:textFill>
        </w:rPr>
        <w:t>援队伍的装备配备和应急保障工作。完善应急物资供应渠道，加强专用物料、器</w:t>
      </w:r>
      <w:r>
        <w:rPr>
          <w:rFonts w:hint="eastAsia" w:ascii="仿宋" w:hAnsi="仿宋" w:eastAsia="仿宋" w:cs="仿宋"/>
          <w:color w:val="000000" w:themeColor="text1"/>
          <w:sz w:val="32"/>
          <w:szCs w:val="32"/>
          <w:lang w:eastAsia="zh-CN"/>
          <w14:textFill>
            <w14:solidFill>
              <w14:schemeClr w14:val="tx1"/>
            </w14:solidFill>
          </w14:textFill>
        </w:rPr>
        <w:t>材</w:t>
      </w:r>
      <w:r>
        <w:rPr>
          <w:rFonts w:hint="eastAsia" w:ascii="仿宋" w:hAnsi="仿宋" w:eastAsia="仿宋" w:cs="仿宋"/>
          <w:color w:val="000000" w:themeColor="text1"/>
          <w:sz w:val="32"/>
          <w:szCs w:val="32"/>
          <w14:textFill>
            <w14:solidFill>
              <w14:schemeClr w14:val="tx1"/>
            </w14:solidFill>
          </w14:textFill>
        </w:rPr>
        <w:t>、装备、工具储备，加强生活生产必需品储备。加强医疗保障能力，提前做好受伤人员医疗教护准备。（</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应急管理局、</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财政局、</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卫生健康</w:t>
      </w:r>
      <w:r>
        <w:rPr>
          <w:rFonts w:hint="eastAsia" w:ascii="仿宋" w:hAnsi="仿宋" w:eastAsia="仿宋" w:cs="仿宋"/>
          <w:color w:val="000000" w:themeColor="text1"/>
          <w:sz w:val="32"/>
          <w:szCs w:val="32"/>
          <w:lang w:val="en-US"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商务局、</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发展</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改革</w:t>
      </w:r>
      <w:r>
        <w:rPr>
          <w:rFonts w:hint="eastAsia" w:ascii="仿宋" w:hAnsi="仿宋" w:eastAsia="仿宋" w:cs="仿宋"/>
          <w:color w:val="000000" w:themeColor="text1"/>
          <w:sz w:val="32"/>
          <w:szCs w:val="32"/>
          <w:lang w:val="en-US"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消防救援</w:t>
      </w:r>
      <w:r>
        <w:rPr>
          <w:rFonts w:hint="eastAsia" w:ascii="仿宋" w:hAnsi="仿宋" w:eastAsia="仿宋" w:cs="仿宋"/>
          <w:color w:val="000000" w:themeColor="text1"/>
          <w:sz w:val="32"/>
          <w:szCs w:val="32"/>
          <w:lang w:val="en-US"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队等负责)</w:t>
      </w:r>
    </w:p>
    <w:p w14:paraId="28BCC7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40.做好应急救援救灾工作</w:t>
      </w:r>
      <w:r>
        <w:rPr>
          <w:rFonts w:hint="eastAsia" w:ascii="仿宋" w:hAnsi="仿宋" w:eastAsia="仿宋" w:cs="仿宋"/>
          <w:color w:val="000000" w:themeColor="text1"/>
          <w:sz w:val="32"/>
          <w:szCs w:val="32"/>
          <w14:textFill>
            <w14:solidFill>
              <w14:schemeClr w14:val="tx1"/>
            </w14:solidFill>
          </w14:textFill>
        </w:rPr>
        <w:t>。建立分级指挥与专业指挥相结合的指挥机制，完善部门间、军地间协调联动机制。“分</w:t>
      </w:r>
      <w:r>
        <w:rPr>
          <w:rFonts w:hint="eastAsia" w:ascii="仿宋" w:hAnsi="仿宋" w:eastAsia="仿宋" w:cs="仿宋"/>
          <w:color w:val="000000" w:themeColor="text1"/>
          <w:sz w:val="32"/>
          <w:szCs w:val="32"/>
          <w:lang w:val="en-US" w:eastAsia="zh-CN"/>
          <w14:textFill>
            <w14:solidFill>
              <w14:schemeClr w14:val="tx1"/>
            </w14:solidFill>
          </w14:textFill>
        </w:rPr>
        <w:t>类</w:t>
      </w:r>
      <w:r>
        <w:rPr>
          <w:rFonts w:hint="eastAsia" w:ascii="仿宋" w:hAnsi="仿宋" w:eastAsia="仿宋" w:cs="仿宋"/>
          <w:color w:val="000000" w:themeColor="text1"/>
          <w:sz w:val="32"/>
          <w:szCs w:val="32"/>
          <w14:textFill>
            <w14:solidFill>
              <w14:schemeClr w14:val="tx1"/>
            </w14:solidFill>
          </w14:textFill>
        </w:rPr>
        <w:t>管理，分级负责”，第一时间启动应急响应并开展应急处置。用好</w:t>
      </w:r>
      <w:r>
        <w:rPr>
          <w:rFonts w:hint="eastAsia" w:ascii="仿宋" w:hAnsi="仿宋" w:eastAsia="仿宋" w:cs="仿宋"/>
          <w:color w:val="000000" w:themeColor="text1"/>
          <w:sz w:val="32"/>
          <w:szCs w:val="32"/>
          <w:lang w:eastAsia="zh-CN"/>
          <w14:textFill>
            <w14:solidFill>
              <w14:schemeClr w14:val="tx1"/>
            </w14:solidFill>
          </w14:textFill>
        </w:rPr>
        <w:t>县乡两</w:t>
      </w:r>
      <w:r>
        <w:rPr>
          <w:rFonts w:hint="eastAsia" w:ascii="仿宋" w:hAnsi="仿宋" w:eastAsia="仿宋" w:cs="仿宋"/>
          <w:color w:val="000000" w:themeColor="text1"/>
          <w:sz w:val="32"/>
          <w:szCs w:val="32"/>
          <w14:textFill>
            <w14:solidFill>
              <w14:schemeClr w14:val="tx1"/>
            </w14:solidFill>
          </w14:textFill>
        </w:rPr>
        <w:t>级应急资源管理和应急救援救助平合，千方百计保障受灾群众基本生活。（</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安委会、</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减灾委相关成员单位负责)</w:t>
      </w:r>
    </w:p>
    <w:p w14:paraId="7E4F93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41.加强宣传舆论引导</w:t>
      </w:r>
      <w:r>
        <w:rPr>
          <w:rFonts w:hint="eastAsia" w:ascii="仿宋" w:hAnsi="仿宋" w:eastAsia="仿宋" w:cs="仿宋"/>
          <w:color w:val="000000" w:themeColor="text1"/>
          <w:sz w:val="32"/>
          <w:szCs w:val="32"/>
          <w14:textFill>
            <w14:solidFill>
              <w14:schemeClr w14:val="tx1"/>
            </w14:solidFill>
          </w14:textFill>
        </w:rPr>
        <w:t>。做好网络舆情管控，营造合力应对</w:t>
      </w:r>
      <w:r>
        <w:rPr>
          <w:rFonts w:hint="eastAsia" w:ascii="仿宋" w:hAnsi="仿宋" w:eastAsia="仿宋" w:cs="仿宋"/>
          <w:color w:val="000000" w:themeColor="text1"/>
          <w:spacing w:val="-6"/>
          <w:sz w:val="32"/>
          <w:szCs w:val="32"/>
          <w14:textFill>
            <w14:solidFill>
              <w14:schemeClr w14:val="tx1"/>
            </w14:solidFill>
          </w14:textFill>
        </w:rPr>
        <w:t>极端天气、共同防灾减灾氛围。（</w:t>
      </w:r>
      <w:r>
        <w:rPr>
          <w:rFonts w:hint="eastAsia" w:ascii="仿宋" w:hAnsi="仿宋" w:eastAsia="仿宋" w:cs="仿宋"/>
          <w:color w:val="000000" w:themeColor="text1"/>
          <w:spacing w:val="-6"/>
          <w:sz w:val="32"/>
          <w:szCs w:val="32"/>
          <w:lang w:val="en-US" w:eastAsia="zh-CN"/>
          <w14:textFill>
            <w14:solidFill>
              <w14:schemeClr w14:val="tx1"/>
            </w14:solidFill>
          </w14:textFill>
        </w:rPr>
        <w:t>县</w:t>
      </w:r>
      <w:r>
        <w:rPr>
          <w:rFonts w:hint="eastAsia" w:ascii="仿宋" w:hAnsi="仿宋" w:eastAsia="仿宋" w:cs="仿宋"/>
          <w:color w:val="000000" w:themeColor="text1"/>
          <w:spacing w:val="-6"/>
          <w:sz w:val="32"/>
          <w:szCs w:val="32"/>
          <w14:textFill>
            <w14:solidFill>
              <w14:schemeClr w14:val="tx1"/>
            </w14:solidFill>
          </w14:textFill>
        </w:rPr>
        <w:t>委宣传部、</w:t>
      </w:r>
      <w:r>
        <w:rPr>
          <w:rFonts w:hint="eastAsia" w:ascii="仿宋" w:hAnsi="仿宋" w:eastAsia="仿宋" w:cs="仿宋"/>
          <w:color w:val="000000" w:themeColor="text1"/>
          <w:spacing w:val="-6"/>
          <w:sz w:val="32"/>
          <w:szCs w:val="32"/>
          <w:lang w:val="en-US" w:eastAsia="zh-CN"/>
          <w14:textFill>
            <w14:solidFill>
              <w14:schemeClr w14:val="tx1"/>
            </w14:solidFill>
          </w14:textFill>
        </w:rPr>
        <w:t>县</w:t>
      </w:r>
      <w:r>
        <w:rPr>
          <w:rFonts w:hint="eastAsia" w:ascii="仿宋" w:hAnsi="仿宋" w:eastAsia="仿宋" w:cs="仿宋"/>
          <w:color w:val="000000" w:themeColor="text1"/>
          <w:spacing w:val="-6"/>
          <w:sz w:val="32"/>
          <w:szCs w:val="32"/>
          <w14:textFill>
            <w14:solidFill>
              <w14:schemeClr w14:val="tx1"/>
            </w14:solidFill>
          </w14:textFill>
        </w:rPr>
        <w:t>委网信办负责)</w:t>
      </w:r>
    </w:p>
    <w:p w14:paraId="69726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三、推进机制</w:t>
      </w:r>
    </w:p>
    <w:p w14:paraId="71525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成立打好防范化解风险阻击仗工作专班，由</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lang w:eastAsia="zh-CN"/>
          <w14:textFill>
            <w14:solidFill>
              <w14:schemeClr w14:val="tx1"/>
            </w14:solidFill>
          </w14:textFill>
        </w:rPr>
        <w:t>政府分管副主任</w:t>
      </w:r>
      <w:r>
        <w:rPr>
          <w:rFonts w:hint="eastAsia" w:ascii="仿宋" w:hAnsi="仿宋" w:eastAsia="仿宋" w:cs="仿宋"/>
          <w:color w:val="000000" w:themeColor="text1"/>
          <w:sz w:val="32"/>
          <w:szCs w:val="32"/>
          <w:lang w:val="en-US" w:eastAsia="zh-CN"/>
          <w14:textFill>
            <w14:solidFill>
              <w14:schemeClr w14:val="tx1"/>
            </w14:solidFill>
          </w14:textFill>
        </w:rPr>
        <w:t>唐伯贫</w:t>
      </w:r>
      <w:r>
        <w:rPr>
          <w:rFonts w:hint="eastAsia" w:ascii="仿宋" w:hAnsi="仿宋" w:eastAsia="仿宋" w:cs="仿宋"/>
          <w:color w:val="000000" w:themeColor="text1"/>
          <w:sz w:val="32"/>
          <w:szCs w:val="32"/>
          <w:lang w:eastAsia="zh-CN"/>
          <w14:textFill>
            <w14:solidFill>
              <w14:schemeClr w14:val="tx1"/>
            </w14:solidFill>
          </w14:textFill>
        </w:rPr>
        <w:t>担任召集人，县财政局</w:t>
      </w:r>
      <w:r>
        <w:rPr>
          <w:rFonts w:hint="eastAsia" w:ascii="仿宋" w:hAnsi="仿宋" w:eastAsia="仿宋" w:cs="仿宋"/>
          <w:color w:val="000000" w:themeColor="text1"/>
          <w:sz w:val="32"/>
          <w:szCs w:val="32"/>
          <w:lang w:val="en-US" w:eastAsia="zh-CN"/>
          <w14:textFill>
            <w14:solidFill>
              <w14:schemeClr w14:val="tx1"/>
            </w14:solidFill>
          </w14:textFill>
        </w:rPr>
        <w:t>党委书记、局长罗兴</w:t>
      </w:r>
      <w:r>
        <w:rPr>
          <w:rFonts w:hint="eastAsia" w:ascii="仿宋" w:hAnsi="仿宋" w:eastAsia="仿宋" w:cs="仿宋"/>
          <w:color w:val="000000" w:themeColor="text1"/>
          <w:sz w:val="32"/>
          <w:szCs w:val="32"/>
          <w:lang w:eastAsia="zh-CN"/>
          <w14:textFill>
            <w14:solidFill>
              <w14:schemeClr w14:val="tx1"/>
            </w14:solidFill>
          </w14:textFill>
        </w:rPr>
        <w:t>担任副召集人，成员单位包括县财政局、县金融服务中心、县住房和城乡建设局、县应急管理局、县卫生健康局、</w:t>
      </w:r>
      <w:r>
        <w:rPr>
          <w:rFonts w:hint="eastAsia" w:ascii="仿宋" w:hAnsi="仿宋" w:eastAsia="仿宋" w:cs="仿宋"/>
          <w:color w:val="000000" w:themeColor="text1"/>
          <w:sz w:val="32"/>
          <w:szCs w:val="32"/>
          <w:lang w:val="en-US" w:eastAsia="zh-CN"/>
          <w14:textFill>
            <w14:solidFill>
              <w14:schemeClr w14:val="tx1"/>
            </w14:solidFill>
          </w14:textFill>
        </w:rPr>
        <w:t>县发展和改革局、</w:t>
      </w:r>
      <w:r>
        <w:rPr>
          <w:rFonts w:hint="eastAsia" w:ascii="仿宋" w:hAnsi="仿宋" w:eastAsia="仿宋" w:cs="仿宋"/>
          <w:color w:val="000000" w:themeColor="text1"/>
          <w:sz w:val="32"/>
          <w:szCs w:val="32"/>
          <w:lang w:eastAsia="zh-CN"/>
          <w14:textFill>
            <w14:solidFill>
              <w14:schemeClr w14:val="tx1"/>
            </w14:solidFill>
          </w14:textFill>
        </w:rPr>
        <w:t>县农业农村水利局、县公安局、县民政局、县自然资源局、</w:t>
      </w:r>
      <w:r>
        <w:rPr>
          <w:rFonts w:hint="eastAsia" w:ascii="仿宋" w:hAnsi="仿宋" w:eastAsia="仿宋" w:cs="仿宋"/>
          <w:color w:val="000000" w:themeColor="text1"/>
          <w:sz w:val="32"/>
          <w:szCs w:val="32"/>
          <w:lang w:val="en-US" w:eastAsia="zh-CN"/>
          <w14:textFill>
            <w14:solidFill>
              <w14:schemeClr w14:val="tx1"/>
            </w14:solidFill>
          </w14:textFill>
        </w:rPr>
        <w:t>县交通运输局、县市场监督管理局</w:t>
      </w:r>
      <w:r>
        <w:rPr>
          <w:rFonts w:hint="eastAsia" w:ascii="仿宋" w:hAnsi="仿宋" w:eastAsia="仿宋" w:cs="仿宋"/>
          <w:color w:val="000000" w:themeColor="text1"/>
          <w:sz w:val="32"/>
          <w:szCs w:val="32"/>
          <w:lang w:eastAsia="zh-CN"/>
          <w14:textFill>
            <w14:solidFill>
              <w14:schemeClr w14:val="tx1"/>
            </w14:solidFill>
          </w14:textFill>
        </w:rPr>
        <w:t>、县城市管理和综合执法局、</w:t>
      </w:r>
      <w:r>
        <w:rPr>
          <w:rFonts w:hint="eastAsia" w:ascii="仿宋" w:hAnsi="仿宋" w:eastAsia="仿宋" w:cs="仿宋"/>
          <w:color w:val="000000" w:themeColor="text1"/>
          <w:sz w:val="32"/>
          <w:szCs w:val="32"/>
          <w:lang w:val="en-US" w:eastAsia="zh-CN"/>
          <w14:textFill>
            <w14:solidFill>
              <w14:schemeClr w14:val="tx1"/>
            </w14:solidFill>
          </w14:textFill>
        </w:rPr>
        <w:t>县税务局、</w:t>
      </w:r>
      <w:r>
        <w:rPr>
          <w:rFonts w:hint="eastAsia" w:ascii="仿宋" w:hAnsi="仿宋" w:eastAsia="仿宋" w:cs="仿宋"/>
          <w:color w:val="000000" w:themeColor="text1"/>
          <w:sz w:val="32"/>
          <w:szCs w:val="32"/>
          <w:lang w:eastAsia="zh-CN"/>
          <w14:textFill>
            <w14:solidFill>
              <w14:schemeClr w14:val="tx1"/>
            </w14:solidFill>
          </w14:textFill>
        </w:rPr>
        <w:t>人民银行绥宁支行、</w:t>
      </w:r>
      <w:r>
        <w:rPr>
          <w:rFonts w:hint="eastAsia" w:ascii="仿宋" w:hAnsi="仿宋" w:eastAsia="仿宋" w:cs="仿宋"/>
          <w:color w:val="000000" w:themeColor="text1"/>
          <w:sz w:val="32"/>
          <w:szCs w:val="32"/>
          <w:lang w:val="en-US" w:eastAsia="zh-CN"/>
          <w14:textFill>
            <w14:solidFill>
              <w14:schemeClr w14:val="tx1"/>
            </w14:solidFill>
          </w14:textFill>
        </w:rPr>
        <w:t>绥宁产业开发区管理委员会、县城投公司、</w:t>
      </w:r>
      <w:r>
        <w:rPr>
          <w:rFonts w:hint="eastAsia" w:ascii="仿宋" w:hAnsi="仿宋" w:eastAsia="仿宋" w:cs="仿宋"/>
          <w:color w:val="000000" w:themeColor="text1"/>
          <w:sz w:val="32"/>
          <w:szCs w:val="32"/>
          <w:lang w:eastAsia="zh-CN"/>
          <w14:textFill>
            <w14:solidFill>
              <w14:schemeClr w14:val="tx1"/>
            </w14:solidFill>
          </w14:textFill>
        </w:rPr>
        <w:t>县供电公司等。专班办公室设</w:t>
      </w:r>
      <w:r>
        <w:rPr>
          <w:rFonts w:hint="eastAsia" w:ascii="仿宋" w:hAnsi="仿宋" w:eastAsia="仿宋" w:cs="仿宋"/>
          <w:color w:val="000000" w:themeColor="text1"/>
          <w:sz w:val="32"/>
          <w:szCs w:val="32"/>
          <w:lang w:val="en-US" w:eastAsia="zh-CN"/>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县财政局，县财政局党委委员、</w:t>
      </w:r>
      <w:r>
        <w:rPr>
          <w:rFonts w:hint="eastAsia" w:ascii="仿宋" w:hAnsi="仿宋" w:eastAsia="仿宋" w:cs="仿宋"/>
          <w:color w:val="000000" w:themeColor="text1"/>
          <w:sz w:val="32"/>
          <w:szCs w:val="32"/>
          <w:lang w:val="en-US" w:eastAsia="zh-CN"/>
          <w14:textFill>
            <w14:solidFill>
              <w14:schemeClr w14:val="tx1"/>
            </w14:solidFill>
          </w14:textFill>
        </w:rPr>
        <w:t>分管</w:t>
      </w:r>
      <w:r>
        <w:rPr>
          <w:rFonts w:hint="eastAsia" w:ascii="仿宋" w:hAnsi="仿宋" w:eastAsia="仿宋" w:cs="仿宋"/>
          <w:color w:val="000000" w:themeColor="text1"/>
          <w:sz w:val="32"/>
          <w:szCs w:val="32"/>
          <w:lang w:eastAsia="zh-CN"/>
          <w14:textFill>
            <w14:solidFill>
              <w14:schemeClr w14:val="tx1"/>
            </w14:solidFill>
          </w14:textFill>
        </w:rPr>
        <w:t>副局长</w:t>
      </w:r>
      <w:r>
        <w:rPr>
          <w:rFonts w:hint="eastAsia" w:ascii="仿宋" w:hAnsi="仿宋" w:eastAsia="仿宋" w:cs="仿宋"/>
          <w:color w:val="000000" w:themeColor="text1"/>
          <w:sz w:val="32"/>
          <w:szCs w:val="32"/>
          <w:lang w:val="en-US" w:eastAsia="zh-CN"/>
          <w14:textFill>
            <w14:solidFill>
              <w14:schemeClr w14:val="tx1"/>
            </w14:solidFill>
          </w14:textFill>
        </w:rPr>
        <w:t>李连生</w:t>
      </w:r>
      <w:r>
        <w:rPr>
          <w:rFonts w:hint="eastAsia" w:ascii="仿宋" w:hAnsi="仿宋" w:eastAsia="仿宋" w:cs="仿宋"/>
          <w:color w:val="000000" w:themeColor="text1"/>
          <w:sz w:val="32"/>
          <w:szCs w:val="32"/>
          <w:lang w:eastAsia="zh-CN"/>
          <w14:textFill>
            <w14:solidFill>
              <w14:schemeClr w14:val="tx1"/>
            </w14:solidFill>
          </w14:textFill>
        </w:rPr>
        <w:t>任办公室主任，县财政局、县金融服务中心、县住房和城乡建设局、县卫生健康局、县应</w:t>
      </w:r>
      <w:r>
        <w:rPr>
          <w:rFonts w:hint="eastAsia" w:ascii="仿宋" w:hAnsi="仿宋" w:eastAsia="仿宋" w:cs="仿宋"/>
          <w:color w:val="000000" w:themeColor="text1"/>
          <w:spacing w:val="-6"/>
          <w:sz w:val="32"/>
          <w:szCs w:val="32"/>
          <w:lang w:eastAsia="zh-CN"/>
          <w14:textFill>
            <w14:solidFill>
              <w14:schemeClr w14:val="tx1"/>
            </w14:solidFill>
          </w14:textFill>
        </w:rPr>
        <w:t>急管理局分别明确一名股长任联络员，负责日常协调和调度工作。</w:t>
      </w:r>
    </w:p>
    <w:p w14:paraId="357C2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3943E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附表：绥宁县打好“防范化解风险阻击仗”重点工作任务</w:t>
      </w:r>
    </w:p>
    <w:p w14:paraId="1DE4D52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000000" w:themeColor="text1"/>
          <w:w w:val="96"/>
          <w:sz w:val="32"/>
          <w:szCs w:val="32"/>
          <w:lang w:val="en-US" w:eastAsia="zh-CN"/>
          <w14:textFill>
            <w14:solidFill>
              <w14:schemeClr w14:val="tx1"/>
            </w14:solidFill>
          </w14:textFill>
        </w:rPr>
        <w:sectPr>
          <w:footerReference r:id="rId6" w:type="default"/>
          <w:pgSz w:w="11906" w:h="16838"/>
          <w:pgMar w:top="1531" w:right="1531" w:bottom="1440" w:left="1701" w:header="851" w:footer="1219" w:gutter="0"/>
          <w:cols w:space="0" w:num="1"/>
          <w:rtlGutter w:val="0"/>
          <w:docGrid w:type="lines" w:linePitch="312" w:charSpace="0"/>
        </w:sectPr>
      </w:pPr>
      <w:r>
        <w:rPr>
          <w:rFonts w:hint="eastAsia" w:ascii="仿宋" w:hAnsi="仿宋" w:eastAsia="仿宋" w:cs="仿宋"/>
          <w:color w:val="000000" w:themeColor="text1"/>
          <w:sz w:val="32"/>
          <w:szCs w:val="32"/>
          <w:lang w:val="en-US" w:eastAsia="zh-CN"/>
          <w14:textFill>
            <w14:solidFill>
              <w14:schemeClr w14:val="tx1"/>
            </w14:solidFill>
          </w14:textFill>
        </w:rPr>
        <w:t>责任分解表</w:t>
      </w:r>
    </w:p>
    <w:p w14:paraId="4BFBB6B5">
      <w:pPr>
        <w:jc w:val="both"/>
        <w:rPr>
          <w:rFonts w:hint="eastAsia" w:ascii="黑体" w:hAnsi="黑体" w:eastAsia="黑体" w:cs="黑体"/>
          <w:color w:val="000000" w:themeColor="text1"/>
          <w:w w:val="100"/>
          <w:sz w:val="32"/>
          <w:szCs w:val="32"/>
          <w:lang w:val="en-US" w:eastAsia="zh-CN"/>
          <w14:textFill>
            <w14:solidFill>
              <w14:schemeClr w14:val="tx1"/>
            </w14:solidFill>
          </w14:textFill>
        </w:rPr>
      </w:pPr>
      <w:r>
        <w:rPr>
          <w:rFonts w:hint="eastAsia" w:ascii="黑体" w:hAnsi="黑体" w:eastAsia="黑体" w:cs="黑体"/>
          <w:color w:val="000000" w:themeColor="text1"/>
          <w:w w:val="100"/>
          <w:sz w:val="32"/>
          <w:szCs w:val="32"/>
          <w:lang w:val="en-US" w:eastAsia="zh-CN"/>
          <w14:textFill>
            <w14:solidFill>
              <w14:schemeClr w14:val="tx1"/>
            </w14:solidFill>
          </w14:textFill>
        </w:rPr>
        <w:t>附表</w:t>
      </w:r>
    </w:p>
    <w:p w14:paraId="70AB0D6E">
      <w:pPr>
        <w:jc w:val="center"/>
        <w:rPr>
          <w:rFonts w:hint="eastAsia" w:ascii="楷体_GB2312" w:hAnsi="楷体_GB2312" w:eastAsia="楷体_GB2312" w:cs="楷体_GB2312"/>
          <w:color w:val="000000" w:themeColor="text1"/>
          <w:w w:val="100"/>
          <w:sz w:val="28"/>
          <w:szCs w:val="28"/>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0"/>
          <w:sz w:val="44"/>
          <w:szCs w:val="44"/>
          <w:lang w:val="en-US" w:eastAsia="zh-CN"/>
          <w14:textFill>
            <w14:solidFill>
              <w14:schemeClr w14:val="tx1"/>
            </w14:solidFill>
          </w14:textFill>
        </w:rPr>
        <w:t>绥宁县打好“防范化解风险阻击仗”</w:t>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重点工作任务责任分解表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6740"/>
        <w:gridCol w:w="3240"/>
        <w:gridCol w:w="1755"/>
        <w:gridCol w:w="1718"/>
      </w:tblGrid>
      <w:tr w14:paraId="3462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blHeader/>
          <w:jc w:val="center"/>
        </w:trPr>
        <w:tc>
          <w:tcPr>
            <w:tcW w:w="710" w:type="dxa"/>
            <w:noWrap w:val="0"/>
            <w:vAlign w:val="center"/>
          </w:tcPr>
          <w:p w14:paraId="16F85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740" w:type="dxa"/>
            <w:noWrap w:val="0"/>
            <w:vAlign w:val="center"/>
          </w:tcPr>
          <w:p w14:paraId="5E13C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240" w:type="dxa"/>
            <w:noWrap w:val="0"/>
            <w:vAlign w:val="center"/>
          </w:tcPr>
          <w:p w14:paraId="5EC31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1755" w:type="dxa"/>
            <w:noWrap w:val="0"/>
            <w:vAlign w:val="center"/>
          </w:tcPr>
          <w:p w14:paraId="30E58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718" w:type="dxa"/>
            <w:noWrap w:val="0"/>
            <w:vAlign w:val="center"/>
          </w:tcPr>
          <w:p w14:paraId="3744C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 xml:space="preserve">牵头县级领导 </w:t>
            </w:r>
          </w:p>
        </w:tc>
      </w:tr>
      <w:tr w14:paraId="5682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4163" w:type="dxa"/>
            <w:gridSpan w:val="5"/>
            <w:noWrap w:val="0"/>
            <w:vAlign w:val="center"/>
          </w:tcPr>
          <w:p w14:paraId="03B60B21">
            <w:pPr>
              <w:spacing w:line="28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一、防范化解政府债务风险（县财政局牵头）</w:t>
            </w:r>
          </w:p>
        </w:tc>
      </w:tr>
      <w:tr w14:paraId="2603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4163" w:type="dxa"/>
            <w:gridSpan w:val="5"/>
            <w:noWrap w:val="0"/>
            <w:vAlign w:val="center"/>
          </w:tcPr>
          <w:p w14:paraId="1417DDFC">
            <w:pPr>
              <w:spacing w:line="28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（一）严格遏制新增政府隐性债务</w:t>
            </w:r>
          </w:p>
        </w:tc>
      </w:tr>
      <w:tr w14:paraId="0637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5604039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6740" w:type="dxa"/>
            <w:noWrap w:val="0"/>
            <w:vAlign w:val="center"/>
          </w:tcPr>
          <w:p w14:paraId="790352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落实规范政府投资项目立项管理办法，执行高风险地区上级财政开工核准制。</w:t>
            </w:r>
          </w:p>
        </w:tc>
        <w:tc>
          <w:tcPr>
            <w:tcW w:w="3240" w:type="dxa"/>
            <w:noWrap w:val="0"/>
            <w:vAlign w:val="center"/>
          </w:tcPr>
          <w:p w14:paraId="5F1563AB">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县发展和改革局</w:t>
            </w:r>
          </w:p>
          <w:p w14:paraId="7393E9C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县财政局</w:t>
            </w:r>
          </w:p>
        </w:tc>
        <w:tc>
          <w:tcPr>
            <w:tcW w:w="1755" w:type="dxa"/>
            <w:noWrap w:val="0"/>
            <w:vAlign w:val="center"/>
          </w:tcPr>
          <w:p w14:paraId="08E5980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唐友柏</w:t>
            </w:r>
          </w:p>
          <w:p w14:paraId="56AE586A">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罗  兴</w:t>
            </w:r>
          </w:p>
        </w:tc>
        <w:tc>
          <w:tcPr>
            <w:tcW w:w="1718" w:type="dxa"/>
            <w:noWrap w:val="0"/>
            <w:vAlign w:val="center"/>
          </w:tcPr>
          <w:p w14:paraId="1B5F25E3">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285EB07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tc>
      </w:tr>
      <w:tr w14:paraId="6BF5A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6E86B06A">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6740" w:type="dxa"/>
            <w:noWrap w:val="0"/>
            <w:vAlign w:val="center"/>
          </w:tcPr>
          <w:p w14:paraId="55B9D2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深化违规举债和虚假化债专项监督，加大执纪问责力度。</w:t>
            </w:r>
            <w:r>
              <w:rPr>
                <w:rFonts w:hint="eastAsia" w:ascii="宋体" w:hAnsi="宋体" w:eastAsia="宋体" w:cs="宋体"/>
                <w:color w:val="000000" w:themeColor="text1"/>
                <w:kern w:val="2"/>
                <w:sz w:val="24"/>
                <w:szCs w:val="24"/>
                <w:lang w:val="en-US" w:eastAsia="zh-CN" w:bidi="ar-SA"/>
                <w14:textFill>
                  <w14:solidFill>
                    <w14:schemeClr w14:val="tx1"/>
                  </w14:solidFill>
                </w14:textFill>
              </w:rPr>
              <w:t>加强债务管理工作考核，将防范化解债务风险纳入省委巡视、县委巡察、绩效考核、真抓实干、审计等重点工作范围。</w:t>
            </w:r>
          </w:p>
        </w:tc>
        <w:tc>
          <w:tcPr>
            <w:tcW w:w="3240" w:type="dxa"/>
            <w:noWrap w:val="0"/>
            <w:vAlign w:val="center"/>
          </w:tcPr>
          <w:p w14:paraId="783917E6">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县纪委监委</w:t>
            </w:r>
          </w:p>
          <w:p w14:paraId="636AC3E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县委组织部</w:t>
            </w:r>
          </w:p>
          <w:p w14:paraId="3EEB9FF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县委巡察办</w:t>
            </w:r>
          </w:p>
          <w:p w14:paraId="35747AA2">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县委考评办</w:t>
            </w:r>
          </w:p>
          <w:p w14:paraId="1E847EF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县财政局</w:t>
            </w:r>
          </w:p>
          <w:p w14:paraId="073E37F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县发展和改革局</w:t>
            </w:r>
          </w:p>
          <w:p w14:paraId="6F452416">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县审计局</w:t>
            </w:r>
          </w:p>
          <w:p w14:paraId="31B9FB73">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绥宁产业开发区管理委员会</w:t>
            </w:r>
          </w:p>
          <w:p w14:paraId="3BAB4286">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县城投公司</w:t>
            </w:r>
          </w:p>
        </w:tc>
        <w:tc>
          <w:tcPr>
            <w:tcW w:w="1755" w:type="dxa"/>
            <w:noWrap w:val="0"/>
            <w:vAlign w:val="center"/>
          </w:tcPr>
          <w:p w14:paraId="324B3685">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唐笑晖</w:t>
            </w:r>
          </w:p>
          <w:p w14:paraId="1C8843E1">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戴立山</w:t>
            </w:r>
          </w:p>
          <w:p w14:paraId="640F09BB">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付明良</w:t>
            </w:r>
          </w:p>
          <w:p w14:paraId="0668FAC6">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秦春燕</w:t>
            </w:r>
          </w:p>
          <w:p w14:paraId="0DC98AE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罗  兴</w:t>
            </w:r>
          </w:p>
          <w:p w14:paraId="7A860DBC">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唐友柏</w:t>
            </w:r>
          </w:p>
          <w:p w14:paraId="6F5B0A5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张小文</w:t>
            </w:r>
          </w:p>
          <w:p w14:paraId="34E4BB9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匡继辉</w:t>
            </w:r>
          </w:p>
          <w:p w14:paraId="72890B1B">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龙景佳</w:t>
            </w:r>
          </w:p>
        </w:tc>
        <w:tc>
          <w:tcPr>
            <w:tcW w:w="1718" w:type="dxa"/>
            <w:noWrap w:val="0"/>
            <w:vAlign w:val="center"/>
          </w:tcPr>
          <w:p w14:paraId="67A4494C">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张立名</w:t>
            </w:r>
          </w:p>
          <w:p w14:paraId="4633CDF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08197FF6">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周楚舜</w:t>
            </w:r>
          </w:p>
          <w:p w14:paraId="4BB17161">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tc>
      </w:tr>
      <w:tr w14:paraId="2CF6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4163" w:type="dxa"/>
            <w:gridSpan w:val="5"/>
            <w:noWrap w:val="0"/>
            <w:vAlign w:val="center"/>
          </w:tcPr>
          <w:p w14:paraId="3BA7F4DA">
            <w:pPr>
              <w:spacing w:line="28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（二）多措并举化解存量债务</w:t>
            </w:r>
          </w:p>
        </w:tc>
      </w:tr>
      <w:tr w14:paraId="06F1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6" w:hRule="atLeast"/>
          <w:jc w:val="center"/>
        </w:trPr>
        <w:tc>
          <w:tcPr>
            <w:tcW w:w="710" w:type="dxa"/>
            <w:noWrap w:val="0"/>
            <w:vAlign w:val="center"/>
          </w:tcPr>
          <w:p w14:paraId="167A73A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p>
        </w:tc>
        <w:tc>
          <w:tcPr>
            <w:tcW w:w="6740" w:type="dxa"/>
            <w:noWrap w:val="0"/>
            <w:vAlign w:val="center"/>
          </w:tcPr>
          <w:p w14:paraId="5357E3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组织各级多渠道筹集资金化解债务，优先保障付息，严禁虚假化债和数字化债。落实化债部门责任制。</w:t>
            </w:r>
            <w:r>
              <w:rPr>
                <w:rFonts w:hint="eastAsia" w:ascii="宋体" w:hAnsi="宋体" w:eastAsia="宋体" w:cs="宋体"/>
                <w:color w:val="000000" w:themeColor="text1"/>
                <w:sz w:val="24"/>
                <w:szCs w:val="24"/>
                <w:lang w:val="en-US" w:eastAsia="zh-CN"/>
                <w14:textFill>
                  <w14:solidFill>
                    <w14:schemeClr w14:val="tx1"/>
                  </w14:solidFill>
                </w14:textFill>
              </w:rPr>
              <w:t>创造条件开展风险等级“创绿”、政府隐性债务“清零”试点。</w:t>
            </w:r>
          </w:p>
        </w:tc>
        <w:tc>
          <w:tcPr>
            <w:tcW w:w="3240" w:type="dxa"/>
            <w:noWrap w:val="0"/>
            <w:vAlign w:val="center"/>
          </w:tcPr>
          <w:p w14:paraId="3FE7BDF4">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县财政局</w:t>
            </w:r>
          </w:p>
          <w:p w14:paraId="4DC91A5A">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绥宁产业开发区管理委员会</w:t>
            </w:r>
          </w:p>
          <w:p w14:paraId="26DB1781">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县城投公司</w:t>
            </w:r>
          </w:p>
          <w:p w14:paraId="488A9310">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相关县</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直部门等</w:t>
            </w:r>
          </w:p>
        </w:tc>
        <w:tc>
          <w:tcPr>
            <w:tcW w:w="1755" w:type="dxa"/>
            <w:noWrap w:val="0"/>
            <w:vAlign w:val="center"/>
          </w:tcPr>
          <w:p w14:paraId="0E8073EA">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罗  兴</w:t>
            </w:r>
          </w:p>
          <w:p w14:paraId="2AC97952">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匡继辉</w:t>
            </w:r>
          </w:p>
          <w:p w14:paraId="1BDE2B46">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龙景佳</w:t>
            </w:r>
          </w:p>
          <w:p w14:paraId="1F1279D7">
            <w:pPr>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相关县</w:t>
            </w:r>
            <w:r>
              <w:rPr>
                <w:rFonts w:hint="eastAsia" w:ascii="宋体" w:hAnsi="宋体" w:eastAsia="宋体" w:cs="宋体"/>
                <w:color w:val="000000" w:themeColor="text1"/>
                <w:kern w:val="2"/>
                <w:sz w:val="24"/>
                <w:szCs w:val="24"/>
                <w:lang w:val="en-US" w:eastAsia="zh-CN" w:bidi="ar-SA"/>
                <w14:textFill>
                  <w14:solidFill>
                    <w14:schemeClr w14:val="tx1"/>
                  </w14:solidFill>
                </w14:textFill>
              </w:rPr>
              <w:t>直部门主要负责人</w:t>
            </w:r>
          </w:p>
        </w:tc>
        <w:tc>
          <w:tcPr>
            <w:tcW w:w="1718" w:type="dxa"/>
            <w:noWrap w:val="0"/>
            <w:vAlign w:val="center"/>
          </w:tcPr>
          <w:p w14:paraId="0ED38FF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363F284B">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p w14:paraId="6ED28C8F">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相关部门单位分管副县长</w:t>
            </w:r>
          </w:p>
        </w:tc>
      </w:tr>
      <w:tr w14:paraId="5CFC8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4163" w:type="dxa"/>
            <w:gridSpan w:val="5"/>
            <w:noWrap w:val="0"/>
            <w:vAlign w:val="center"/>
          </w:tcPr>
          <w:p w14:paraId="608718F2">
            <w:pPr>
              <w:spacing w:line="2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（三）常态化监测预警债务风险</w:t>
            </w:r>
          </w:p>
        </w:tc>
      </w:tr>
      <w:tr w14:paraId="052B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jc w:val="center"/>
        </w:trPr>
        <w:tc>
          <w:tcPr>
            <w:tcW w:w="710" w:type="dxa"/>
            <w:noWrap w:val="0"/>
            <w:vAlign w:val="center"/>
          </w:tcPr>
          <w:p w14:paraId="7D7662D6">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6740" w:type="dxa"/>
            <w:noWrap w:val="0"/>
            <w:vAlign w:val="center"/>
          </w:tcPr>
          <w:p w14:paraId="546DBF10">
            <w:pPr>
              <w:spacing w:line="28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健全常态化债务监测机制，及时开展债务风险评估预警。发挥政信资源引导作用，协调金融机构运用“六个一批”措施缓释到期债务风险。</w:t>
            </w:r>
          </w:p>
        </w:tc>
        <w:tc>
          <w:tcPr>
            <w:tcW w:w="3240" w:type="dxa"/>
            <w:noWrap w:val="0"/>
            <w:vAlign w:val="center"/>
          </w:tcPr>
          <w:p w14:paraId="7D988ECA">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县财政局</w:t>
            </w:r>
          </w:p>
          <w:p w14:paraId="71E54D1B">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县金融服务中心</w:t>
            </w:r>
          </w:p>
          <w:p w14:paraId="256EDCA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人民银行绥宁支行</w:t>
            </w:r>
          </w:p>
          <w:p w14:paraId="4B9E699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绥宁产业开发区管理委员会</w:t>
            </w:r>
          </w:p>
          <w:p w14:paraId="29C90D2C">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县城投公司</w:t>
            </w:r>
          </w:p>
        </w:tc>
        <w:tc>
          <w:tcPr>
            <w:tcW w:w="1755" w:type="dxa"/>
            <w:noWrap w:val="0"/>
            <w:vAlign w:val="bottom"/>
          </w:tcPr>
          <w:p w14:paraId="27F251E0">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罗  兴</w:t>
            </w:r>
          </w:p>
          <w:p w14:paraId="2E1F02FC">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张克俭</w:t>
            </w:r>
          </w:p>
          <w:p w14:paraId="55B574D2">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肖新哲</w:t>
            </w:r>
          </w:p>
          <w:p w14:paraId="2FF0670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匡继辉</w:t>
            </w:r>
          </w:p>
          <w:p w14:paraId="6B81886D">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龙景佳</w:t>
            </w:r>
          </w:p>
        </w:tc>
        <w:tc>
          <w:tcPr>
            <w:tcW w:w="1718" w:type="dxa"/>
            <w:noWrap w:val="0"/>
            <w:vAlign w:val="center"/>
          </w:tcPr>
          <w:p w14:paraId="18C3BFD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09A1D557">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tc>
      </w:tr>
      <w:tr w14:paraId="02D9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52422539">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6740" w:type="dxa"/>
            <w:noWrap w:val="0"/>
            <w:vAlign w:val="center"/>
          </w:tcPr>
          <w:p w14:paraId="0B60B304">
            <w:pPr>
              <w:spacing w:line="28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持续做好债务舆情监测处置工作。</w:t>
            </w:r>
          </w:p>
        </w:tc>
        <w:tc>
          <w:tcPr>
            <w:tcW w:w="3240" w:type="dxa"/>
            <w:noWrap w:val="0"/>
            <w:vAlign w:val="center"/>
          </w:tcPr>
          <w:p w14:paraId="539F6E9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县委网信办</w:t>
            </w:r>
          </w:p>
          <w:p w14:paraId="0506485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县财政局</w:t>
            </w:r>
          </w:p>
        </w:tc>
        <w:tc>
          <w:tcPr>
            <w:tcW w:w="1755" w:type="dxa"/>
            <w:noWrap w:val="0"/>
            <w:vAlign w:val="top"/>
          </w:tcPr>
          <w:p w14:paraId="61853C36">
            <w:pPr>
              <w:snapToGrid w:val="0"/>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伍颖虎</w:t>
            </w:r>
          </w:p>
          <w:p w14:paraId="4F824042">
            <w:pPr>
              <w:snapToGrid w:val="0"/>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罗  兴</w:t>
            </w:r>
          </w:p>
        </w:tc>
        <w:tc>
          <w:tcPr>
            <w:tcW w:w="1718" w:type="dxa"/>
            <w:noWrap w:val="0"/>
            <w:vAlign w:val="center"/>
          </w:tcPr>
          <w:p w14:paraId="35E2780E">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谢文远</w:t>
            </w:r>
          </w:p>
          <w:p w14:paraId="7D00BE02">
            <w:pPr>
              <w:snapToGrid w:val="0"/>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3105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4163" w:type="dxa"/>
            <w:gridSpan w:val="5"/>
            <w:noWrap w:val="0"/>
            <w:vAlign w:val="center"/>
          </w:tcPr>
          <w:p w14:paraId="026ECBAA">
            <w:pPr>
              <w:spacing w:line="2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（四）加强政府债券管理</w:t>
            </w:r>
          </w:p>
        </w:tc>
      </w:tr>
      <w:tr w14:paraId="06C23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jc w:val="center"/>
        </w:trPr>
        <w:tc>
          <w:tcPr>
            <w:tcW w:w="710" w:type="dxa"/>
            <w:tcBorders>
              <w:right w:val="single" w:color="auto" w:sz="4" w:space="0"/>
            </w:tcBorders>
            <w:noWrap w:val="0"/>
            <w:vAlign w:val="center"/>
          </w:tcPr>
          <w:p w14:paraId="5B41FCA0">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6740" w:type="dxa"/>
            <w:tcBorders>
              <w:left w:val="single" w:color="auto" w:sz="4" w:space="0"/>
            </w:tcBorders>
            <w:noWrap w:val="0"/>
            <w:vAlign w:val="center"/>
          </w:tcPr>
          <w:p w14:paraId="4B5C3474">
            <w:pPr>
              <w:spacing w:line="260" w:lineRule="exact"/>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加强政府债券管理，聚焦短板领域、重点方向、重大项目，组织县优质储备债券项目，特别是做好2023年补充批次项目申报。加快政府债券资金使用进度，加强专项债券投后管理，探索实施专项债券穿透式监测有关要求。</w:t>
            </w:r>
          </w:p>
        </w:tc>
        <w:tc>
          <w:tcPr>
            <w:tcW w:w="3240" w:type="dxa"/>
            <w:noWrap w:val="0"/>
            <w:vAlign w:val="center"/>
          </w:tcPr>
          <w:p w14:paraId="7B7ACBB7">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县发展和改革局</w:t>
            </w:r>
          </w:p>
          <w:p w14:paraId="7BCED2C1">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县财政局</w:t>
            </w:r>
          </w:p>
          <w:p w14:paraId="2982999C">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县自然资源局</w:t>
            </w:r>
          </w:p>
          <w:p w14:paraId="2195D6E8">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县住房和城乡建设局</w:t>
            </w:r>
          </w:p>
          <w:p w14:paraId="3312148F">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绥宁产业开发区管理委员会</w:t>
            </w:r>
          </w:p>
          <w:p w14:paraId="1A8E828C">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相关直部门及项目单位</w:t>
            </w:r>
          </w:p>
        </w:tc>
        <w:tc>
          <w:tcPr>
            <w:tcW w:w="1755" w:type="dxa"/>
            <w:noWrap w:val="0"/>
            <w:vAlign w:val="center"/>
          </w:tcPr>
          <w:p w14:paraId="6632729B">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唐友柏</w:t>
            </w:r>
          </w:p>
          <w:p w14:paraId="2BA9D0BF">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罗  兴                             </w:t>
            </w:r>
          </w:p>
          <w:p w14:paraId="6DDBD0F0">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丁再荣</w:t>
            </w:r>
          </w:p>
          <w:p w14:paraId="2FCD4FA2">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黄始伟</w:t>
            </w:r>
          </w:p>
          <w:p w14:paraId="259C145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匡继辉</w:t>
            </w:r>
          </w:p>
          <w:p w14:paraId="5E0F40FC">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相关县直部门及项目单位主要负责人</w:t>
            </w:r>
          </w:p>
        </w:tc>
        <w:tc>
          <w:tcPr>
            <w:tcW w:w="1718" w:type="dxa"/>
            <w:noWrap w:val="0"/>
            <w:vAlign w:val="center"/>
          </w:tcPr>
          <w:p w14:paraId="1486E6D2">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6250ECA7">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p w14:paraId="1BC66B95">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p w14:paraId="427D5609">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相关部门单位分管副县长</w:t>
            </w:r>
          </w:p>
        </w:tc>
      </w:tr>
      <w:tr w14:paraId="4281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710" w:type="dxa"/>
            <w:tcBorders>
              <w:right w:val="single" w:color="auto" w:sz="4" w:space="0"/>
            </w:tcBorders>
            <w:noWrap w:val="0"/>
            <w:vAlign w:val="center"/>
          </w:tcPr>
          <w:p w14:paraId="6E5F8ACB">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6740" w:type="dxa"/>
            <w:tcBorders>
              <w:left w:val="single" w:color="auto" w:sz="4" w:space="0"/>
            </w:tcBorders>
            <w:noWrap w:val="0"/>
            <w:vAlign w:val="center"/>
          </w:tcPr>
          <w:p w14:paraId="1781F6E0">
            <w:pPr>
              <w:spacing w:line="260" w:lineRule="exact"/>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争取省财政厅对我县政府债券限额分配支持，争取2023年不低于过去三年的平均水平。</w:t>
            </w:r>
            <w:r>
              <w:rPr>
                <w:rFonts w:hint="eastAsia" w:ascii="宋体" w:hAnsi="宋体" w:eastAsia="宋体" w:cs="宋体"/>
                <w:color w:val="000000" w:themeColor="text1"/>
                <w:sz w:val="24"/>
                <w:szCs w:val="24"/>
                <w:lang w:val="en-US" w:eastAsia="zh-CN"/>
                <w14:textFill>
                  <w14:solidFill>
                    <w14:schemeClr w14:val="tx1"/>
                  </w14:solidFill>
                </w14:textFill>
              </w:rPr>
              <w:t>确保政府债券顺利发行。按时足额还本付息，确保法定债券不出风险。</w:t>
            </w:r>
          </w:p>
        </w:tc>
        <w:tc>
          <w:tcPr>
            <w:tcW w:w="3240" w:type="dxa"/>
            <w:noWrap w:val="0"/>
            <w:vAlign w:val="center"/>
          </w:tcPr>
          <w:p w14:paraId="2E792C7A">
            <w:pPr>
              <w:spacing w:line="280" w:lineRule="exact"/>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县财政局</w:t>
            </w:r>
          </w:p>
          <w:p w14:paraId="7B6105D1">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县发展和改革局</w:t>
            </w:r>
          </w:p>
          <w:p w14:paraId="43E0D715">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专项债券项目相关县直部门及项目单位</w:t>
            </w:r>
          </w:p>
        </w:tc>
        <w:tc>
          <w:tcPr>
            <w:tcW w:w="1755" w:type="dxa"/>
            <w:noWrap w:val="0"/>
            <w:vAlign w:val="center"/>
          </w:tcPr>
          <w:p w14:paraId="27FF53D5">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罗  兴</w:t>
            </w:r>
          </w:p>
          <w:p w14:paraId="1570F5F5">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唐友柏</w:t>
            </w:r>
          </w:p>
          <w:p w14:paraId="33F992E1">
            <w:pPr>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相关县直部门主要负责人</w:t>
            </w:r>
          </w:p>
        </w:tc>
        <w:tc>
          <w:tcPr>
            <w:tcW w:w="1718" w:type="dxa"/>
            <w:noWrap w:val="0"/>
            <w:vAlign w:val="center"/>
          </w:tcPr>
          <w:p w14:paraId="4232455E">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0EE0078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p w14:paraId="71E2B10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相关分管副县长</w:t>
            </w:r>
          </w:p>
        </w:tc>
      </w:tr>
      <w:tr w14:paraId="08C5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4163" w:type="dxa"/>
            <w:gridSpan w:val="5"/>
            <w:noWrap w:val="0"/>
            <w:vAlign w:val="center"/>
          </w:tcPr>
          <w:p w14:paraId="431FE2E6">
            <w:pPr>
              <w:snapToGrid w:val="0"/>
              <w:spacing w:line="2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（五）加强平台公司综合治理</w:t>
            </w:r>
          </w:p>
        </w:tc>
      </w:tr>
      <w:tr w14:paraId="4169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710" w:type="dxa"/>
            <w:tcBorders>
              <w:right w:val="single" w:color="auto" w:sz="4" w:space="0"/>
            </w:tcBorders>
            <w:noWrap w:val="0"/>
            <w:vAlign w:val="center"/>
          </w:tcPr>
          <w:p w14:paraId="6EA0B3DD">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8</w:t>
            </w:r>
          </w:p>
        </w:tc>
        <w:tc>
          <w:tcPr>
            <w:tcW w:w="6740" w:type="dxa"/>
            <w:tcBorders>
              <w:left w:val="single" w:color="auto" w:sz="4" w:space="0"/>
            </w:tcBorders>
            <w:noWrap w:val="0"/>
            <w:vAlign w:val="center"/>
          </w:tcPr>
          <w:p w14:paraId="3A735478">
            <w:pPr>
              <w:spacing w:line="280" w:lineRule="exact"/>
              <w:jc w:val="both"/>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严禁新设融资平台公司，防范国有企事业单位“平台化”。剥离平台公司政府融资职能，规范平台公司融资信息披露，严禁与政府信用挂钩。加快推进全县棚改、扶贫2家平台公司“关停并转”。</w:t>
            </w:r>
          </w:p>
        </w:tc>
        <w:tc>
          <w:tcPr>
            <w:tcW w:w="3240" w:type="dxa"/>
            <w:noWrap w:val="0"/>
            <w:vAlign w:val="center"/>
          </w:tcPr>
          <w:p w14:paraId="68D16869">
            <w:pPr>
              <w:spacing w:line="280" w:lineRule="exact"/>
              <w:jc w:val="center"/>
              <w:rPr>
                <w:rFonts w:hint="eastAsia" w:ascii="宋体" w:hAnsi="宋体" w:eastAsia="宋体" w:cs="宋体"/>
                <w:b w:val="0"/>
                <w:bCs w:val="0"/>
                <w:i w:val="0"/>
                <w:iCs w:val="0"/>
                <w:color w:val="000000" w:themeColor="text1"/>
                <w:spacing w:val="-6"/>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6"/>
                <w:sz w:val="24"/>
                <w:szCs w:val="24"/>
                <w:lang w:val="en-US" w:eastAsia="zh-CN"/>
                <w14:textFill>
                  <w14:solidFill>
                    <w14:schemeClr w14:val="tx1"/>
                  </w14:solidFill>
                </w14:textFill>
              </w:rPr>
              <w:t>县发展和改革局（县委财经办）</w:t>
            </w:r>
          </w:p>
          <w:p w14:paraId="25F2E6B4">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县财政局</w:t>
            </w:r>
          </w:p>
          <w:p w14:paraId="0D032E92">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县金融服务中心</w:t>
            </w:r>
          </w:p>
          <w:p w14:paraId="704EB733">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人民银行绥宁支行</w:t>
            </w:r>
          </w:p>
          <w:p w14:paraId="5479A347">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县城投公司</w:t>
            </w:r>
          </w:p>
        </w:tc>
        <w:tc>
          <w:tcPr>
            <w:tcW w:w="1755" w:type="dxa"/>
            <w:noWrap w:val="0"/>
            <w:vAlign w:val="center"/>
          </w:tcPr>
          <w:p w14:paraId="28D6C113">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唐友柏</w:t>
            </w:r>
          </w:p>
          <w:p w14:paraId="20BCDCED">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罗  兴</w:t>
            </w:r>
          </w:p>
          <w:p w14:paraId="392697BA">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张克俭</w:t>
            </w:r>
          </w:p>
          <w:p w14:paraId="41B45067">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肖新哲</w:t>
            </w:r>
          </w:p>
          <w:p w14:paraId="7FC33B91">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龙景佳</w:t>
            </w:r>
          </w:p>
        </w:tc>
        <w:tc>
          <w:tcPr>
            <w:tcW w:w="1718" w:type="dxa"/>
            <w:noWrap w:val="0"/>
            <w:vAlign w:val="center"/>
          </w:tcPr>
          <w:p w14:paraId="191CB349">
            <w:pPr>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7229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4163" w:type="dxa"/>
            <w:gridSpan w:val="5"/>
            <w:noWrap w:val="0"/>
            <w:vAlign w:val="center"/>
          </w:tcPr>
          <w:p w14:paraId="329FF4F3">
            <w:pPr>
              <w:spacing w:line="2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二、防范化解金融风险（县金融服务中心牵头）</w:t>
            </w:r>
          </w:p>
        </w:tc>
      </w:tr>
      <w:tr w14:paraId="2DC5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7ABC5F5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6740" w:type="dxa"/>
            <w:tcBorders>
              <w:left w:val="single" w:color="auto" w:sz="4" w:space="0"/>
            </w:tcBorders>
            <w:noWrap w:val="0"/>
            <w:vAlign w:val="center"/>
          </w:tcPr>
          <w:p w14:paraId="6AE1B70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加快推动高风险中小银行机构化险脱困。加大中小银行改革发展和声誉风险防范处置支持力度，防范流动性风险事件。</w:t>
            </w:r>
          </w:p>
        </w:tc>
        <w:tc>
          <w:tcPr>
            <w:tcW w:w="3240" w:type="dxa"/>
            <w:noWrap w:val="0"/>
            <w:vAlign w:val="center"/>
          </w:tcPr>
          <w:p w14:paraId="2B7B2B7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p w14:paraId="05E6C2E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45459A5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县农商银行等</w:t>
            </w:r>
          </w:p>
        </w:tc>
        <w:tc>
          <w:tcPr>
            <w:tcW w:w="1755" w:type="dxa"/>
            <w:noWrap w:val="0"/>
            <w:vAlign w:val="center"/>
          </w:tcPr>
          <w:p w14:paraId="58858731">
            <w:pPr>
              <w:snapToGrid w:val="0"/>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肖新哲</w:t>
            </w:r>
          </w:p>
          <w:p w14:paraId="082373FA">
            <w:pPr>
              <w:snapToGrid w:val="0"/>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张克俭</w:t>
            </w:r>
          </w:p>
          <w:p w14:paraId="56A4ED4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罗堰中</w:t>
            </w:r>
          </w:p>
        </w:tc>
        <w:tc>
          <w:tcPr>
            <w:tcW w:w="1718" w:type="dxa"/>
            <w:noWrap w:val="0"/>
            <w:vAlign w:val="center"/>
          </w:tcPr>
          <w:p w14:paraId="55A928D5">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34D04528">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r>
      <w:tr w14:paraId="3C22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710" w:type="dxa"/>
            <w:tcBorders>
              <w:right w:val="single" w:color="auto" w:sz="4" w:space="0"/>
            </w:tcBorders>
            <w:noWrap w:val="0"/>
            <w:vAlign w:val="center"/>
          </w:tcPr>
          <w:p w14:paraId="7B123FA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740" w:type="dxa"/>
            <w:tcBorders>
              <w:left w:val="single" w:color="auto" w:sz="4" w:space="0"/>
            </w:tcBorders>
            <w:noWrap w:val="0"/>
            <w:vAlign w:val="center"/>
          </w:tcPr>
          <w:p w14:paraId="5403E53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强化地方金融组织日常监管。贯彻</w:t>
            </w:r>
            <w:r>
              <w:rPr>
                <w:rFonts w:hint="eastAsia" w:ascii="宋体" w:hAnsi="宋体" w:eastAsia="宋体" w:cs="宋体"/>
                <w:color w:val="000000" w:themeColor="text1"/>
                <w:sz w:val="24"/>
                <w:szCs w:val="24"/>
                <w:highlight w:val="none"/>
                <w:lang w:eastAsia="zh-CN"/>
                <w14:textFill>
                  <w14:solidFill>
                    <w14:schemeClr w14:val="tx1"/>
                  </w14:solidFill>
                </w14:textFill>
              </w:rPr>
              <w:t>落实</w:t>
            </w:r>
            <w:r>
              <w:rPr>
                <w:rFonts w:hint="eastAsia" w:ascii="宋体" w:hAnsi="宋体" w:eastAsia="宋体" w:cs="宋体"/>
                <w:color w:val="000000" w:themeColor="text1"/>
                <w:sz w:val="24"/>
                <w:szCs w:val="24"/>
                <w:highlight w:val="none"/>
                <w:lang w:val="en-US" w:eastAsia="zh-CN"/>
                <w14:textFill>
                  <w14:solidFill>
                    <w14:schemeClr w14:val="tx1"/>
                  </w14:solidFill>
                </w14:textFill>
              </w:rPr>
              <w:t>省地方金融监督管理条例</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配套监管制度体系，做好小额贷款公司、融资担保公司等7类地方金融组织日常监管。</w:t>
            </w:r>
          </w:p>
        </w:tc>
        <w:tc>
          <w:tcPr>
            <w:tcW w:w="3240" w:type="dxa"/>
            <w:noWrap w:val="0"/>
            <w:vAlign w:val="center"/>
          </w:tcPr>
          <w:p w14:paraId="17E2A8B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1E7DF04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tc>
        <w:tc>
          <w:tcPr>
            <w:tcW w:w="1755" w:type="dxa"/>
            <w:noWrap w:val="0"/>
            <w:vAlign w:val="center"/>
          </w:tcPr>
          <w:p w14:paraId="4C745512">
            <w:pPr>
              <w:snapToGrid w:val="0"/>
              <w:spacing w:line="280" w:lineRule="exact"/>
              <w:jc w:val="cente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张克俭</w:t>
            </w:r>
          </w:p>
          <w:p w14:paraId="7264FEB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肖新哲</w:t>
            </w:r>
          </w:p>
        </w:tc>
        <w:tc>
          <w:tcPr>
            <w:tcW w:w="1718" w:type="dxa"/>
            <w:noWrap w:val="0"/>
            <w:vAlign w:val="center"/>
          </w:tcPr>
          <w:p w14:paraId="3EEA2A83">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4944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710" w:type="dxa"/>
            <w:tcBorders>
              <w:right w:val="single" w:color="auto" w:sz="4" w:space="0"/>
            </w:tcBorders>
            <w:noWrap w:val="0"/>
            <w:vAlign w:val="center"/>
          </w:tcPr>
          <w:p w14:paraId="3C620D0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740" w:type="dxa"/>
            <w:tcBorders>
              <w:left w:val="single" w:color="auto" w:sz="4" w:space="0"/>
            </w:tcBorders>
            <w:noWrap w:val="0"/>
            <w:vAlign w:val="center"/>
          </w:tcPr>
          <w:p w14:paraId="63780EEE">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全力推进重大案件风险处置。做好“盛大金禧”等重大案件侦办查处、追赃挽损、信息核实、资产处置、信访维稳、舆情管控等工作，严厉打击违法犯罪，切实维护群众利益和社会稳定。</w:t>
            </w:r>
          </w:p>
        </w:tc>
        <w:tc>
          <w:tcPr>
            <w:tcW w:w="3240" w:type="dxa"/>
            <w:noWrap w:val="0"/>
            <w:vAlign w:val="center"/>
          </w:tcPr>
          <w:p w14:paraId="3F201C5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县“盛大金禧”案风险处置工作领导小组各成员单位</w:t>
            </w:r>
          </w:p>
        </w:tc>
        <w:tc>
          <w:tcPr>
            <w:tcW w:w="1755" w:type="dxa"/>
            <w:noWrap w:val="0"/>
            <w:vAlign w:val="center"/>
          </w:tcPr>
          <w:p w14:paraId="5F5D2647">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领导小组成员单位主要</w:t>
            </w:r>
          </w:p>
          <w:p w14:paraId="6E9789E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负责人</w:t>
            </w:r>
          </w:p>
        </w:tc>
        <w:tc>
          <w:tcPr>
            <w:tcW w:w="1718" w:type="dxa"/>
            <w:noWrap w:val="0"/>
            <w:vAlign w:val="center"/>
          </w:tcPr>
          <w:p w14:paraId="681E519B">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tc>
      </w:tr>
      <w:tr w14:paraId="0CD4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710" w:type="dxa"/>
            <w:tcBorders>
              <w:right w:val="single" w:color="auto" w:sz="4" w:space="0"/>
            </w:tcBorders>
            <w:noWrap w:val="0"/>
            <w:vAlign w:val="center"/>
          </w:tcPr>
          <w:p w14:paraId="7ACBDB2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6740" w:type="dxa"/>
            <w:tcBorders>
              <w:left w:val="single" w:color="auto" w:sz="4" w:space="0"/>
            </w:tcBorders>
            <w:noWrap w:val="0"/>
            <w:vAlign w:val="center"/>
          </w:tcPr>
          <w:p w14:paraId="448009F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展非法集资整治专项行动。全面摸清风险隐患底数并制定防控措施。完善行刑衔接和依法打击机制，常态化开展防非处非宣传、金融领域扫黑除恶、打击整治养老领域非法集资等工作，严厉打击“一非三贷”、“三贷三霸”等非法活动，从重打击以“养老”为幌子从事非法集资犯罪的市场主体和个人。</w:t>
            </w:r>
          </w:p>
        </w:tc>
        <w:tc>
          <w:tcPr>
            <w:tcW w:w="3240" w:type="dxa"/>
            <w:noWrap w:val="0"/>
            <w:vAlign w:val="center"/>
          </w:tcPr>
          <w:p w14:paraId="4980EA3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县打击和处置非法集资工作领导小组各成员单位</w:t>
            </w:r>
          </w:p>
        </w:tc>
        <w:tc>
          <w:tcPr>
            <w:tcW w:w="1755" w:type="dxa"/>
            <w:noWrap w:val="0"/>
            <w:vAlign w:val="center"/>
          </w:tcPr>
          <w:p w14:paraId="32A097EF">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领导小组成员单位</w:t>
            </w:r>
            <w:r>
              <w:rPr>
                <w:rFonts w:hint="eastAsia" w:ascii="宋体" w:hAnsi="宋体" w:eastAsia="宋体" w:cs="宋体"/>
                <w:color w:val="000000" w:themeColor="text1"/>
                <w:sz w:val="24"/>
                <w:szCs w:val="24"/>
                <w:highlight w:val="none"/>
                <w:lang w:eastAsia="zh-CN"/>
                <w14:textFill>
                  <w14:solidFill>
                    <w14:schemeClr w14:val="tx1"/>
                  </w14:solidFill>
                </w14:textFill>
              </w:rPr>
              <w:t>主要</w:t>
            </w:r>
          </w:p>
          <w:p w14:paraId="2B2AD7C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负责人</w:t>
            </w:r>
          </w:p>
        </w:tc>
        <w:tc>
          <w:tcPr>
            <w:tcW w:w="1718" w:type="dxa"/>
            <w:noWrap w:val="0"/>
            <w:vAlign w:val="center"/>
          </w:tcPr>
          <w:p w14:paraId="0F4438C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tc>
      </w:tr>
      <w:tr w14:paraId="1402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10" w:type="dxa"/>
            <w:tcBorders>
              <w:right w:val="single" w:color="auto" w:sz="4" w:space="0"/>
            </w:tcBorders>
            <w:noWrap w:val="0"/>
            <w:vAlign w:val="center"/>
          </w:tcPr>
          <w:p w14:paraId="3161E7B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6740" w:type="dxa"/>
            <w:tcBorders>
              <w:left w:val="single" w:color="auto" w:sz="4" w:space="0"/>
            </w:tcBorders>
            <w:noWrap w:val="0"/>
            <w:vAlign w:val="center"/>
          </w:tcPr>
          <w:p w14:paraId="6CD623F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完善非法金融监测预警机制。加强部门间数据信息共享，加快建立全链条地方金融风险防控治理体系。</w:t>
            </w:r>
          </w:p>
        </w:tc>
        <w:tc>
          <w:tcPr>
            <w:tcW w:w="3240" w:type="dxa"/>
            <w:noWrap w:val="0"/>
            <w:vAlign w:val="center"/>
          </w:tcPr>
          <w:p w14:paraId="453DAE5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县打击和处置非法集资工作领导小组各成员单位</w:t>
            </w:r>
          </w:p>
        </w:tc>
        <w:tc>
          <w:tcPr>
            <w:tcW w:w="1755" w:type="dxa"/>
            <w:noWrap w:val="0"/>
            <w:vAlign w:val="center"/>
          </w:tcPr>
          <w:p w14:paraId="77FDF20B">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领导小组各成员单位</w:t>
            </w:r>
            <w:r>
              <w:rPr>
                <w:rFonts w:hint="eastAsia" w:ascii="宋体" w:hAnsi="宋体" w:eastAsia="宋体" w:cs="宋体"/>
                <w:color w:val="000000" w:themeColor="text1"/>
                <w:sz w:val="24"/>
                <w:szCs w:val="24"/>
                <w:highlight w:val="none"/>
                <w:lang w:eastAsia="zh-CN"/>
                <w14:textFill>
                  <w14:solidFill>
                    <w14:schemeClr w14:val="tx1"/>
                  </w14:solidFill>
                </w14:textFill>
              </w:rPr>
              <w:t>主要</w:t>
            </w:r>
          </w:p>
          <w:p w14:paraId="7696A21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负责人</w:t>
            </w:r>
          </w:p>
        </w:tc>
        <w:tc>
          <w:tcPr>
            <w:tcW w:w="1718" w:type="dxa"/>
            <w:noWrap w:val="0"/>
            <w:vAlign w:val="center"/>
          </w:tcPr>
          <w:p w14:paraId="557B52BF">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tc>
      </w:tr>
      <w:tr w14:paraId="398A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710" w:type="dxa"/>
            <w:tcBorders>
              <w:right w:val="single" w:color="auto" w:sz="4" w:space="0"/>
            </w:tcBorders>
            <w:noWrap w:val="0"/>
            <w:vAlign w:val="center"/>
          </w:tcPr>
          <w:p w14:paraId="6C572E5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740" w:type="dxa"/>
            <w:tcBorders>
              <w:left w:val="single" w:color="auto" w:sz="4" w:space="0"/>
            </w:tcBorders>
            <w:noWrap w:val="0"/>
            <w:vAlign w:val="center"/>
          </w:tcPr>
          <w:p w14:paraId="0A4229CF">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防范化解上市公司风险。加大对上市公司违法违规问题的监管处罚力度。支持上市公司通过并购重组、破产重整的等方式出清风险，推动高风险上市公司重组工作。支持银行、证券、保险、私募股权基金等机构参与上市公司股票质押风险化解。</w:t>
            </w:r>
          </w:p>
        </w:tc>
        <w:tc>
          <w:tcPr>
            <w:tcW w:w="3240" w:type="dxa"/>
            <w:noWrap w:val="0"/>
            <w:vAlign w:val="center"/>
          </w:tcPr>
          <w:p w14:paraId="1435DFE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0FFB773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p w14:paraId="347DA11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县财政局等</w:t>
            </w:r>
          </w:p>
        </w:tc>
        <w:tc>
          <w:tcPr>
            <w:tcW w:w="1755" w:type="dxa"/>
            <w:noWrap w:val="0"/>
            <w:vAlign w:val="center"/>
          </w:tcPr>
          <w:p w14:paraId="5F591A1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张克俭</w:t>
            </w:r>
          </w:p>
          <w:p w14:paraId="5AE59AD2">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肖新哲</w:t>
            </w:r>
          </w:p>
          <w:p w14:paraId="0E1CE01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罗</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兴</w:t>
            </w:r>
          </w:p>
        </w:tc>
        <w:tc>
          <w:tcPr>
            <w:tcW w:w="1718" w:type="dxa"/>
            <w:noWrap w:val="0"/>
            <w:vAlign w:val="center"/>
          </w:tcPr>
          <w:p w14:paraId="3481CFC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2140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710" w:type="dxa"/>
            <w:tcBorders>
              <w:right w:val="single" w:color="auto" w:sz="4" w:space="0"/>
            </w:tcBorders>
            <w:noWrap w:val="0"/>
            <w:vAlign w:val="center"/>
          </w:tcPr>
          <w:p w14:paraId="6359C7C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6740" w:type="dxa"/>
            <w:tcBorders>
              <w:left w:val="single" w:color="auto" w:sz="4" w:space="0"/>
            </w:tcBorders>
            <w:noWrap w:val="0"/>
            <w:vAlign w:val="center"/>
          </w:tcPr>
          <w:p w14:paraId="69F2AC04">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加强私募股权投资机构监管。严厉打击各类违法违规行为，严控私募基金增量风险，稳妥化解存量风险，提升行业规范发展水平。</w:t>
            </w:r>
          </w:p>
        </w:tc>
        <w:tc>
          <w:tcPr>
            <w:tcW w:w="3240" w:type="dxa"/>
            <w:noWrap w:val="0"/>
            <w:vAlign w:val="center"/>
          </w:tcPr>
          <w:p w14:paraId="0C6065D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tc>
        <w:tc>
          <w:tcPr>
            <w:tcW w:w="1755" w:type="dxa"/>
            <w:noWrap w:val="0"/>
            <w:vAlign w:val="center"/>
          </w:tcPr>
          <w:p w14:paraId="680E0B3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张克俭</w:t>
            </w:r>
          </w:p>
        </w:tc>
        <w:tc>
          <w:tcPr>
            <w:tcW w:w="1718" w:type="dxa"/>
            <w:noWrap w:val="0"/>
            <w:vAlign w:val="center"/>
          </w:tcPr>
          <w:p w14:paraId="19FC0CC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1B98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jc w:val="center"/>
        </w:trPr>
        <w:tc>
          <w:tcPr>
            <w:tcW w:w="710" w:type="dxa"/>
            <w:tcBorders>
              <w:right w:val="single" w:color="auto" w:sz="4" w:space="0"/>
            </w:tcBorders>
            <w:noWrap w:val="0"/>
            <w:vAlign w:val="center"/>
          </w:tcPr>
          <w:p w14:paraId="184DDCD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6740" w:type="dxa"/>
            <w:tcBorders>
              <w:left w:val="single" w:color="auto" w:sz="4" w:space="0"/>
            </w:tcBorders>
            <w:noWrap w:val="0"/>
            <w:vAlign w:val="center"/>
          </w:tcPr>
          <w:p w14:paraId="46FDB8A8">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持续推进交易场所和互联网金融风险清理整治。强化对“伪金交所”、产权交易所的风险排查和处置，推动行业主管部门落实监管要求，建立健全风险防范和处置协调机制。打好网络借贷风险整治收官战，推动P2P风险全面出清。</w:t>
            </w:r>
          </w:p>
        </w:tc>
        <w:tc>
          <w:tcPr>
            <w:tcW w:w="3240" w:type="dxa"/>
            <w:noWrap w:val="0"/>
            <w:vAlign w:val="center"/>
          </w:tcPr>
          <w:p w14:paraId="34D264E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3ED0F58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tc>
        <w:tc>
          <w:tcPr>
            <w:tcW w:w="1755" w:type="dxa"/>
            <w:noWrap w:val="0"/>
            <w:vAlign w:val="center"/>
          </w:tcPr>
          <w:p w14:paraId="7FD47EE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张克俭</w:t>
            </w:r>
          </w:p>
          <w:p w14:paraId="6076D44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肖新哲</w:t>
            </w:r>
          </w:p>
        </w:tc>
        <w:tc>
          <w:tcPr>
            <w:tcW w:w="1718" w:type="dxa"/>
            <w:noWrap w:val="0"/>
            <w:vAlign w:val="center"/>
          </w:tcPr>
          <w:p w14:paraId="5ED01930">
            <w:pPr>
              <w:snapToGrid w:val="0"/>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09FC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4163" w:type="dxa"/>
            <w:gridSpan w:val="5"/>
            <w:noWrap w:val="0"/>
            <w:vAlign w:val="center"/>
          </w:tcPr>
          <w:p w14:paraId="0FEB6500">
            <w:pPr>
              <w:snapToGrid w:val="0"/>
              <w:spacing w:line="2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三、防范化解地产风险（县住房和城乡建设局牵头）</w:t>
            </w:r>
          </w:p>
        </w:tc>
      </w:tr>
      <w:tr w14:paraId="1845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59B716B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6740" w:type="dxa"/>
            <w:tcBorders>
              <w:left w:val="single" w:color="auto" w:sz="4" w:space="0"/>
            </w:tcBorders>
            <w:noWrap w:val="0"/>
            <w:vAlign w:val="center"/>
          </w:tcPr>
          <w:p w14:paraId="2B33189F">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狠抓项目提速保质。推进工程审批制度改革，简化项目竣工验收，快捷办理项目竣工交付。狠抓质量安全，强化过程监管和验收管理。</w:t>
            </w:r>
          </w:p>
        </w:tc>
        <w:tc>
          <w:tcPr>
            <w:tcW w:w="3240" w:type="dxa"/>
            <w:noWrap w:val="0"/>
            <w:vAlign w:val="center"/>
          </w:tcPr>
          <w:p w14:paraId="38B93C3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p w14:paraId="473D5D6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12B85BF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p w14:paraId="2EC229C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69D1816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tc>
      </w:tr>
      <w:tr w14:paraId="22C5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710" w:type="dxa"/>
            <w:tcBorders>
              <w:right w:val="single" w:color="auto" w:sz="4" w:space="0"/>
            </w:tcBorders>
            <w:noWrap w:val="0"/>
            <w:vAlign w:val="center"/>
          </w:tcPr>
          <w:p w14:paraId="3683A4E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740" w:type="dxa"/>
            <w:tcBorders>
              <w:left w:val="single" w:color="auto" w:sz="4" w:space="0"/>
            </w:tcBorders>
            <w:noWrap w:val="0"/>
            <w:vAlign w:val="center"/>
          </w:tcPr>
          <w:p w14:paraId="7368779A">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总结202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年项目建设经验，努力克服各种不利因素在确保施工安全和工程质量的前提下，优化工期管理，加快项目建设进度，推动项目完成更多实物工作量和早日竣工投入使用</w:t>
            </w:r>
            <w:r>
              <w:rPr>
                <w:rFonts w:hint="eastAsia" w:ascii="宋体" w:hAnsi="宋体" w:eastAsia="宋体" w:cs="宋体"/>
                <w:color w:val="000000" w:themeColor="text1"/>
                <w:sz w:val="24"/>
                <w:szCs w:val="24"/>
                <w:lang w:eastAsia="zh-CN"/>
                <w14:textFill>
                  <w14:solidFill>
                    <w14:schemeClr w14:val="tx1"/>
                  </w14:solidFill>
                </w14:textFill>
              </w:rPr>
              <w:t>。</w:t>
            </w:r>
          </w:p>
        </w:tc>
        <w:tc>
          <w:tcPr>
            <w:tcW w:w="3240" w:type="dxa"/>
            <w:noWrap w:val="0"/>
            <w:vAlign w:val="center"/>
          </w:tcPr>
          <w:p w14:paraId="2570120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p w14:paraId="153E2226">
            <w:pPr>
              <w:pStyle w:val="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4D802AF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p w14:paraId="29D934A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1BD8370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tc>
      </w:tr>
      <w:tr w14:paraId="4E6F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1FF0E1B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740" w:type="dxa"/>
            <w:tcBorders>
              <w:left w:val="single" w:color="auto" w:sz="4" w:space="0"/>
            </w:tcBorders>
            <w:noWrap w:val="0"/>
            <w:vAlign w:val="center"/>
          </w:tcPr>
          <w:p w14:paraId="02817C7F">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强化银行配套融资。加强政银企对接，加大对房地产、建筑业企业的信贷投放力度。协调金融机构加大对房地产开发项目尤其是保交楼项目新增按揭贷款、开发贷款、经营贷款和抵押贷款等配套融资支持，展期专项借款支持项目存量融资。商业银行按照房地产融资任务安排，满足项目合理融资需求。妥善解决房地产领域商业承兑汇票逾期未兑付问题和强制停贷问题。</w:t>
            </w:r>
          </w:p>
        </w:tc>
        <w:tc>
          <w:tcPr>
            <w:tcW w:w="3240" w:type="dxa"/>
            <w:noWrap w:val="0"/>
            <w:vAlign w:val="center"/>
          </w:tcPr>
          <w:p w14:paraId="21E9A9F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0C56BF9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p w14:paraId="6DF1BCE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tc>
        <w:tc>
          <w:tcPr>
            <w:tcW w:w="1755" w:type="dxa"/>
            <w:noWrap w:val="0"/>
            <w:vAlign w:val="center"/>
          </w:tcPr>
          <w:p w14:paraId="25E1705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张克俭</w:t>
            </w:r>
          </w:p>
          <w:p w14:paraId="2D774BD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肖新哲</w:t>
            </w:r>
          </w:p>
          <w:p w14:paraId="5C58C59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tc>
        <w:tc>
          <w:tcPr>
            <w:tcW w:w="1718" w:type="dxa"/>
            <w:noWrap w:val="0"/>
            <w:vAlign w:val="center"/>
          </w:tcPr>
          <w:p w14:paraId="72A51168">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6338631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tc>
      </w:tr>
      <w:tr w14:paraId="23A2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jc w:val="center"/>
        </w:trPr>
        <w:tc>
          <w:tcPr>
            <w:tcW w:w="710" w:type="dxa"/>
            <w:tcBorders>
              <w:right w:val="single" w:color="auto" w:sz="4" w:space="0"/>
            </w:tcBorders>
            <w:noWrap w:val="0"/>
            <w:vAlign w:val="center"/>
          </w:tcPr>
          <w:p w14:paraId="55A7C44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6740" w:type="dxa"/>
            <w:tcBorders>
              <w:left w:val="single" w:color="auto" w:sz="4" w:space="0"/>
            </w:tcBorders>
            <w:noWrap w:val="0"/>
            <w:vAlign w:val="center"/>
          </w:tcPr>
          <w:p w14:paraId="79BD985B">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做好支持政策落地。落实财税〔2022〕41号文件要求。加速落地税收优惠政策。把握查封、扣押、冻结尺度，避免司法行为与“保交楼”政策冲突。严格执行有关规定，认真履行预售资金受托管理义务。严格落实保交楼专项借款还款责任，提高资金循环使用率。优化保交楼项目网签抵押交易税收监管，对保交楼项目资产保全网签抵押交易时的税金实行减免，在真实交易时缴纳一次。</w:t>
            </w:r>
          </w:p>
        </w:tc>
        <w:tc>
          <w:tcPr>
            <w:tcW w:w="3240" w:type="dxa"/>
            <w:noWrap w:val="0"/>
            <w:vAlign w:val="center"/>
          </w:tcPr>
          <w:p w14:paraId="5C657A8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县税务局</w:t>
            </w:r>
          </w:p>
          <w:p w14:paraId="53D25F1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县人民法院</w:t>
            </w:r>
          </w:p>
          <w:p w14:paraId="1043C0A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县金融服务中心</w:t>
            </w:r>
          </w:p>
          <w:p w14:paraId="611AB9C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w:t>
            </w:r>
          </w:p>
          <w:p w14:paraId="11BE811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p w14:paraId="5A0DCD2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人民银行绥宁支行</w:t>
            </w:r>
          </w:p>
        </w:tc>
        <w:tc>
          <w:tcPr>
            <w:tcW w:w="1755" w:type="dxa"/>
            <w:noWrap w:val="0"/>
            <w:vAlign w:val="center"/>
          </w:tcPr>
          <w:p w14:paraId="0A4FA4C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  杰</w:t>
            </w:r>
          </w:p>
          <w:p w14:paraId="0560E44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谭历伟</w:t>
            </w:r>
          </w:p>
          <w:p w14:paraId="3CB6DA9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张克俭</w:t>
            </w:r>
          </w:p>
          <w:p w14:paraId="7A41A8E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罗  兴</w:t>
            </w:r>
          </w:p>
          <w:p w14:paraId="2F0E705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p w14:paraId="754B8D8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肖新哲</w:t>
            </w:r>
          </w:p>
        </w:tc>
        <w:tc>
          <w:tcPr>
            <w:tcW w:w="1718" w:type="dxa"/>
            <w:noWrap w:val="0"/>
            <w:vAlign w:val="center"/>
          </w:tcPr>
          <w:p w14:paraId="1C168230">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6319936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p w14:paraId="6569D44A">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张  乐</w:t>
            </w:r>
          </w:p>
        </w:tc>
      </w:tr>
      <w:tr w14:paraId="5352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1A39ABC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6740" w:type="dxa"/>
            <w:tcBorders>
              <w:left w:val="single" w:color="auto" w:sz="4" w:space="0"/>
            </w:tcBorders>
            <w:noWrap w:val="0"/>
            <w:vAlign w:val="center"/>
          </w:tcPr>
          <w:p w14:paraId="406F026D">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优化办证手续流程。对房地产项目及“保交楼”专项借款项目，通过容缺办证、承诺制等方式，全面推行“交房即交证”。加大历史遗留问题办证力度，加快交房进度。</w:t>
            </w:r>
            <w:r>
              <w:rPr>
                <w:rFonts w:hint="eastAsia" w:ascii="宋体" w:hAnsi="宋体" w:eastAsia="宋体" w:cs="宋体"/>
                <w:color w:val="000000" w:themeColor="text1"/>
                <w:sz w:val="24"/>
                <w:szCs w:val="24"/>
                <w14:textFill>
                  <w14:solidFill>
                    <w14:schemeClr w14:val="tx1"/>
                  </w14:solidFill>
                </w14:textFill>
              </w:rPr>
              <w:t>持续加大行政执法力度，重点对可能存在社会矛盾风险点的房地产项目进行深入摸排，对存在隐患的责任单位要求立行立改，做好督导“回头看”工作。</w:t>
            </w:r>
          </w:p>
        </w:tc>
        <w:tc>
          <w:tcPr>
            <w:tcW w:w="3240" w:type="dxa"/>
            <w:noWrap w:val="0"/>
            <w:vAlign w:val="center"/>
          </w:tcPr>
          <w:p w14:paraId="6FBE214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县自然资源局</w:t>
            </w:r>
          </w:p>
          <w:p w14:paraId="12ABC0D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tc>
        <w:tc>
          <w:tcPr>
            <w:tcW w:w="1755" w:type="dxa"/>
            <w:noWrap w:val="0"/>
            <w:vAlign w:val="center"/>
          </w:tcPr>
          <w:p w14:paraId="2A6FE5A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丁再荣</w:t>
            </w:r>
          </w:p>
          <w:p w14:paraId="635DD30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tc>
        <w:tc>
          <w:tcPr>
            <w:tcW w:w="1718" w:type="dxa"/>
            <w:noWrap w:val="0"/>
            <w:vAlign w:val="center"/>
          </w:tcPr>
          <w:p w14:paraId="67E7778A">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tc>
      </w:tr>
      <w:tr w14:paraId="0B36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710" w:type="dxa"/>
            <w:tcBorders>
              <w:right w:val="single" w:color="auto" w:sz="4" w:space="0"/>
            </w:tcBorders>
            <w:noWrap w:val="0"/>
            <w:vAlign w:val="center"/>
          </w:tcPr>
          <w:p w14:paraId="3516661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6 </w:t>
            </w:r>
          </w:p>
        </w:tc>
        <w:tc>
          <w:tcPr>
            <w:tcW w:w="6740" w:type="dxa"/>
            <w:tcBorders>
              <w:left w:val="single" w:color="auto" w:sz="4" w:space="0"/>
            </w:tcBorders>
            <w:noWrap w:val="0"/>
            <w:vAlign w:val="center"/>
          </w:tcPr>
          <w:p w14:paraId="55CBBAFD">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营造良好稳定环境。压实属地责任，落实“四方见面沟通”机制，防止出现赴省进京集访群访事件。全面完成第一批、第二批专项借款项目原有预售资金专项审计工作，启动开发企业主要股东抽逃预售资金的追缴工作。依法查处涉房地产领域违法犯罪案件，严惩违法违规行为，重点查处拖欠农民工工资、违规预售、虚假宣传、挪用抽逃资金、搭伙倒账、扰乱市场正常秩序等问题。从严查处打击众筹资金、捐助资金用于资助群体房闹、集访群访、越级上访的违法行为，非法获利一律清退追缴。</w:t>
            </w:r>
          </w:p>
        </w:tc>
        <w:tc>
          <w:tcPr>
            <w:tcW w:w="3240" w:type="dxa"/>
            <w:noWrap w:val="0"/>
            <w:vAlign w:val="center"/>
          </w:tcPr>
          <w:p w14:paraId="1ECD692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县委宣传部</w:t>
            </w:r>
          </w:p>
          <w:p w14:paraId="5D67C50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县委网信办</w:t>
            </w:r>
          </w:p>
          <w:p w14:paraId="02779A8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县公安局</w:t>
            </w:r>
          </w:p>
          <w:p w14:paraId="77FFE77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县住房和城乡建设局</w:t>
            </w:r>
          </w:p>
          <w:p w14:paraId="1096CC2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县审计局</w:t>
            </w:r>
          </w:p>
          <w:p w14:paraId="4F4592B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县信访局</w:t>
            </w:r>
          </w:p>
          <w:p w14:paraId="6FF044B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县人力资源和社会保障局</w:t>
            </w:r>
          </w:p>
          <w:p w14:paraId="1B76907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县市场监督管理局</w:t>
            </w:r>
          </w:p>
        </w:tc>
        <w:tc>
          <w:tcPr>
            <w:tcW w:w="1755" w:type="dxa"/>
            <w:noWrap w:val="0"/>
            <w:vAlign w:val="center"/>
          </w:tcPr>
          <w:p w14:paraId="6CEC151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  克</w:t>
            </w:r>
          </w:p>
          <w:p w14:paraId="5BC8EA8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伍颖虎</w:t>
            </w:r>
          </w:p>
          <w:p w14:paraId="5219950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唐  彬</w:t>
            </w:r>
          </w:p>
          <w:p w14:paraId="2CF25F2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黄始伟</w:t>
            </w:r>
          </w:p>
          <w:p w14:paraId="1B46B18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张小文</w:t>
            </w:r>
          </w:p>
          <w:p w14:paraId="0D4BCEE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郭  毅</w:t>
            </w:r>
          </w:p>
          <w:p w14:paraId="5B8359E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袁光平</w:t>
            </w:r>
          </w:p>
          <w:p w14:paraId="75A0925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向祖金</w:t>
            </w:r>
          </w:p>
        </w:tc>
        <w:tc>
          <w:tcPr>
            <w:tcW w:w="1718" w:type="dxa"/>
            <w:noWrap w:val="0"/>
            <w:vAlign w:val="center"/>
          </w:tcPr>
          <w:p w14:paraId="383576C9">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6298EC24">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谢文远</w:t>
            </w:r>
          </w:p>
          <w:p w14:paraId="5543094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p w14:paraId="2C21A8B0">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杨昌盛</w:t>
            </w:r>
          </w:p>
          <w:p w14:paraId="1A964EB1">
            <w:pPr>
              <w:snapToGrid w:val="0"/>
              <w:spacing w:line="28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黄文勇</w:t>
            </w:r>
          </w:p>
        </w:tc>
      </w:tr>
      <w:tr w14:paraId="12BB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63" w:type="dxa"/>
            <w:gridSpan w:val="5"/>
            <w:noWrap w:val="0"/>
            <w:vAlign w:val="center"/>
          </w:tcPr>
          <w:p w14:paraId="1A71A824">
            <w:pPr>
              <w:keepNext w:val="0"/>
              <w:keepLines w:val="0"/>
              <w:widowControl/>
              <w:suppressLineNumbers w:val="0"/>
              <w:jc w:val="center"/>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四、防范化解疫情风险（县卫生健康局牵头）</w:t>
            </w:r>
          </w:p>
        </w:tc>
      </w:tr>
      <w:tr w14:paraId="1AB4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5D2ACF6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6740" w:type="dxa"/>
            <w:tcBorders>
              <w:left w:val="single" w:color="auto" w:sz="4" w:space="0"/>
            </w:tcBorders>
            <w:noWrap w:val="0"/>
            <w:vAlign w:val="center"/>
          </w:tcPr>
          <w:p w14:paraId="6319B5DB">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持续提供疫苗接种服务，</w:t>
            </w:r>
            <w:r>
              <w:rPr>
                <w:rFonts w:hint="eastAsia" w:ascii="宋体" w:hAnsi="宋体" w:eastAsia="宋体" w:cs="宋体"/>
                <w:color w:val="000000" w:themeColor="text1"/>
                <w:sz w:val="24"/>
                <w:szCs w:val="24"/>
                <w14:textFill>
                  <w14:solidFill>
                    <w14:schemeClr w14:val="tx1"/>
                  </w14:solidFill>
                </w14:textFill>
              </w:rPr>
              <w:t>加快提高疫苗加强免疫接种覆盖率，特别是高风险岗位、老年人等重点人群新冠疫苗接种覆盖率。优化完善接种流程，提高接种服务水平和能力，确保接种工作安全、规范、有序开展。</w:t>
            </w:r>
          </w:p>
        </w:tc>
        <w:tc>
          <w:tcPr>
            <w:tcW w:w="3240" w:type="dxa"/>
            <w:noWrap w:val="0"/>
            <w:vAlign w:val="center"/>
          </w:tcPr>
          <w:p w14:paraId="308514B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3239779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县市场监督管理局</w:t>
            </w:r>
          </w:p>
          <w:p w14:paraId="37F267B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县医疗保障局</w:t>
            </w:r>
          </w:p>
          <w:p w14:paraId="16F7058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w:t>
            </w:r>
          </w:p>
          <w:p w14:paraId="5E66638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县疾控中心</w:t>
            </w:r>
          </w:p>
          <w:p w14:paraId="1F9F688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2EB32E3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62D1B54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向祖金</w:t>
            </w:r>
          </w:p>
          <w:p w14:paraId="6C8FFC5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黄秋元</w:t>
            </w:r>
          </w:p>
          <w:p w14:paraId="393A502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罗  兴</w:t>
            </w:r>
          </w:p>
          <w:p w14:paraId="4C49123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贺  晔</w:t>
            </w:r>
          </w:p>
          <w:p w14:paraId="14964C2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277135F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65D8BB44">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周元彪</w:t>
            </w:r>
          </w:p>
          <w:p w14:paraId="523A5BD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黄文勇</w:t>
            </w:r>
          </w:p>
        </w:tc>
      </w:tr>
      <w:tr w14:paraId="340B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1FF2036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740" w:type="dxa"/>
            <w:tcBorders>
              <w:left w:val="single" w:color="auto" w:sz="4" w:space="0"/>
            </w:tcBorders>
            <w:noWrap w:val="0"/>
            <w:vAlign w:val="center"/>
          </w:tcPr>
          <w:p w14:paraId="332EF58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保障药品和检测试剂需求。县级以上医疗机构按照三个月的日常使用量动态准备新型冠状病毒感染相关药物、解热和止咳等对症治疗药物。基层医疗卫生机构按照服务人口数的15%-20%动态准备相关中药、对症治疗药物，人口稠密地区酌情增加。</w:t>
            </w:r>
          </w:p>
        </w:tc>
        <w:tc>
          <w:tcPr>
            <w:tcW w:w="3240" w:type="dxa"/>
            <w:noWrap w:val="0"/>
            <w:vAlign w:val="center"/>
          </w:tcPr>
          <w:p w14:paraId="53811CD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54716BB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县市场监督管理局</w:t>
            </w:r>
          </w:p>
          <w:p w14:paraId="2F65E1A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县医疗保障局</w:t>
            </w:r>
          </w:p>
          <w:p w14:paraId="01DED94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县发展和改革局</w:t>
            </w:r>
          </w:p>
          <w:p w14:paraId="30FD236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w:t>
            </w:r>
          </w:p>
        </w:tc>
        <w:tc>
          <w:tcPr>
            <w:tcW w:w="1755" w:type="dxa"/>
            <w:noWrap w:val="0"/>
            <w:vAlign w:val="center"/>
          </w:tcPr>
          <w:p w14:paraId="519A499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4D74E58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向祖金</w:t>
            </w:r>
          </w:p>
          <w:p w14:paraId="027F1BF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黄秋元</w:t>
            </w:r>
          </w:p>
          <w:p w14:paraId="6E8329A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唐友柏</w:t>
            </w:r>
          </w:p>
          <w:p w14:paraId="4E27CA6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罗  兴</w:t>
            </w:r>
          </w:p>
        </w:tc>
        <w:tc>
          <w:tcPr>
            <w:tcW w:w="1718" w:type="dxa"/>
            <w:noWrap w:val="0"/>
            <w:vAlign w:val="center"/>
          </w:tcPr>
          <w:p w14:paraId="77F76E85">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59EF93B4">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周元彪</w:t>
            </w:r>
          </w:p>
          <w:p w14:paraId="6A97C4B5">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黄文勇</w:t>
            </w:r>
          </w:p>
        </w:tc>
      </w:tr>
      <w:tr w14:paraId="14AC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6" w:hRule="atLeast"/>
          <w:jc w:val="center"/>
        </w:trPr>
        <w:tc>
          <w:tcPr>
            <w:tcW w:w="710" w:type="dxa"/>
            <w:tcBorders>
              <w:right w:val="single" w:color="auto" w:sz="4" w:space="0"/>
            </w:tcBorders>
            <w:noWrap w:val="0"/>
            <w:vAlign w:val="center"/>
          </w:tcPr>
          <w:p w14:paraId="0D88FE6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740" w:type="dxa"/>
            <w:tcBorders>
              <w:left w:val="single" w:color="auto" w:sz="4" w:space="0"/>
            </w:tcBorders>
            <w:noWrap w:val="0"/>
            <w:vAlign w:val="center"/>
          </w:tcPr>
          <w:p w14:paraId="41A2CEA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提高医疗应急机构救治能力。</w:t>
            </w:r>
            <w:r>
              <w:rPr>
                <w:rFonts w:hint="eastAsia" w:ascii="宋体" w:hAnsi="宋体" w:eastAsia="宋体" w:cs="宋体"/>
                <w:bCs/>
                <w:color w:val="000000" w:themeColor="text1"/>
                <w:sz w:val="24"/>
                <w:szCs w:val="24"/>
                <w14:textFill>
                  <w14:solidFill>
                    <w14:schemeClr w14:val="tx1"/>
                  </w14:solidFill>
                </w14:textFill>
              </w:rPr>
              <w:t>加大院前急救车辆和人员的配置力度，畅通120急救电话，提高危重急症患者转运能力，完善应急预案。</w:t>
            </w:r>
            <w:r>
              <w:rPr>
                <w:rFonts w:hint="eastAsia" w:ascii="宋体" w:hAnsi="宋体" w:eastAsia="宋体" w:cs="宋体"/>
                <w:color w:val="000000" w:themeColor="text1"/>
                <w:sz w:val="24"/>
                <w:szCs w:val="24"/>
                <w14:textFill>
                  <w14:solidFill>
                    <w14:schemeClr w14:val="tx1"/>
                  </w14:solidFill>
                </w14:textFill>
              </w:rPr>
              <w:t>各医疗机构做好住院床位准备，县人民医院、县中医医院需做好重症床位准备，强化自主医疗资源准备及医护力量配备。</w:t>
            </w:r>
          </w:p>
        </w:tc>
        <w:tc>
          <w:tcPr>
            <w:tcW w:w="3240" w:type="dxa"/>
            <w:noWrap w:val="0"/>
            <w:vAlign w:val="center"/>
          </w:tcPr>
          <w:p w14:paraId="705BF3D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66EAE07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县发展和改革局</w:t>
            </w:r>
          </w:p>
          <w:p w14:paraId="1007D2E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w:t>
            </w:r>
          </w:p>
        </w:tc>
        <w:tc>
          <w:tcPr>
            <w:tcW w:w="1755" w:type="dxa"/>
            <w:noWrap w:val="0"/>
            <w:vAlign w:val="center"/>
          </w:tcPr>
          <w:p w14:paraId="3994365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3EC6999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唐友柏</w:t>
            </w:r>
          </w:p>
          <w:p w14:paraId="44FCFE5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罗  兴</w:t>
            </w:r>
          </w:p>
        </w:tc>
        <w:tc>
          <w:tcPr>
            <w:tcW w:w="1718" w:type="dxa"/>
            <w:noWrap w:val="0"/>
            <w:vAlign w:val="center"/>
          </w:tcPr>
          <w:p w14:paraId="3FAF7D68">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3AA2B51D">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周元彪</w:t>
            </w:r>
          </w:p>
        </w:tc>
      </w:tr>
      <w:tr w14:paraId="2757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jc w:val="center"/>
        </w:trPr>
        <w:tc>
          <w:tcPr>
            <w:tcW w:w="710" w:type="dxa"/>
            <w:tcBorders>
              <w:right w:val="single" w:color="auto" w:sz="4" w:space="0"/>
            </w:tcBorders>
            <w:noWrap w:val="0"/>
            <w:vAlign w:val="center"/>
          </w:tcPr>
          <w:p w14:paraId="18AF548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6740" w:type="dxa"/>
            <w:tcBorders>
              <w:left w:val="single" w:color="auto" w:sz="4" w:space="0"/>
            </w:tcBorders>
            <w:noWrap w:val="0"/>
            <w:vAlign w:val="center"/>
          </w:tcPr>
          <w:p w14:paraId="576B3A5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优化人群检测策略。对医疗机构收治的符合条件患者、有症状医务人员开展抗原或核酸检测。疫情期间对脆弱人群集中场所工作人员和被照护人员开展抗原或核酸检测。</w:t>
            </w:r>
            <w:r>
              <w:rPr>
                <w:rFonts w:hint="eastAsia" w:ascii="宋体" w:hAnsi="宋体" w:eastAsia="宋体" w:cs="宋体"/>
                <w:color w:val="000000" w:themeColor="text1"/>
                <w:sz w:val="24"/>
                <w:szCs w:val="24"/>
                <w14:textFill>
                  <w14:solidFill>
                    <w14:schemeClr w14:val="tx1"/>
                  </w14:solidFill>
                </w14:textFill>
              </w:rPr>
              <w:t>在各核酸检测定点机构、各乡镇（中心）卫生院保留核酸采样点，保证居民“愿检尽检”。</w:t>
            </w:r>
          </w:p>
        </w:tc>
        <w:tc>
          <w:tcPr>
            <w:tcW w:w="3240" w:type="dxa"/>
            <w:noWrap w:val="0"/>
            <w:vAlign w:val="center"/>
          </w:tcPr>
          <w:p w14:paraId="0E82D3E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1967356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县民政局</w:t>
            </w:r>
          </w:p>
          <w:p w14:paraId="584863E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县市场监督管理局</w:t>
            </w:r>
          </w:p>
          <w:p w14:paraId="772CB6D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002DC3F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0C3182F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吴  娟</w:t>
            </w:r>
          </w:p>
          <w:p w14:paraId="01EB778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向祖金</w:t>
            </w:r>
          </w:p>
          <w:p w14:paraId="1866BA3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11732F31">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周元彪</w:t>
            </w:r>
          </w:p>
          <w:p w14:paraId="535C521C">
            <w:pPr>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黄文勇</w:t>
            </w:r>
          </w:p>
        </w:tc>
      </w:tr>
      <w:tr w14:paraId="3EAA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jc w:val="center"/>
        </w:trPr>
        <w:tc>
          <w:tcPr>
            <w:tcW w:w="710" w:type="dxa"/>
            <w:tcBorders>
              <w:right w:val="single" w:color="auto" w:sz="4" w:space="0"/>
            </w:tcBorders>
            <w:noWrap w:val="0"/>
            <w:vAlign w:val="center"/>
          </w:tcPr>
          <w:p w14:paraId="32B9FF7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6740" w:type="dxa"/>
            <w:tcBorders>
              <w:left w:val="single" w:color="auto" w:sz="4" w:space="0"/>
            </w:tcBorders>
            <w:noWrap w:val="0"/>
            <w:vAlign w:val="center"/>
          </w:tcPr>
          <w:p w14:paraId="6146AEDA">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分级分类救治患者。</w:t>
            </w:r>
            <w:r>
              <w:rPr>
                <w:rFonts w:hint="eastAsia" w:ascii="宋体" w:hAnsi="宋体" w:eastAsia="宋体" w:cs="宋体"/>
                <w:color w:val="000000" w:themeColor="text1"/>
                <w:sz w:val="24"/>
                <w:szCs w:val="24"/>
                <w14:textFill>
                  <w14:solidFill>
                    <w14:schemeClr w14:val="tx1"/>
                  </w14:solidFill>
                </w14:textFill>
              </w:rPr>
              <w:t>各乡镇卫生院（村卫生室）全面实行发热等患者基层首诊负责制，做好分级诊疗。</w:t>
            </w:r>
            <w:r>
              <w:rPr>
                <w:rFonts w:hint="eastAsia" w:ascii="宋体" w:hAnsi="宋体" w:eastAsia="宋体" w:cs="宋体"/>
                <w:color w:val="000000" w:themeColor="text1"/>
                <w:kern w:val="0"/>
                <w:sz w:val="24"/>
                <w:szCs w:val="24"/>
                <w14:textFill>
                  <w14:solidFill>
                    <w14:schemeClr w14:val="tx1"/>
                  </w14:solidFill>
                </w14:textFill>
              </w:rPr>
              <w:t>乡镇卫生院负责居家治疗人员用药指导、心理疏导、配合直接收治或转诊；二级医疗机构对符合住院要求的阳性人员进行住院收治；阳性重症人员由专家统一进行研判，再确定是否转诊到相对应的市三级医院救治</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3240" w:type="dxa"/>
            <w:noWrap w:val="0"/>
            <w:vAlign w:val="center"/>
          </w:tcPr>
          <w:p w14:paraId="183F877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24A6C15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48A3D5F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58A5222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24E192E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1AAA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6" w:hRule="atLeast"/>
          <w:jc w:val="center"/>
        </w:trPr>
        <w:tc>
          <w:tcPr>
            <w:tcW w:w="710" w:type="dxa"/>
            <w:tcBorders>
              <w:right w:val="single" w:color="auto" w:sz="4" w:space="0"/>
            </w:tcBorders>
            <w:noWrap w:val="0"/>
            <w:vAlign w:val="center"/>
          </w:tcPr>
          <w:p w14:paraId="19C7AEF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740" w:type="dxa"/>
            <w:tcBorders>
              <w:left w:val="single" w:color="auto" w:sz="4" w:space="0"/>
            </w:tcBorders>
            <w:noWrap w:val="0"/>
            <w:vAlign w:val="center"/>
          </w:tcPr>
          <w:p w14:paraId="2C524619">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做好重点人群健康服务。</w:t>
            </w:r>
            <w:r>
              <w:rPr>
                <w:rFonts w:hint="eastAsia" w:ascii="宋体" w:hAnsi="宋体" w:eastAsia="宋体" w:cs="宋体"/>
                <w:color w:val="000000" w:themeColor="text1"/>
                <w:sz w:val="24"/>
                <w:szCs w:val="24"/>
                <w14:textFill>
                  <w14:solidFill>
                    <w14:schemeClr w14:val="tx1"/>
                  </w14:solidFill>
                </w14:textFill>
              </w:rPr>
              <w:t>进一步压实乡镇、村（居）委会、村医等责任，协助基层医疗卫生机构为重症高风险人群建立台账，实行网格管理，按照不同重症风险等级进行分级健康监测。有力有序开展老年人、儿童、孕产妇、慢性基础性疾病患者等重点人群分级分类动态服务工作，切实做好新冠重点人群健康管理和医疗救治工作。</w:t>
            </w:r>
          </w:p>
        </w:tc>
        <w:tc>
          <w:tcPr>
            <w:tcW w:w="3240" w:type="dxa"/>
            <w:noWrap w:val="0"/>
            <w:vAlign w:val="center"/>
          </w:tcPr>
          <w:p w14:paraId="3BFE38F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4CFE3B4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县民政局</w:t>
            </w:r>
          </w:p>
          <w:p w14:paraId="14E5927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6817F8C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3CA102A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吴  娟</w:t>
            </w:r>
          </w:p>
          <w:p w14:paraId="59E8AA2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388A0F3F">
            <w:pPr>
              <w:snapToGrid w:val="0"/>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p w14:paraId="0290274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黄文勇</w:t>
            </w:r>
          </w:p>
        </w:tc>
      </w:tr>
      <w:tr w14:paraId="393B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710" w:type="dxa"/>
            <w:tcBorders>
              <w:right w:val="single" w:color="auto" w:sz="4" w:space="0"/>
            </w:tcBorders>
            <w:noWrap w:val="0"/>
            <w:vAlign w:val="center"/>
          </w:tcPr>
          <w:p w14:paraId="7F22606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6740" w:type="dxa"/>
            <w:tcBorders>
              <w:left w:val="single" w:color="auto" w:sz="4" w:space="0"/>
            </w:tcBorders>
            <w:noWrap w:val="0"/>
            <w:vAlign w:val="center"/>
          </w:tcPr>
          <w:p w14:paraId="632A35E1">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强化重点机构感染防控。</w:t>
            </w:r>
            <w:r>
              <w:rPr>
                <w:rFonts w:hint="eastAsia" w:ascii="宋体" w:hAnsi="宋体" w:eastAsia="宋体" w:cs="宋体"/>
                <w:color w:val="000000" w:themeColor="text1"/>
                <w:sz w:val="24"/>
                <w:szCs w:val="24"/>
                <w14:textFill>
                  <w14:solidFill>
                    <w14:schemeClr w14:val="tx1"/>
                  </w14:solidFill>
                </w14:textFill>
              </w:rPr>
              <w:t>对养老机构等人群集中场所建立医疗救治绿色通道，疫情严重时经评估可适时采取封闭管理。强化医疗机构日常消毒和通风，做好学校、企业、监所等人员聚集重点机构人员健康监测，发生疫情采取减少人际接触措施。</w:t>
            </w:r>
          </w:p>
        </w:tc>
        <w:tc>
          <w:tcPr>
            <w:tcW w:w="3240" w:type="dxa"/>
            <w:noWrap w:val="0"/>
            <w:vAlign w:val="center"/>
          </w:tcPr>
          <w:p w14:paraId="71769F5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县民政局</w:t>
            </w:r>
          </w:p>
          <w:p w14:paraId="1230260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县教育局</w:t>
            </w:r>
          </w:p>
          <w:p w14:paraId="26F1A9D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县公安局</w:t>
            </w:r>
          </w:p>
          <w:p w14:paraId="660E5CB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7C1C775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14D92EB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吴  娟</w:t>
            </w:r>
          </w:p>
          <w:p w14:paraId="4679F85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龙景星</w:t>
            </w:r>
          </w:p>
          <w:p w14:paraId="10D18D2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唐  彬</w:t>
            </w:r>
          </w:p>
          <w:p w14:paraId="55CC3C8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67E387E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677A0DFB">
            <w:pPr>
              <w:snapToGrid w:val="0"/>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p w14:paraId="64C70FD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黄文勇</w:t>
            </w:r>
          </w:p>
          <w:p w14:paraId="7719E3D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黎军</w:t>
            </w:r>
          </w:p>
        </w:tc>
      </w:tr>
      <w:tr w14:paraId="5798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710" w:type="dxa"/>
            <w:tcBorders>
              <w:right w:val="single" w:color="auto" w:sz="4" w:space="0"/>
            </w:tcBorders>
            <w:noWrap w:val="0"/>
            <w:vAlign w:val="center"/>
          </w:tcPr>
          <w:p w14:paraId="686910D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6740" w:type="dxa"/>
            <w:tcBorders>
              <w:left w:val="single" w:color="auto" w:sz="4" w:space="0"/>
            </w:tcBorders>
            <w:noWrap w:val="0"/>
            <w:vAlign w:val="center"/>
          </w:tcPr>
          <w:p w14:paraId="0AAD8B1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加强农村地区疫情防控。</w:t>
            </w:r>
            <w:r>
              <w:rPr>
                <w:rFonts w:hint="eastAsia" w:ascii="宋体" w:hAnsi="宋体" w:eastAsia="宋体" w:cs="宋体"/>
                <w:color w:val="000000" w:themeColor="text1"/>
                <w:sz w:val="24"/>
                <w:szCs w:val="24"/>
                <w14:textFill>
                  <w14:solidFill>
                    <w14:schemeClr w14:val="tx1"/>
                  </w14:solidFill>
                </w14:textFill>
              </w:rPr>
              <w:t>成立工作专班，统筹调度全县阳性感染者的收治、转诊、诊疗、药品、医疗设施设备等工作，为医疗救治做好全面储备。发挥县乡村三级医疗卫生网作用，医疗机构要配足指氧仪、呼吸机、肺功能仪、制氧机等紧缺诊治疗设备。充分发挥县域医共体作用，县级医院与乡镇（中心）卫生院有效建立转诊救治体系，确保有急诊转运车辆进行急重症病人转运。对重点人群实施分类救治，并开放绿色救治通道。积极统筹药品购买和使用，疫情防控药品进行指向性的平台采购。适当控制农村集市等聚集性活动规模和频次。</w:t>
            </w:r>
          </w:p>
        </w:tc>
        <w:tc>
          <w:tcPr>
            <w:tcW w:w="3240" w:type="dxa"/>
            <w:noWrap w:val="0"/>
            <w:vAlign w:val="center"/>
          </w:tcPr>
          <w:p w14:paraId="48FDE19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县农业农村水利局</w:t>
            </w:r>
          </w:p>
          <w:p w14:paraId="67E4FDC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0F72DEE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7FAF80A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李  彬</w:t>
            </w:r>
          </w:p>
          <w:p w14:paraId="19EA44D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2F8826B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3AE11BF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梁恩雄</w:t>
            </w:r>
          </w:p>
          <w:p w14:paraId="500E14A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39AFD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10" w:type="dxa"/>
            <w:tcBorders>
              <w:right w:val="single" w:color="auto" w:sz="4" w:space="0"/>
            </w:tcBorders>
            <w:noWrap w:val="0"/>
            <w:vAlign w:val="center"/>
          </w:tcPr>
          <w:p w14:paraId="38644BB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6740" w:type="dxa"/>
            <w:tcBorders>
              <w:left w:val="single" w:color="auto" w:sz="4" w:space="0"/>
            </w:tcBorders>
            <w:noWrap w:val="0"/>
            <w:vAlign w:val="center"/>
          </w:tcPr>
          <w:p w14:paraId="3AC37288">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强化疫情监测研判。定期召开疫情防控会商会，动态掌握县内病毒流行强度，研判疫情发展态势，坚决按照上级要求应对疫情高峰。</w:t>
            </w:r>
          </w:p>
        </w:tc>
        <w:tc>
          <w:tcPr>
            <w:tcW w:w="3240" w:type="dxa"/>
            <w:noWrap w:val="0"/>
            <w:vAlign w:val="center"/>
          </w:tcPr>
          <w:p w14:paraId="2DB655B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16DDC5F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县疾控中心</w:t>
            </w:r>
          </w:p>
        </w:tc>
        <w:tc>
          <w:tcPr>
            <w:tcW w:w="1755" w:type="dxa"/>
            <w:noWrap w:val="0"/>
            <w:vAlign w:val="center"/>
          </w:tcPr>
          <w:p w14:paraId="673BBAC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64B4F61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贺  晔</w:t>
            </w:r>
          </w:p>
        </w:tc>
        <w:tc>
          <w:tcPr>
            <w:tcW w:w="1718" w:type="dxa"/>
            <w:noWrap w:val="0"/>
            <w:vAlign w:val="center"/>
          </w:tcPr>
          <w:p w14:paraId="29A57BF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7805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710" w:type="dxa"/>
            <w:tcBorders>
              <w:right w:val="single" w:color="auto" w:sz="4" w:space="0"/>
            </w:tcBorders>
            <w:noWrap w:val="0"/>
            <w:vAlign w:val="center"/>
          </w:tcPr>
          <w:p w14:paraId="70D1B6D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6740" w:type="dxa"/>
            <w:tcBorders>
              <w:left w:val="single" w:color="auto" w:sz="4" w:space="0"/>
            </w:tcBorders>
            <w:noWrap w:val="0"/>
            <w:vAlign w:val="center"/>
          </w:tcPr>
          <w:p w14:paraId="0DE99DAF">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倡导坚持个人防护。广泛宣传“健康第一责任人”理念，鼓励做好个人防护，科学佩戴口罩，勤洗手，公筷制，保持良好卫生习惯。疫情严重时，减少串门与人员流动，患有基础疾病的老年人及孕妇、儿童等尽量减少前往人员密集场所。</w:t>
            </w:r>
          </w:p>
        </w:tc>
        <w:tc>
          <w:tcPr>
            <w:tcW w:w="3240" w:type="dxa"/>
            <w:noWrap w:val="0"/>
            <w:vAlign w:val="center"/>
          </w:tcPr>
          <w:p w14:paraId="54B656E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县委宣传部</w:t>
            </w:r>
          </w:p>
          <w:p w14:paraId="1771EBD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626E853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2F4908F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  克</w:t>
            </w:r>
          </w:p>
          <w:p w14:paraId="642FBA3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p w14:paraId="1E63BF9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72520010">
            <w:pPr>
              <w:snapToGrid w:val="0"/>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谢文远</w:t>
            </w:r>
          </w:p>
          <w:p w14:paraId="21A82A7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1D55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jc w:val="center"/>
        </w:trPr>
        <w:tc>
          <w:tcPr>
            <w:tcW w:w="710" w:type="dxa"/>
            <w:tcBorders>
              <w:right w:val="single" w:color="auto" w:sz="4" w:space="0"/>
            </w:tcBorders>
            <w:noWrap w:val="0"/>
            <w:vAlign w:val="center"/>
          </w:tcPr>
          <w:p w14:paraId="79EFB1F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6740" w:type="dxa"/>
            <w:tcBorders>
              <w:left w:val="single" w:color="auto" w:sz="4" w:space="0"/>
            </w:tcBorders>
            <w:noWrap w:val="0"/>
            <w:vAlign w:val="center"/>
          </w:tcPr>
          <w:p w14:paraId="4C168E9A">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做好信息发布和宣传教育。定期发布我县新冠疫情和突发公共卫生事件信息。应用各类媒体平台做好心理疏导、用药、使用抗原检测试剂等科普宣传，通过自媒体、村村响、广播等渠道做好农村地区的宣传工作。做好关于涉疫舆情的监测和化解工作，对涉疫谣言加大打击力度。</w:t>
            </w:r>
          </w:p>
        </w:tc>
        <w:tc>
          <w:tcPr>
            <w:tcW w:w="3240" w:type="dxa"/>
            <w:noWrap w:val="0"/>
            <w:vAlign w:val="center"/>
          </w:tcPr>
          <w:p w14:paraId="0F50D96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县委宣传部</w:t>
            </w:r>
          </w:p>
          <w:p w14:paraId="7F7D7E68">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县委网信办</w:t>
            </w:r>
          </w:p>
          <w:p w14:paraId="642F706D">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县公安局</w:t>
            </w:r>
          </w:p>
          <w:p w14:paraId="2356B9E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tc>
        <w:tc>
          <w:tcPr>
            <w:tcW w:w="1755" w:type="dxa"/>
            <w:noWrap w:val="0"/>
            <w:vAlign w:val="center"/>
          </w:tcPr>
          <w:p w14:paraId="3BC8AD1B">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  克</w:t>
            </w:r>
          </w:p>
          <w:p w14:paraId="0C51F1C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伍颖虎</w:t>
            </w:r>
          </w:p>
          <w:p w14:paraId="080376A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唐  彬</w:t>
            </w:r>
          </w:p>
          <w:p w14:paraId="6B3E5640">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tc>
        <w:tc>
          <w:tcPr>
            <w:tcW w:w="1718" w:type="dxa"/>
            <w:noWrap w:val="0"/>
            <w:vAlign w:val="center"/>
          </w:tcPr>
          <w:p w14:paraId="7CFE1283">
            <w:pPr>
              <w:snapToGrid w:val="0"/>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谢文远</w:t>
            </w:r>
          </w:p>
          <w:p w14:paraId="568BDA50">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p w14:paraId="2D37771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16C1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57BEA005">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6740" w:type="dxa"/>
            <w:tcBorders>
              <w:left w:val="single" w:color="auto" w:sz="4" w:space="0"/>
            </w:tcBorders>
            <w:noWrap w:val="0"/>
            <w:vAlign w:val="center"/>
          </w:tcPr>
          <w:p w14:paraId="59609BE4">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优化入返绥人员管理。</w:t>
            </w:r>
            <w:r>
              <w:rPr>
                <w:rFonts w:hint="eastAsia" w:ascii="宋体" w:hAnsi="宋体" w:eastAsia="宋体" w:cs="宋体"/>
                <w:color w:val="000000" w:themeColor="text1"/>
                <w:sz w:val="24"/>
                <w:szCs w:val="24"/>
                <w14:textFill>
                  <w14:solidFill>
                    <w14:schemeClr w14:val="tx1"/>
                  </w14:solidFill>
                </w14:textFill>
              </w:rPr>
              <w:t>取消入绥人员核酸检测和集中隔离，不再查验核酸检测阴性证明、开展落地检。根据疫情形势变化，按照上级要求动态调整和落实管理措施。</w:t>
            </w:r>
          </w:p>
        </w:tc>
        <w:tc>
          <w:tcPr>
            <w:tcW w:w="3240" w:type="dxa"/>
            <w:noWrap w:val="0"/>
            <w:vAlign w:val="center"/>
          </w:tcPr>
          <w:p w14:paraId="527C0FA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县交通运输局</w:t>
            </w:r>
          </w:p>
          <w:p w14:paraId="7420463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tc>
        <w:tc>
          <w:tcPr>
            <w:tcW w:w="1755" w:type="dxa"/>
            <w:noWrap w:val="0"/>
            <w:vAlign w:val="center"/>
          </w:tcPr>
          <w:p w14:paraId="38C5176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陈又清</w:t>
            </w:r>
          </w:p>
          <w:p w14:paraId="54A4360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tc>
        <w:tc>
          <w:tcPr>
            <w:tcW w:w="1718" w:type="dxa"/>
            <w:noWrap w:val="0"/>
            <w:vAlign w:val="center"/>
          </w:tcPr>
          <w:p w14:paraId="0F12E08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黄先伟</w:t>
            </w:r>
          </w:p>
          <w:p w14:paraId="3B02CD5F">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4A07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6CFF045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6740" w:type="dxa"/>
            <w:tcBorders>
              <w:left w:val="single" w:color="auto" w:sz="4" w:space="0"/>
            </w:tcBorders>
            <w:noWrap w:val="0"/>
            <w:vAlign w:val="center"/>
          </w:tcPr>
          <w:p w14:paraId="3E8E3CC5">
            <w:pPr>
              <w:snapToGrid w:val="0"/>
              <w:spacing w:line="280" w:lineRule="exact"/>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做好心理援助工作。</w:t>
            </w:r>
            <w:r>
              <w:rPr>
                <w:rFonts w:hint="eastAsia" w:ascii="宋体" w:hAnsi="宋体" w:eastAsia="宋体" w:cs="宋体"/>
                <w:color w:val="000000" w:themeColor="text1"/>
                <w:sz w:val="24"/>
                <w:szCs w:val="24"/>
                <w14:textFill>
                  <w14:solidFill>
                    <w14:schemeClr w14:val="tx1"/>
                  </w14:solidFill>
                </w14:textFill>
              </w:rPr>
              <w:t>依托现有市民服务热线，建立疫情防控心理援助热线，及时解答群众关于新冠病毒感染就医、用药等疑问。同时，针对医务人员开展心理疏导工作。</w:t>
            </w:r>
          </w:p>
        </w:tc>
        <w:tc>
          <w:tcPr>
            <w:tcW w:w="3240" w:type="dxa"/>
            <w:noWrap w:val="0"/>
            <w:vAlign w:val="center"/>
          </w:tcPr>
          <w:p w14:paraId="3AD9180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tc>
        <w:tc>
          <w:tcPr>
            <w:tcW w:w="1755" w:type="dxa"/>
            <w:noWrap w:val="0"/>
            <w:vAlign w:val="center"/>
          </w:tcPr>
          <w:p w14:paraId="7DDC89A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莫丛英</w:t>
            </w:r>
          </w:p>
        </w:tc>
        <w:tc>
          <w:tcPr>
            <w:tcW w:w="1718" w:type="dxa"/>
            <w:noWrap w:val="0"/>
            <w:vAlign w:val="center"/>
          </w:tcPr>
          <w:p w14:paraId="78DBBBC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6C708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4163" w:type="dxa"/>
            <w:gridSpan w:val="5"/>
            <w:noWrap w:val="0"/>
            <w:vAlign w:val="center"/>
          </w:tcPr>
          <w:p w14:paraId="4C0B03BB">
            <w:pPr>
              <w:keepNext w:val="0"/>
              <w:keepLines w:val="0"/>
              <w:widowControl/>
              <w:suppressLineNumbers w:val="0"/>
              <w:jc w:val="center"/>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五、防范化解极端天气带来的风险（县应急管理局牵头）</w:t>
            </w:r>
          </w:p>
        </w:tc>
      </w:tr>
      <w:tr w14:paraId="2352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jc w:val="center"/>
        </w:trPr>
        <w:tc>
          <w:tcPr>
            <w:tcW w:w="710" w:type="dxa"/>
            <w:tcBorders>
              <w:right w:val="single" w:color="auto" w:sz="4" w:space="0"/>
            </w:tcBorders>
            <w:noWrap w:val="0"/>
            <w:vAlign w:val="center"/>
          </w:tcPr>
          <w:p w14:paraId="750EBAC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6740" w:type="dxa"/>
            <w:tcBorders>
              <w:left w:val="single" w:color="auto" w:sz="4" w:space="0"/>
            </w:tcBorders>
            <w:noWrap w:val="0"/>
            <w:vAlign w:val="center"/>
          </w:tcPr>
          <w:p w14:paraId="2AD27D4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加强风险隐患排查和修订完善预案方案。做好极端天气条件下本行业内的重大自然灾害、事故灾难的危险源、危险区域调查、登记、风险评估，</w:t>
            </w:r>
            <w:r>
              <w:rPr>
                <w:rFonts w:hint="eastAsia" w:ascii="宋体" w:hAnsi="宋体" w:eastAsia="宋体" w:cs="宋体"/>
                <w:color w:val="000000" w:themeColor="text1"/>
                <w:sz w:val="24"/>
                <w:szCs w:val="24"/>
                <w14:textFill>
                  <w14:solidFill>
                    <w14:schemeClr w14:val="tx1"/>
                  </w14:solidFill>
                </w14:textFill>
              </w:rPr>
              <w:t>采取安全风险防范化解措施，按规定及时公布。对极端天气可能引发的重大灾害事故，修订完善应急预案方案，组织开展应急演练。</w:t>
            </w:r>
          </w:p>
        </w:tc>
        <w:tc>
          <w:tcPr>
            <w:tcW w:w="3240" w:type="dxa"/>
            <w:noWrap w:val="0"/>
            <w:vAlign w:val="center"/>
          </w:tcPr>
          <w:p w14:paraId="20E3084E">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县应急管理局 </w:t>
            </w:r>
          </w:p>
          <w:p w14:paraId="53A7D20C">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县安委会相关成员单位</w:t>
            </w:r>
          </w:p>
          <w:p w14:paraId="3BCD71DE">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县减灾委相关成员单位</w:t>
            </w:r>
          </w:p>
        </w:tc>
        <w:tc>
          <w:tcPr>
            <w:tcW w:w="1755" w:type="dxa"/>
            <w:noWrap w:val="0"/>
            <w:vAlign w:val="center"/>
          </w:tcPr>
          <w:p w14:paraId="4AF7FFC4">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唐则俭</w:t>
            </w:r>
          </w:p>
          <w:p w14:paraId="3B1A623D">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县安委会、县减灾委相关成员单位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主要负责人</w:t>
            </w:r>
          </w:p>
        </w:tc>
        <w:tc>
          <w:tcPr>
            <w:tcW w:w="1718" w:type="dxa"/>
            <w:noWrap w:val="0"/>
            <w:vAlign w:val="center"/>
          </w:tcPr>
          <w:p w14:paraId="52466BE3">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陵建华</w:t>
            </w:r>
          </w:p>
        </w:tc>
      </w:tr>
      <w:tr w14:paraId="0AD4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710" w:type="dxa"/>
            <w:tcBorders>
              <w:right w:val="single" w:color="auto" w:sz="4" w:space="0"/>
            </w:tcBorders>
            <w:noWrap w:val="0"/>
            <w:vAlign w:val="center"/>
          </w:tcPr>
          <w:p w14:paraId="6942B1B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740" w:type="dxa"/>
            <w:tcBorders>
              <w:left w:val="single" w:color="auto" w:sz="4" w:space="0"/>
            </w:tcBorders>
            <w:noWrap w:val="0"/>
            <w:vAlign w:val="center"/>
          </w:tcPr>
          <w:p w14:paraId="05AFD4A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加强监测预警和信息发布。建立健全气象灾害监测、信息收集评估及预警系统。</w:t>
            </w:r>
            <w:r>
              <w:rPr>
                <w:rFonts w:hint="eastAsia" w:ascii="宋体" w:hAnsi="宋体" w:eastAsia="宋体" w:cs="宋体"/>
                <w:color w:val="000000" w:themeColor="text1"/>
                <w:sz w:val="24"/>
                <w:szCs w:val="24"/>
                <w14:textFill>
                  <w14:solidFill>
                    <w14:schemeClr w14:val="tx1"/>
                  </w14:solidFill>
                </w14:textFill>
              </w:rPr>
              <w:t>加强极端天气会商研判，及时向</w:t>
            </w: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委</w:t>
            </w: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政府提出应对建议。健全发布体系，及时发布极端天气预报预警信息，确保第一时间传达到一线岗位和受威胁人群。</w:t>
            </w:r>
          </w:p>
        </w:tc>
        <w:tc>
          <w:tcPr>
            <w:tcW w:w="3240" w:type="dxa"/>
            <w:noWrap w:val="0"/>
            <w:vAlign w:val="center"/>
          </w:tcPr>
          <w:p w14:paraId="214CFA24">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县应急管理局</w:t>
            </w:r>
          </w:p>
          <w:p w14:paraId="5E542FCD">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县安委会相关成员单位</w:t>
            </w:r>
          </w:p>
          <w:p w14:paraId="77B2890C">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县减灾委相关成员单位</w:t>
            </w:r>
          </w:p>
        </w:tc>
        <w:tc>
          <w:tcPr>
            <w:tcW w:w="1755" w:type="dxa"/>
            <w:noWrap w:val="0"/>
            <w:vAlign w:val="center"/>
          </w:tcPr>
          <w:p w14:paraId="4FF70389">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唐则俭</w:t>
            </w:r>
          </w:p>
          <w:p w14:paraId="499264B9">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县安委会、县减灾委相关成员单位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w:t>
            </w:r>
          </w:p>
          <w:p w14:paraId="2CFA8A89">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tc>
        <w:tc>
          <w:tcPr>
            <w:tcW w:w="1718" w:type="dxa"/>
            <w:noWrap w:val="0"/>
            <w:vAlign w:val="center"/>
          </w:tcPr>
          <w:p w14:paraId="77657C8C">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陵建华</w:t>
            </w:r>
          </w:p>
        </w:tc>
      </w:tr>
      <w:tr w14:paraId="1C04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380EB5C4">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740" w:type="dxa"/>
            <w:tcBorders>
              <w:left w:val="single" w:color="auto" w:sz="4" w:space="0"/>
            </w:tcBorders>
            <w:noWrap w:val="0"/>
            <w:vAlign w:val="center"/>
          </w:tcPr>
          <w:p w14:paraId="792D05F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保障交通畅通。做好极端天气交通保畅准备工作，强化交通疏导和管制，</w:t>
            </w:r>
            <w:r>
              <w:rPr>
                <w:rFonts w:hint="eastAsia" w:ascii="宋体" w:hAnsi="宋体" w:eastAsia="宋体" w:cs="宋体"/>
                <w:color w:val="000000" w:themeColor="text1"/>
                <w:sz w:val="24"/>
                <w:szCs w:val="24"/>
                <w14:textFill>
                  <w14:solidFill>
                    <w14:schemeClr w14:val="tx1"/>
                  </w14:solidFill>
                </w14:textFill>
              </w:rPr>
              <w:t>尽最大可能保障交通通畅。保障通信网络运行安全，做好极端天气情况下断网、断电、断路的应急通信保障工作。保障重要通信机房、基站用电安全。</w:t>
            </w:r>
          </w:p>
        </w:tc>
        <w:tc>
          <w:tcPr>
            <w:tcW w:w="3240" w:type="dxa"/>
            <w:noWrap w:val="0"/>
            <w:vAlign w:val="center"/>
          </w:tcPr>
          <w:p w14:paraId="79F0D2C2">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县交通运输局</w:t>
            </w:r>
          </w:p>
          <w:p w14:paraId="119374AF">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县公安局交警大队</w:t>
            </w:r>
          </w:p>
        </w:tc>
        <w:tc>
          <w:tcPr>
            <w:tcW w:w="1755" w:type="dxa"/>
            <w:noWrap w:val="0"/>
            <w:vAlign w:val="center"/>
          </w:tcPr>
          <w:p w14:paraId="1DC0C002">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陈又清</w:t>
            </w:r>
          </w:p>
          <w:p w14:paraId="15276628">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龙开堂</w:t>
            </w:r>
          </w:p>
        </w:tc>
        <w:tc>
          <w:tcPr>
            <w:tcW w:w="1718" w:type="dxa"/>
            <w:noWrap w:val="0"/>
            <w:vAlign w:val="center"/>
          </w:tcPr>
          <w:p w14:paraId="633A7508">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p w14:paraId="42FBA22F">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黎  军</w:t>
            </w:r>
          </w:p>
        </w:tc>
      </w:tr>
      <w:tr w14:paraId="3EC1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710" w:type="dxa"/>
            <w:tcBorders>
              <w:right w:val="single" w:color="auto" w:sz="4" w:space="0"/>
            </w:tcBorders>
            <w:noWrap w:val="0"/>
            <w:vAlign w:val="center"/>
          </w:tcPr>
          <w:p w14:paraId="3288515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6740" w:type="dxa"/>
            <w:tcBorders>
              <w:left w:val="single" w:color="auto" w:sz="4" w:space="0"/>
            </w:tcBorders>
            <w:noWrap w:val="0"/>
            <w:vAlign w:val="center"/>
          </w:tcPr>
          <w:p w14:paraId="2ED6EEF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保障能源稳定供给。加强电力运行调度，提前预判供电缺口，及时启动负荷管理，确保电网安全稳定运行和电力可靠供应。</w:t>
            </w:r>
            <w:r>
              <w:rPr>
                <w:rFonts w:hint="eastAsia" w:ascii="宋体" w:hAnsi="宋体" w:eastAsia="宋体" w:cs="宋体"/>
                <w:color w:val="000000" w:themeColor="text1"/>
                <w:sz w:val="24"/>
                <w:szCs w:val="24"/>
                <w14:textFill>
                  <w14:solidFill>
                    <w14:schemeClr w14:val="tx1"/>
                  </w14:solidFill>
                </w14:textFill>
              </w:rPr>
              <w:t>确保不发生规模化停电限电。做好天然气储</w:t>
            </w:r>
            <w:r>
              <w:rPr>
                <w:rFonts w:hint="eastAsia" w:ascii="宋体" w:hAnsi="宋体" w:eastAsia="宋体" w:cs="宋体"/>
                <w:color w:val="000000" w:themeColor="text1"/>
                <w:sz w:val="24"/>
                <w:szCs w:val="24"/>
                <w:lang w:val="en-US" w:eastAsia="zh-CN"/>
                <w14:textFill>
                  <w14:solidFill>
                    <w14:schemeClr w14:val="tx1"/>
                  </w14:solidFill>
                </w14:textFill>
              </w:rPr>
              <w:t>备</w:t>
            </w:r>
            <w:r>
              <w:rPr>
                <w:rFonts w:hint="eastAsia" w:ascii="宋体" w:hAnsi="宋体" w:eastAsia="宋体" w:cs="宋体"/>
                <w:color w:val="000000" w:themeColor="text1"/>
                <w:sz w:val="24"/>
                <w:szCs w:val="24"/>
                <w14:textFill>
                  <w14:solidFill>
                    <w14:schemeClr w14:val="tx1"/>
                  </w14:solidFill>
                </w14:textFill>
              </w:rPr>
              <w:t>。全力保障极端天气下发电和居民用气需求，</w:t>
            </w:r>
          </w:p>
        </w:tc>
        <w:tc>
          <w:tcPr>
            <w:tcW w:w="3240" w:type="dxa"/>
            <w:noWrap w:val="0"/>
            <w:vAlign w:val="center"/>
          </w:tcPr>
          <w:p w14:paraId="2D05BEB2">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县发展和改革局</w:t>
            </w:r>
          </w:p>
          <w:p w14:paraId="58759537">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县供电公司</w:t>
            </w:r>
          </w:p>
        </w:tc>
        <w:tc>
          <w:tcPr>
            <w:tcW w:w="1755" w:type="dxa"/>
            <w:noWrap w:val="0"/>
            <w:vAlign w:val="center"/>
          </w:tcPr>
          <w:p w14:paraId="2DD9826C">
            <w:pPr>
              <w:spacing w:line="28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唐友柏</w:t>
            </w:r>
          </w:p>
          <w:p w14:paraId="103F7253">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张  伟</w:t>
            </w:r>
          </w:p>
        </w:tc>
        <w:tc>
          <w:tcPr>
            <w:tcW w:w="1718" w:type="dxa"/>
            <w:noWrap w:val="0"/>
            <w:vAlign w:val="center"/>
          </w:tcPr>
          <w:p w14:paraId="4DF7357F">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1D27E0C4">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黄先伟</w:t>
            </w:r>
          </w:p>
        </w:tc>
      </w:tr>
      <w:tr w14:paraId="64D7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710" w:type="dxa"/>
            <w:tcBorders>
              <w:right w:val="single" w:color="auto" w:sz="4" w:space="0"/>
            </w:tcBorders>
            <w:noWrap w:val="0"/>
            <w:vAlign w:val="center"/>
          </w:tcPr>
          <w:p w14:paraId="313B6276">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6740" w:type="dxa"/>
            <w:tcBorders>
              <w:left w:val="single" w:color="auto" w:sz="4" w:space="0"/>
            </w:tcBorders>
            <w:noWrap w:val="0"/>
            <w:vAlign w:val="center"/>
          </w:tcPr>
          <w:p w14:paraId="5C7C100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保障饮用水安全。</w:t>
            </w:r>
            <w:r>
              <w:rPr>
                <w:rFonts w:hint="eastAsia" w:ascii="宋体" w:hAnsi="宋体" w:eastAsia="宋体" w:cs="宋体"/>
                <w:color w:val="000000" w:themeColor="text1"/>
                <w:sz w:val="24"/>
                <w:szCs w:val="24"/>
                <w14:textFill>
                  <w14:solidFill>
                    <w14:schemeClr w14:val="tx1"/>
                  </w14:solidFill>
                </w14:textFill>
              </w:rPr>
              <w:t>采取工程措施和非工程措施相结合的方式，最大限度保障极端天气下农村饮水和城市供水安全。</w:t>
            </w:r>
          </w:p>
        </w:tc>
        <w:tc>
          <w:tcPr>
            <w:tcW w:w="3240" w:type="dxa"/>
            <w:noWrap w:val="0"/>
            <w:vAlign w:val="center"/>
          </w:tcPr>
          <w:p w14:paraId="0C63B2C3">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县城市管理和综合执法局</w:t>
            </w:r>
          </w:p>
          <w:p w14:paraId="0921DC74">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县农业农村水利局</w:t>
            </w:r>
          </w:p>
          <w:p w14:paraId="275AA024">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市生态环境局绥宁分局</w:t>
            </w:r>
          </w:p>
          <w:p w14:paraId="2348495A">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679A023C">
            <w:pPr>
              <w:spacing w:line="28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颜永福</w:t>
            </w:r>
          </w:p>
          <w:p w14:paraId="46AC66FE">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李</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彬</w:t>
            </w:r>
          </w:p>
          <w:p w14:paraId="6B25513A">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袁惠雄</w:t>
            </w:r>
          </w:p>
          <w:p w14:paraId="51242F4F">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0C41A9F6">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杨昌盛</w:t>
            </w:r>
          </w:p>
          <w:p w14:paraId="24621170">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禹春晖</w:t>
            </w:r>
          </w:p>
        </w:tc>
      </w:tr>
      <w:tr w14:paraId="6388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710" w:type="dxa"/>
            <w:tcBorders>
              <w:right w:val="single" w:color="auto" w:sz="4" w:space="0"/>
            </w:tcBorders>
            <w:noWrap w:val="0"/>
            <w:vAlign w:val="center"/>
          </w:tcPr>
          <w:p w14:paraId="5F4FA02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6740" w:type="dxa"/>
            <w:tcBorders>
              <w:left w:val="single" w:color="auto" w:sz="4" w:space="0"/>
            </w:tcBorders>
            <w:noWrap w:val="0"/>
            <w:vAlign w:val="center"/>
          </w:tcPr>
          <w:p w14:paraId="71390B3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农业抗灾减损。</w:t>
            </w:r>
            <w:r>
              <w:rPr>
                <w:rFonts w:hint="eastAsia" w:ascii="宋体" w:hAnsi="宋体" w:eastAsia="宋体" w:cs="宋体"/>
                <w:color w:val="000000" w:themeColor="text1"/>
                <w:sz w:val="24"/>
                <w:szCs w:val="24"/>
                <w14:textFill>
                  <w14:solidFill>
                    <w14:schemeClr w14:val="tx1"/>
                  </w14:solidFill>
                </w14:textFill>
              </w:rPr>
              <w:t>加强极端天气下农作物的技术服务，及时做好受灾情影响农作物的</w:t>
            </w:r>
            <w:r>
              <w:rPr>
                <w:rFonts w:hint="eastAsia" w:ascii="宋体" w:hAnsi="宋体" w:eastAsia="宋体" w:cs="宋体"/>
                <w:color w:val="000000" w:themeColor="text1"/>
                <w:sz w:val="24"/>
                <w:szCs w:val="24"/>
                <w:lang w:val="en-US" w:eastAsia="zh-CN"/>
                <w14:textFill>
                  <w14:solidFill>
                    <w14:schemeClr w14:val="tx1"/>
                  </w14:solidFill>
                </w14:textFill>
              </w:rPr>
              <w:t>改</w:t>
            </w:r>
            <w:r>
              <w:rPr>
                <w:rFonts w:hint="eastAsia" w:ascii="宋体" w:hAnsi="宋体" w:eastAsia="宋体" w:cs="宋体"/>
                <w:color w:val="000000" w:themeColor="text1"/>
                <w:sz w:val="24"/>
                <w:szCs w:val="24"/>
                <w14:textFill>
                  <w14:solidFill>
                    <w14:schemeClr w14:val="tx1"/>
                  </w14:solidFill>
                </w14:textFill>
              </w:rPr>
              <w:t>种补种工作。加强农业生产防雪抗冻和灾后恢复生产技术指导。加强畜牧水产养殖业越冬管理，保证保湿防冻设施安全有效。</w:t>
            </w:r>
          </w:p>
        </w:tc>
        <w:tc>
          <w:tcPr>
            <w:tcW w:w="3240" w:type="dxa"/>
            <w:noWrap w:val="0"/>
            <w:vAlign w:val="center"/>
          </w:tcPr>
          <w:p w14:paraId="406C0ABD">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县农业农村水利局</w:t>
            </w:r>
          </w:p>
        </w:tc>
        <w:tc>
          <w:tcPr>
            <w:tcW w:w="1755" w:type="dxa"/>
            <w:noWrap w:val="0"/>
            <w:vAlign w:val="center"/>
          </w:tcPr>
          <w:p w14:paraId="43EF7FE2">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李</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彬</w:t>
            </w:r>
          </w:p>
        </w:tc>
        <w:tc>
          <w:tcPr>
            <w:tcW w:w="1718" w:type="dxa"/>
            <w:noWrap w:val="0"/>
            <w:vAlign w:val="center"/>
          </w:tcPr>
          <w:p w14:paraId="294D3986">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梁恩雄</w:t>
            </w:r>
          </w:p>
          <w:p w14:paraId="255CDB02">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禹春辉</w:t>
            </w:r>
          </w:p>
        </w:tc>
      </w:tr>
      <w:tr w14:paraId="7458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jc w:val="center"/>
        </w:trPr>
        <w:tc>
          <w:tcPr>
            <w:tcW w:w="710" w:type="dxa"/>
            <w:tcBorders>
              <w:right w:val="single" w:color="auto" w:sz="4" w:space="0"/>
            </w:tcBorders>
            <w:noWrap w:val="0"/>
            <w:vAlign w:val="center"/>
          </w:tcPr>
          <w:p w14:paraId="1EDD10D2">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6740" w:type="dxa"/>
            <w:tcBorders>
              <w:left w:val="single" w:color="auto" w:sz="4" w:space="0"/>
            </w:tcBorders>
            <w:noWrap w:val="0"/>
            <w:vAlign w:val="center"/>
          </w:tcPr>
          <w:p w14:paraId="2DA8796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防范应对极端天气自然灾害和安全生产事故。</w:t>
            </w:r>
            <w:r>
              <w:rPr>
                <w:rFonts w:hint="eastAsia" w:ascii="宋体" w:hAnsi="宋体" w:eastAsia="宋体" w:cs="宋体"/>
                <w:color w:val="000000" w:themeColor="text1"/>
                <w:sz w:val="24"/>
                <w:szCs w:val="24"/>
                <w14:textFill>
                  <w14:solidFill>
                    <w14:schemeClr w14:val="tx1"/>
                  </w14:solidFill>
                </w14:textFill>
              </w:rPr>
              <w:t>做好极端天气洪涝灾害、地质灾害、干旱灾害、森林火灾、低温雨雪冰冻、安全生产等重大风险灾害防范工作。落实企业主体责任，督促合理安排生产经营活动，防范极端天气自然灾害和安全生产事故。</w:t>
            </w:r>
          </w:p>
        </w:tc>
        <w:tc>
          <w:tcPr>
            <w:tcW w:w="3240" w:type="dxa"/>
            <w:noWrap w:val="0"/>
            <w:vAlign w:val="center"/>
          </w:tcPr>
          <w:p w14:paraId="22CBB30A">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县应急管理局</w:t>
            </w:r>
          </w:p>
          <w:p w14:paraId="43AD6FCD">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县安委会相关成员单位</w:t>
            </w:r>
          </w:p>
          <w:p w14:paraId="43293FBE">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县减灾委相关成员单位</w:t>
            </w:r>
          </w:p>
          <w:p w14:paraId="31476F34">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64DB6E55">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唐则俭</w:t>
            </w:r>
          </w:p>
          <w:p w14:paraId="46F2B19B">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县安委会、县减灾委相关成员单位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w:t>
            </w:r>
          </w:p>
          <w:p w14:paraId="36628999">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p w14:paraId="189CE0F1">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228AA849">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7065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jc w:val="center"/>
        </w:trPr>
        <w:tc>
          <w:tcPr>
            <w:tcW w:w="710" w:type="dxa"/>
            <w:tcBorders>
              <w:right w:val="single" w:color="auto" w:sz="4" w:space="0"/>
            </w:tcBorders>
            <w:noWrap w:val="0"/>
            <w:vAlign w:val="center"/>
          </w:tcPr>
          <w:p w14:paraId="7BCAAA17">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6740" w:type="dxa"/>
            <w:tcBorders>
              <w:left w:val="single" w:color="auto" w:sz="4" w:space="0"/>
            </w:tcBorders>
            <w:noWrap w:val="0"/>
            <w:vAlign w:val="center"/>
          </w:tcPr>
          <w:p w14:paraId="0C0393F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做好应急救援准备保障。</w:t>
            </w:r>
            <w:r>
              <w:rPr>
                <w:rFonts w:hint="eastAsia" w:ascii="宋体" w:hAnsi="宋体" w:eastAsia="宋体" w:cs="宋体"/>
                <w:color w:val="000000" w:themeColor="text1"/>
                <w:sz w:val="24"/>
                <w:szCs w:val="24"/>
                <w14:textFill>
                  <w14:solidFill>
                    <w14:schemeClr w14:val="tx1"/>
                  </w14:solidFill>
                </w14:textFill>
              </w:rPr>
              <w:t>加强</w:t>
            </w:r>
            <w:r>
              <w:rPr>
                <w:rFonts w:hint="eastAsia" w:ascii="宋体" w:hAnsi="宋体" w:eastAsia="宋体" w:cs="宋体"/>
                <w:color w:val="000000" w:themeColor="text1"/>
                <w:sz w:val="24"/>
                <w:szCs w:val="24"/>
                <w:lang w:val="en-US"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级专业应急救援队伍能力建设，根据需要建立专业或半专业应急救援队伍。做好</w:t>
            </w:r>
            <w:r>
              <w:rPr>
                <w:rFonts w:hint="eastAsia" w:ascii="宋体" w:hAnsi="宋体" w:eastAsia="宋体" w:cs="宋体"/>
                <w:color w:val="000000" w:themeColor="text1"/>
                <w:sz w:val="24"/>
                <w:szCs w:val="24"/>
                <w:lang w:val="en-US"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级专业</w:t>
            </w:r>
            <w:r>
              <w:rPr>
                <w:rFonts w:hint="eastAsia" w:ascii="宋体" w:hAnsi="宋体" w:eastAsia="宋体" w:cs="宋体"/>
                <w:color w:val="000000" w:themeColor="text1"/>
                <w:sz w:val="24"/>
                <w:szCs w:val="24"/>
                <w:lang w:val="en-US" w:eastAsia="zh-CN"/>
                <w14:textFill>
                  <w14:solidFill>
                    <w14:schemeClr w14:val="tx1"/>
                  </w14:solidFill>
                </w14:textFill>
              </w:rPr>
              <w:t>救</w:t>
            </w:r>
            <w:r>
              <w:rPr>
                <w:rFonts w:hint="eastAsia" w:ascii="宋体" w:hAnsi="宋体" w:eastAsia="宋体" w:cs="宋体"/>
                <w:color w:val="000000" w:themeColor="text1"/>
                <w:sz w:val="24"/>
                <w:szCs w:val="24"/>
                <w14:textFill>
                  <w14:solidFill>
                    <w14:schemeClr w14:val="tx1"/>
                  </w14:solidFill>
                </w14:textFill>
              </w:rPr>
              <w:t>援队伍的装备配备和应急保障工作。完善应急物资供应渠道，加强专用物料、器</w:t>
            </w:r>
            <w:r>
              <w:rPr>
                <w:rFonts w:hint="eastAsia" w:ascii="宋体" w:hAnsi="宋体" w:eastAsia="宋体" w:cs="宋体"/>
                <w:color w:val="000000" w:themeColor="text1"/>
                <w:sz w:val="24"/>
                <w:szCs w:val="24"/>
                <w:lang w:eastAsia="zh-CN"/>
                <w14:textFill>
                  <w14:solidFill>
                    <w14:schemeClr w14:val="tx1"/>
                  </w14:solidFill>
                </w14:textFill>
              </w:rPr>
              <w:t>材</w:t>
            </w:r>
            <w:r>
              <w:rPr>
                <w:rFonts w:hint="eastAsia" w:ascii="宋体" w:hAnsi="宋体" w:eastAsia="宋体" w:cs="宋体"/>
                <w:color w:val="000000" w:themeColor="text1"/>
                <w:sz w:val="24"/>
                <w:szCs w:val="24"/>
                <w14:textFill>
                  <w14:solidFill>
                    <w14:schemeClr w14:val="tx1"/>
                  </w14:solidFill>
                </w14:textFill>
              </w:rPr>
              <w:t>、装备、工具储备，加强生活生产必需品储备。加强医疗保障能力，提前做好受伤人员医疗教护准备。</w:t>
            </w:r>
          </w:p>
        </w:tc>
        <w:tc>
          <w:tcPr>
            <w:tcW w:w="3240" w:type="dxa"/>
            <w:noWrap w:val="0"/>
            <w:vAlign w:val="center"/>
          </w:tcPr>
          <w:p w14:paraId="56451BF8">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县应急管理局</w:t>
            </w:r>
          </w:p>
          <w:p w14:paraId="53427AF3">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县财政局</w:t>
            </w:r>
          </w:p>
          <w:p w14:paraId="55E8FE09">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县卫生健康局</w:t>
            </w:r>
          </w:p>
          <w:p w14:paraId="7F4A4C5A">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县商务局</w:t>
            </w:r>
          </w:p>
          <w:p w14:paraId="11A5C0F0">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县消防救援大队</w:t>
            </w:r>
          </w:p>
          <w:p w14:paraId="2B96E834">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县发展和改革局</w:t>
            </w:r>
          </w:p>
        </w:tc>
        <w:tc>
          <w:tcPr>
            <w:tcW w:w="1755" w:type="dxa"/>
            <w:noWrap w:val="0"/>
            <w:vAlign w:val="center"/>
          </w:tcPr>
          <w:p w14:paraId="4961AE21">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唐则俭</w:t>
            </w:r>
          </w:p>
          <w:p w14:paraId="7E8026C7">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罗</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兴</w:t>
            </w:r>
          </w:p>
          <w:p w14:paraId="49D1C07C">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莫丛英</w:t>
            </w:r>
          </w:p>
          <w:p w14:paraId="7D5B880F">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徐邦东</w:t>
            </w:r>
          </w:p>
          <w:p w14:paraId="27384582">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佘梁辉</w:t>
            </w:r>
          </w:p>
          <w:p w14:paraId="388FE921">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唐友柏</w:t>
            </w:r>
          </w:p>
        </w:tc>
        <w:tc>
          <w:tcPr>
            <w:tcW w:w="1718" w:type="dxa"/>
            <w:noWrap w:val="0"/>
            <w:vAlign w:val="center"/>
          </w:tcPr>
          <w:p w14:paraId="7529947E">
            <w:pPr>
              <w:snapToGrid w:val="0"/>
              <w:spacing w:line="28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p w14:paraId="26A9E45A">
            <w:pPr>
              <w:snapToGrid w:val="0"/>
              <w:spacing w:line="28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p w14:paraId="2050449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彭遵礼</w:t>
            </w:r>
          </w:p>
        </w:tc>
      </w:tr>
      <w:tr w14:paraId="3627D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tcBorders>
              <w:right w:val="single" w:color="auto" w:sz="4" w:space="0"/>
            </w:tcBorders>
            <w:noWrap w:val="0"/>
            <w:vAlign w:val="center"/>
          </w:tcPr>
          <w:p w14:paraId="16EAB10E">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6740" w:type="dxa"/>
            <w:tcBorders>
              <w:left w:val="single" w:color="auto" w:sz="4" w:space="0"/>
            </w:tcBorders>
            <w:noWrap w:val="0"/>
            <w:vAlign w:val="center"/>
          </w:tcPr>
          <w:p w14:paraId="26AD089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做好应急救援救灾工作。</w:t>
            </w:r>
            <w:r>
              <w:rPr>
                <w:rFonts w:hint="eastAsia" w:ascii="宋体" w:hAnsi="宋体" w:eastAsia="宋体" w:cs="宋体"/>
                <w:color w:val="000000" w:themeColor="text1"/>
                <w:sz w:val="24"/>
                <w:szCs w:val="24"/>
                <w14:textFill>
                  <w14:solidFill>
                    <w14:schemeClr w14:val="tx1"/>
                  </w14:solidFill>
                </w14:textFill>
              </w:rPr>
              <w:t>建立分级指挥与专业指挥相结合的指挥机制，完善部门间、军地间协调联动机制。“分</w:t>
            </w:r>
            <w:r>
              <w:rPr>
                <w:rFonts w:hint="eastAsia" w:ascii="宋体" w:hAnsi="宋体" w:eastAsia="宋体" w:cs="宋体"/>
                <w:color w:val="000000" w:themeColor="text1"/>
                <w:sz w:val="24"/>
                <w:szCs w:val="24"/>
                <w:lang w:val="en-US" w:eastAsia="zh-CN"/>
                <w14:textFill>
                  <w14:solidFill>
                    <w14:schemeClr w14:val="tx1"/>
                  </w14:solidFill>
                </w14:textFill>
              </w:rPr>
              <w:t>类</w:t>
            </w:r>
            <w:r>
              <w:rPr>
                <w:rFonts w:hint="eastAsia" w:ascii="宋体" w:hAnsi="宋体" w:eastAsia="宋体" w:cs="宋体"/>
                <w:color w:val="000000" w:themeColor="text1"/>
                <w:sz w:val="24"/>
                <w:szCs w:val="24"/>
                <w14:textFill>
                  <w14:solidFill>
                    <w14:schemeClr w14:val="tx1"/>
                  </w14:solidFill>
                </w14:textFill>
              </w:rPr>
              <w:t>管理，分级负责”，第一时间启动应急响应并开展应急处置。用好</w:t>
            </w:r>
            <w:r>
              <w:rPr>
                <w:rFonts w:hint="eastAsia" w:ascii="宋体" w:hAnsi="宋体" w:eastAsia="宋体" w:cs="宋体"/>
                <w:color w:val="000000" w:themeColor="text1"/>
                <w:sz w:val="24"/>
                <w:szCs w:val="24"/>
                <w:lang w:eastAsia="zh-CN"/>
                <w14:textFill>
                  <w14:solidFill>
                    <w14:schemeClr w14:val="tx1"/>
                  </w14:solidFill>
                </w14:textFill>
              </w:rPr>
              <w:t>县乡两</w:t>
            </w:r>
            <w:r>
              <w:rPr>
                <w:rFonts w:hint="eastAsia" w:ascii="宋体" w:hAnsi="宋体" w:eastAsia="宋体" w:cs="宋体"/>
                <w:color w:val="000000" w:themeColor="text1"/>
                <w:sz w:val="24"/>
                <w:szCs w:val="24"/>
                <w14:textFill>
                  <w14:solidFill>
                    <w14:schemeClr w14:val="tx1"/>
                  </w14:solidFill>
                </w14:textFill>
              </w:rPr>
              <w:t>级应急资源管理和应急救援救助平合，千方百计保障受灾群众基本生活。</w:t>
            </w:r>
          </w:p>
        </w:tc>
        <w:tc>
          <w:tcPr>
            <w:tcW w:w="3240" w:type="dxa"/>
            <w:noWrap w:val="0"/>
            <w:vAlign w:val="center"/>
          </w:tcPr>
          <w:p w14:paraId="36116274">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县应急管理局</w:t>
            </w:r>
          </w:p>
          <w:p w14:paraId="7FD7E812">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县安委会相关成员单位</w:t>
            </w:r>
          </w:p>
          <w:p w14:paraId="63577EDC">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县减灾委相关成员单位</w:t>
            </w:r>
          </w:p>
          <w:p w14:paraId="2426396D">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各乡镇人民政府</w:t>
            </w:r>
          </w:p>
        </w:tc>
        <w:tc>
          <w:tcPr>
            <w:tcW w:w="1755" w:type="dxa"/>
            <w:noWrap w:val="0"/>
            <w:vAlign w:val="center"/>
          </w:tcPr>
          <w:p w14:paraId="5AEEFC1C">
            <w:pPr>
              <w:spacing w:line="2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唐则俭</w:t>
            </w:r>
          </w:p>
          <w:p w14:paraId="025622AA">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县安委会、县减灾委相关成员单位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w:t>
            </w:r>
          </w:p>
          <w:p w14:paraId="7BDFB862">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p w14:paraId="78219A69">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各乡镇长</w:t>
            </w:r>
          </w:p>
        </w:tc>
        <w:tc>
          <w:tcPr>
            <w:tcW w:w="1718" w:type="dxa"/>
            <w:noWrap w:val="0"/>
            <w:vAlign w:val="center"/>
          </w:tcPr>
          <w:p w14:paraId="1F7E4881">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陵建华</w:t>
            </w:r>
          </w:p>
        </w:tc>
      </w:tr>
      <w:tr w14:paraId="00F5B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10" w:type="dxa"/>
            <w:tcBorders>
              <w:right w:val="single" w:color="auto" w:sz="4" w:space="0"/>
            </w:tcBorders>
            <w:noWrap w:val="0"/>
            <w:vAlign w:val="center"/>
          </w:tcPr>
          <w:p w14:paraId="43FBC2FA">
            <w:pPr>
              <w:snapToGrid w:val="0"/>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6740" w:type="dxa"/>
            <w:tcBorders>
              <w:left w:val="single" w:color="auto" w:sz="4" w:space="0"/>
            </w:tcBorders>
            <w:noWrap w:val="0"/>
            <w:vAlign w:val="center"/>
          </w:tcPr>
          <w:p w14:paraId="60F8C1D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加强宣传舆论引导。做好网络舆情管控，营造合力应对极端天气、共同防灾减灾救灾氛围。</w:t>
            </w:r>
          </w:p>
        </w:tc>
        <w:tc>
          <w:tcPr>
            <w:tcW w:w="3240" w:type="dxa"/>
            <w:noWrap w:val="0"/>
            <w:vAlign w:val="center"/>
          </w:tcPr>
          <w:p w14:paraId="5FE2881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县委宣传部</w:t>
            </w:r>
          </w:p>
          <w:p w14:paraId="1EF4EFC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县委网信办</w:t>
            </w:r>
          </w:p>
        </w:tc>
        <w:tc>
          <w:tcPr>
            <w:tcW w:w="1755" w:type="dxa"/>
            <w:noWrap w:val="0"/>
            <w:vAlign w:val="center"/>
          </w:tcPr>
          <w:p w14:paraId="4A92992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黄  克</w:t>
            </w:r>
          </w:p>
          <w:p w14:paraId="766ACDF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伍颖虎</w:t>
            </w:r>
          </w:p>
        </w:tc>
        <w:tc>
          <w:tcPr>
            <w:tcW w:w="1718" w:type="dxa"/>
            <w:noWrap w:val="0"/>
            <w:vAlign w:val="center"/>
          </w:tcPr>
          <w:p w14:paraId="6C92ED8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谢文远</w:t>
            </w:r>
          </w:p>
          <w:p w14:paraId="66AC52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黄先伟</w:t>
            </w:r>
          </w:p>
        </w:tc>
      </w:tr>
      <w:tr w14:paraId="2138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4163" w:type="dxa"/>
            <w:gridSpan w:val="5"/>
            <w:noWrap w:val="0"/>
            <w:vAlign w:val="center"/>
          </w:tcPr>
          <w:p w14:paraId="5DA796C1">
            <w:pPr>
              <w:spacing w:line="28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六、推进机制</w:t>
            </w:r>
          </w:p>
        </w:tc>
      </w:tr>
      <w:tr w14:paraId="6C8F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14163" w:type="dxa"/>
            <w:gridSpan w:val="5"/>
            <w:noWrap w:val="0"/>
            <w:vAlign w:val="center"/>
          </w:tcPr>
          <w:p w14:paraId="651190A6">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成立打好防范化解风险阻击仗工作专班，由</w:t>
            </w:r>
            <w:r>
              <w:rPr>
                <w:rFonts w:hint="eastAsia" w:ascii="宋体" w:hAnsi="宋体" w:eastAsia="宋体" w:cs="宋体"/>
                <w:color w:val="000000" w:themeColor="text1"/>
                <w:sz w:val="21"/>
                <w:szCs w:val="21"/>
                <w:highlight w:val="none"/>
                <w:lang w:val="en-US" w:eastAsia="zh-CN"/>
                <w14:textFill>
                  <w14:solidFill>
                    <w14:schemeClr w14:val="tx1"/>
                  </w14:solidFill>
                </w14:textFill>
              </w:rPr>
              <w:t>县</w:t>
            </w:r>
            <w:r>
              <w:rPr>
                <w:rFonts w:hint="eastAsia" w:ascii="宋体" w:hAnsi="宋体" w:eastAsia="宋体" w:cs="宋体"/>
                <w:color w:val="000000" w:themeColor="text1"/>
                <w:sz w:val="21"/>
                <w:szCs w:val="21"/>
                <w:highlight w:val="none"/>
                <w:lang w:eastAsia="zh-CN"/>
                <w14:textFill>
                  <w14:solidFill>
                    <w14:schemeClr w14:val="tx1"/>
                  </w14:solidFill>
                </w14:textFill>
              </w:rPr>
              <w:t>政府办分管副主任唐伯贫担任召集人，县财政局</w:t>
            </w:r>
            <w:r>
              <w:rPr>
                <w:rFonts w:hint="eastAsia" w:ascii="宋体" w:hAnsi="宋体" w:eastAsia="宋体" w:cs="宋体"/>
                <w:color w:val="000000" w:themeColor="text1"/>
                <w:sz w:val="21"/>
                <w:szCs w:val="21"/>
                <w:highlight w:val="none"/>
                <w:lang w:val="en-US" w:eastAsia="zh-CN"/>
                <w14:textFill>
                  <w14:solidFill>
                    <w14:schemeClr w14:val="tx1"/>
                  </w14:solidFill>
                </w14:textFill>
              </w:rPr>
              <w:t>党委书记、局长罗兴</w:t>
            </w:r>
            <w:r>
              <w:rPr>
                <w:rFonts w:hint="eastAsia" w:ascii="宋体" w:hAnsi="宋体" w:eastAsia="宋体" w:cs="宋体"/>
                <w:color w:val="000000" w:themeColor="text1"/>
                <w:sz w:val="21"/>
                <w:szCs w:val="21"/>
                <w:highlight w:val="none"/>
                <w:lang w:eastAsia="zh-CN"/>
                <w14:textFill>
                  <w14:solidFill>
                    <w14:schemeClr w14:val="tx1"/>
                  </w14:solidFill>
                </w14:textFill>
              </w:rPr>
              <w:t>担任副召集人，成员单位包括县财政局、县金融服务中心、县住房和城乡建设局、县应急管理局、县卫生健康局、</w:t>
            </w:r>
            <w:r>
              <w:rPr>
                <w:rFonts w:hint="eastAsia" w:ascii="宋体" w:hAnsi="宋体" w:eastAsia="宋体" w:cs="宋体"/>
                <w:color w:val="000000" w:themeColor="text1"/>
                <w:sz w:val="21"/>
                <w:szCs w:val="21"/>
                <w:lang w:eastAsia="zh-CN"/>
                <w14:textFill>
                  <w14:solidFill>
                    <w14:schemeClr w14:val="tx1"/>
                  </w14:solidFill>
                </w14:textFill>
              </w:rPr>
              <w:t>县发展和改革局、</w:t>
            </w:r>
            <w:r>
              <w:rPr>
                <w:rFonts w:hint="eastAsia" w:ascii="宋体" w:hAnsi="宋体" w:eastAsia="宋体" w:cs="宋体"/>
                <w:color w:val="000000" w:themeColor="text1"/>
                <w:sz w:val="21"/>
                <w:szCs w:val="21"/>
                <w:highlight w:val="none"/>
                <w:lang w:eastAsia="zh-CN"/>
                <w14:textFill>
                  <w14:solidFill>
                    <w14:schemeClr w14:val="tx1"/>
                  </w14:solidFill>
                </w14:textFill>
              </w:rPr>
              <w:t>县农业农村水利局、县公安局、县民政局、县自然资源局、</w:t>
            </w:r>
            <w:r>
              <w:rPr>
                <w:rFonts w:hint="eastAsia" w:ascii="宋体" w:hAnsi="宋体" w:eastAsia="宋体" w:cs="宋体"/>
                <w:color w:val="000000" w:themeColor="text1"/>
                <w:sz w:val="21"/>
                <w:szCs w:val="21"/>
                <w:lang w:eastAsia="zh-CN"/>
                <w14:textFill>
                  <w14:solidFill>
                    <w14:schemeClr w14:val="tx1"/>
                  </w14:solidFill>
                </w14:textFill>
              </w:rPr>
              <w:t>县交通运输局、</w:t>
            </w:r>
            <w:r>
              <w:rPr>
                <w:rFonts w:hint="eastAsia" w:ascii="宋体" w:hAnsi="宋体" w:eastAsia="宋体" w:cs="宋体"/>
                <w:color w:val="000000" w:themeColor="text1"/>
                <w:sz w:val="21"/>
                <w:szCs w:val="21"/>
                <w:highlight w:val="none"/>
                <w:lang w:eastAsia="zh-CN"/>
                <w14:textFill>
                  <w14:solidFill>
                    <w14:schemeClr w14:val="tx1"/>
                  </w14:solidFill>
                </w14:textFill>
              </w:rPr>
              <w:t>县市场监督管理局、县城市管理和综合执法局、</w:t>
            </w:r>
            <w:r>
              <w:rPr>
                <w:rFonts w:hint="eastAsia" w:ascii="宋体" w:hAnsi="宋体" w:eastAsia="宋体" w:cs="宋体"/>
                <w:color w:val="000000" w:themeColor="text1"/>
                <w:sz w:val="21"/>
                <w:szCs w:val="21"/>
                <w:lang w:eastAsia="zh-CN"/>
                <w14:textFill>
                  <w14:solidFill>
                    <w14:schemeClr w14:val="tx1"/>
                  </w14:solidFill>
                </w14:textFill>
              </w:rPr>
              <w:t>县税务局、</w:t>
            </w:r>
            <w:r>
              <w:rPr>
                <w:rFonts w:hint="eastAsia" w:ascii="宋体" w:hAnsi="宋体" w:eastAsia="宋体" w:cs="宋体"/>
                <w:color w:val="000000" w:themeColor="text1"/>
                <w:sz w:val="21"/>
                <w:szCs w:val="21"/>
                <w:highlight w:val="none"/>
                <w:lang w:eastAsia="zh-CN"/>
                <w14:textFill>
                  <w14:solidFill>
                    <w14:schemeClr w14:val="tx1"/>
                  </w14:solidFill>
                </w14:textFill>
              </w:rPr>
              <w:t>人民银行绥宁支行、绥宁产业开发区管理委员会、县城投公司、县供电公司等。专班办公室设在县财政局，县财政局党委委员、副局长李连生任办公室主任，县财政局、县金融服务中心、县住房和城乡建设局、县卫生健康局、县应急管理局分别明确一名股长任联络员，负责日常协调和调度工作。</w:t>
            </w:r>
          </w:p>
        </w:tc>
      </w:tr>
    </w:tbl>
    <w:p w14:paraId="00BC4030">
      <w:pPr>
        <w:snapToGrid w:val="0"/>
        <w:spacing w:line="280" w:lineRule="exac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14:paraId="0B0D25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主要责任单位</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排第一的为牵头</w:t>
      </w:r>
      <w:r>
        <w:rPr>
          <w:rFonts w:hint="eastAsia" w:ascii="宋体" w:hAnsi="宋体" w:eastAsia="宋体" w:cs="宋体"/>
          <w:color w:val="000000" w:themeColor="text1"/>
          <w:sz w:val="24"/>
          <w:szCs w:val="24"/>
          <w:lang w:val="en-US" w:eastAsia="zh-CN"/>
          <w14:textFill>
            <w14:solidFill>
              <w14:schemeClr w14:val="tx1"/>
            </w14:solidFill>
          </w14:textFill>
        </w:rPr>
        <w:t>责任</w:t>
      </w:r>
      <w:r>
        <w:rPr>
          <w:rFonts w:hint="eastAsia" w:ascii="宋体" w:hAnsi="宋体" w:eastAsia="宋体" w:cs="宋体"/>
          <w:color w:val="000000" w:themeColor="text1"/>
          <w:sz w:val="24"/>
          <w:szCs w:val="24"/>
          <w14:textFill>
            <w14:solidFill>
              <w14:schemeClr w14:val="tx1"/>
            </w14:solidFill>
          </w14:textFill>
        </w:rPr>
        <w:t>单位</w:t>
      </w:r>
      <w:r>
        <w:rPr>
          <w:rFonts w:hint="eastAsia" w:ascii="宋体" w:hAnsi="宋体" w:eastAsia="宋体" w:cs="宋体"/>
          <w:color w:val="000000" w:themeColor="text1"/>
          <w:sz w:val="24"/>
          <w:szCs w:val="24"/>
          <w:lang w:eastAsia="zh-CN"/>
          <w14:textFill>
            <w14:solidFill>
              <w14:schemeClr w14:val="tx1"/>
            </w14:solidFill>
          </w14:textFill>
        </w:rPr>
        <w:t>；</w:t>
      </w:r>
    </w:p>
    <w:p w14:paraId="4D8B55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2.县直单位主要负责人设双线的，统一明确党组（党委）书记为主要责任人。</w:t>
      </w:r>
    </w:p>
    <w:p w14:paraId="6322D222">
      <w:pPr>
        <w:pStyle w:val="12"/>
        <w:rPr>
          <w:rFonts w:hint="eastAsia" w:ascii="宋体" w:hAnsi="宋体" w:eastAsia="宋体" w:cs="宋体"/>
          <w:color w:val="000000" w:themeColor="text1"/>
          <w:sz w:val="24"/>
          <w:szCs w:val="24"/>
          <w:lang w:val="en-US" w:eastAsia="zh-CN"/>
          <w14:textFill>
            <w14:solidFill>
              <w14:schemeClr w14:val="tx1"/>
            </w14:solidFill>
          </w14:textFill>
        </w:rPr>
        <w:sectPr>
          <w:pgSz w:w="16838" w:h="11906" w:orient="landscape"/>
          <w:pgMar w:top="1531" w:right="1440" w:bottom="1417" w:left="1440" w:header="851" w:footer="992" w:gutter="0"/>
          <w:cols w:space="425" w:num="1"/>
          <w:docGrid w:type="lines" w:linePitch="312" w:charSpace="0"/>
        </w:sectPr>
      </w:pPr>
    </w:p>
    <w:p w14:paraId="3FC55891">
      <w:pPr>
        <w:pStyle w:val="12"/>
        <w:rPr>
          <w:rFonts w:hint="default"/>
          <w:color w:val="000000" w:themeColor="text1"/>
          <w:lang w:val="en-US" w:eastAsia="zh-CN"/>
          <w14:textFill>
            <w14:solidFill>
              <w14:schemeClr w14:val="tx1"/>
            </w14:solidFill>
          </w14:textFill>
        </w:rPr>
      </w:pPr>
    </w:p>
    <w:p w14:paraId="3440CE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14:paraId="261029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绥宁县安全生产“翻身仗”工作实施方案</w:t>
      </w:r>
    </w:p>
    <w:p w14:paraId="0857E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3F70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习近平新时代中国特色社会主义思想为指导，深入学习贯彻党的二十大精神和习近平总书记关于安全生产重要论述、重要指示批示精神，为压实安全生产责任、强化安全防范措施、严格安全监管执法、提升本质安全水平，有效防范遏制各类生产安全事故，切实保障人民群众生命财产安全，特制定以下工作方案。</w:t>
      </w:r>
    </w:p>
    <w:p w14:paraId="08296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一、工作目标</w:t>
      </w:r>
    </w:p>
    <w:p w14:paraId="33E86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人民至上、生命至上、安全第一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，统筹发展和安全，坚持稳字当头、稳中求进，</w:t>
      </w:r>
      <w:r>
        <w:rPr>
          <w:rFonts w:hint="eastAsia" w:ascii="仿宋" w:hAnsi="仿宋" w:eastAsia="仿宋" w:cs="仿宋"/>
          <w:color w:val="000000" w:themeColor="text1"/>
          <w:sz w:val="32"/>
          <w:szCs w:val="32"/>
          <w:lang w:val="en-US" w:eastAsia="zh-CN"/>
          <w14:textFill>
            <w14:solidFill>
              <w14:schemeClr w14:val="tx1"/>
            </w14:solidFill>
          </w14:textFill>
        </w:rPr>
        <w:t>坚决打好打赢安全生产翻身仗。确保全县生产安全事故起数和死亡人数同比持续下降，下降幅度居全市前列。确保全县不发生较大及以上生产安全事故。不发生因自然灾害引发的人员伤亡。有效遏制一次死亡3人以上的非生产经营性安全事故。安全生产和消防工作进入全省、全市优秀行列。为邵阳市获得省人民政府真抓实干督查激励中防范遏制生产安全事故取得明显成效的地区项目奖励，完成我县安全生产各项任务。</w:t>
      </w:r>
    </w:p>
    <w:p w14:paraId="26FC3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二、工作任务</w:t>
      </w:r>
    </w:p>
    <w:p w14:paraId="09E3D1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（一）完善三项机制</w:t>
      </w:r>
    </w:p>
    <w:p w14:paraId="79D65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1.完善安全生产责任机制。</w:t>
      </w:r>
    </w:p>
    <w:p w14:paraId="35E4C3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eastAsia="zh-CN"/>
          <w14:textFill>
            <w14:solidFill>
              <w14:schemeClr w14:val="tx1"/>
            </w14:solidFill>
          </w14:textFill>
        </w:rPr>
        <w:t>）推动落实党委政府属地责任。</w:t>
      </w:r>
      <w:r>
        <w:rPr>
          <w:rFonts w:hint="eastAsia" w:ascii="仿宋" w:hAnsi="仿宋" w:eastAsia="仿宋" w:cs="仿宋"/>
          <w:color w:val="000000" w:themeColor="text1"/>
          <w:sz w:val="32"/>
          <w:szCs w:val="32"/>
          <w14:textFill>
            <w14:solidFill>
              <w14:schemeClr w14:val="tx1"/>
            </w14:solidFill>
          </w14:textFill>
        </w:rPr>
        <w:t>严格执行《地方党政领导干部安全生产责任制规定》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县乡由担任本级政府常务副职的领导干部分管安全生产工作，分管应急管理部门；制定并及时更新党政领导干部安全生产“职责清单”和年度“工作清单”，将履行安全生产工作职责情况作为考察地方党政领导干部拟任人选的重要依据；县乡党政领导定期研究部署、带队督查检查安全生产工作，强化“促一方发展、保一方平安”的政治责任。</w:t>
      </w:r>
    </w:p>
    <w:p w14:paraId="4453FF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eastAsia="zh-CN"/>
          <w14:textFill>
            <w14:solidFill>
              <w14:schemeClr w14:val="tx1"/>
            </w14:solidFill>
          </w14:textFill>
        </w:rPr>
        <w:t>）压紧压实主管部门监管责任。</w:t>
      </w:r>
      <w:r>
        <w:rPr>
          <w:rFonts w:hint="eastAsia" w:ascii="仿宋" w:hAnsi="仿宋" w:eastAsia="仿宋" w:cs="仿宋"/>
          <w:color w:val="000000" w:themeColor="text1"/>
          <w:kern w:val="0"/>
          <w:sz w:val="32"/>
          <w:szCs w:val="32"/>
          <w:lang w:val="en-US" w:eastAsia="zh-CN" w:bidi="ar"/>
          <w14:textFill>
            <w14:solidFill>
              <w14:schemeClr w14:val="tx1"/>
            </w14:solidFill>
          </w14:textFill>
        </w:rPr>
        <w:t>创新监管方式，强化执法检查，加快</w:t>
      </w:r>
      <w:r>
        <w:rPr>
          <w:rFonts w:hint="eastAsia" w:ascii="仿宋" w:hAnsi="仿宋" w:eastAsia="仿宋" w:cs="仿宋"/>
          <w:bCs/>
          <w:color w:val="000000" w:themeColor="text1"/>
          <w:kern w:val="0"/>
          <w:sz w:val="32"/>
          <w:szCs w:val="32"/>
          <w14:textFill>
            <w14:solidFill>
              <w14:schemeClr w14:val="tx1"/>
            </w14:solidFill>
          </w14:textFill>
        </w:rPr>
        <w:t>推进安全生产由企业被动接受监管向主动加强管理转变、安全风险管控由政府推动为主向企业自主开展转变、隐患排查治理由</w:t>
      </w:r>
      <w:r>
        <w:rPr>
          <w:rFonts w:hint="eastAsia" w:ascii="仿宋" w:hAnsi="仿宋" w:eastAsia="仿宋" w:cs="仿宋"/>
          <w:bCs/>
          <w:color w:val="000000" w:themeColor="text1"/>
          <w:kern w:val="0"/>
          <w:sz w:val="32"/>
          <w:szCs w:val="32"/>
          <w:lang w:eastAsia="zh-CN"/>
          <w14:textFill>
            <w14:solidFill>
              <w14:schemeClr w14:val="tx1"/>
            </w14:solidFill>
          </w14:textFill>
        </w:rPr>
        <w:t>监管</w:t>
      </w:r>
      <w:r>
        <w:rPr>
          <w:rFonts w:hint="eastAsia" w:ascii="仿宋" w:hAnsi="仿宋" w:eastAsia="仿宋" w:cs="仿宋"/>
          <w:bCs/>
          <w:color w:val="000000" w:themeColor="text1"/>
          <w:kern w:val="0"/>
          <w:sz w:val="32"/>
          <w:szCs w:val="32"/>
          <w14:textFill>
            <w14:solidFill>
              <w14:schemeClr w14:val="tx1"/>
            </w14:solidFill>
          </w14:textFill>
        </w:rPr>
        <w:t>行政执法为主向企业日常自查自纠转变</w:t>
      </w:r>
      <w:r>
        <w:rPr>
          <w:rFonts w:hint="eastAsia" w:ascii="仿宋" w:hAnsi="仿宋" w:eastAsia="仿宋" w:cs="仿宋"/>
          <w:bCs/>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加强新领域、新业态、新模式的安全风险研究、管控，按照业务相近原则明确并落实新行业、新业态的安全监管职责。</w:t>
      </w:r>
    </w:p>
    <w:p w14:paraId="2C4B15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lang w:eastAsia="zh-CN"/>
          <w14:textFill>
            <w14:solidFill>
              <w14:schemeClr w14:val="tx1"/>
            </w14:solidFill>
          </w14:textFill>
        </w:rPr>
        <w:t>）全面强化企业主体责任。</w:t>
      </w:r>
      <w:r>
        <w:rPr>
          <w:rFonts w:hint="eastAsia" w:ascii="仿宋" w:hAnsi="仿宋" w:eastAsia="仿宋" w:cs="仿宋"/>
          <w:color w:val="000000" w:themeColor="text1"/>
          <w:sz w:val="32"/>
          <w:szCs w:val="32"/>
          <w:lang w:val="en-US" w:eastAsia="zh-CN"/>
          <w14:textFill>
            <w14:solidFill>
              <w14:schemeClr w14:val="tx1"/>
            </w14:solidFill>
          </w14:textFill>
        </w:rPr>
        <w:t>全面强化企业主体责任。</w:t>
      </w:r>
      <w:r>
        <w:rPr>
          <w:rFonts w:hint="eastAsia" w:ascii="仿宋" w:hAnsi="仿宋" w:eastAsia="仿宋" w:cs="仿宋"/>
          <w:color w:val="000000" w:themeColor="text1"/>
          <w:sz w:val="32"/>
          <w:szCs w:val="32"/>
          <w14:textFill>
            <w14:solidFill>
              <w14:schemeClr w14:val="tx1"/>
            </w14:solidFill>
          </w14:textFill>
        </w:rPr>
        <w:t>推动企业法定代表人和实际控制人等企业主要负责人在岗在位履行第一责任人责任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建立生产经营单位的全员安全生产责任制。切实做好安全生产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十个一次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工作，全面推广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一会三卡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制度（班组安全会，动工卡、体检卡、应急卡），高危行业领域要做到全覆盖。</w:t>
      </w:r>
    </w:p>
    <w:p w14:paraId="2D239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仿宋" w:hAnsi="仿宋" w:eastAsia="仿宋" w:cs="仿宋"/>
          <w:b/>
          <w:bCs/>
          <w:color w:val="000000" w:themeColor="text1"/>
          <w:sz w:val="32"/>
          <w:szCs w:val="32"/>
          <w:lang w:eastAsia="zh-CN"/>
          <w14:textFill>
            <w14:solidFill>
              <w14:schemeClr w14:val="tx1"/>
            </w14:solidFill>
          </w14:textFill>
        </w:rPr>
        <w:t>）严格落实从业人员安全防护责任</w:t>
      </w:r>
      <w:r>
        <w:rPr>
          <w:rFonts w:hint="eastAsia" w:ascii="仿宋" w:hAnsi="仿宋" w:eastAsia="仿宋" w:cs="仿宋"/>
          <w:b w:val="0"/>
          <w:bCs w:val="0"/>
          <w:color w:val="000000" w:themeColor="text1"/>
          <w:sz w:val="32"/>
          <w:szCs w:val="32"/>
          <w:lang w:eastAsia="zh-CN"/>
          <w14:textFill>
            <w14:solidFill>
              <w14:schemeClr w14:val="tx1"/>
            </w14:solidFill>
          </w14:textFill>
        </w:rPr>
        <w:t>。从业人员(含劳务派遣灵活用工人员)教育培训率达100%，使其掌握必要的安全生</w:t>
      </w:r>
      <w:r>
        <w:rPr>
          <w:rFonts w:hint="eastAsia" w:ascii="仿宋" w:hAnsi="仿宋" w:eastAsia="仿宋" w:cs="仿宋"/>
          <w:color w:val="000000" w:themeColor="text1"/>
          <w:sz w:val="32"/>
          <w:szCs w:val="32"/>
          <w:lang w:eastAsia="zh-CN"/>
          <w14:textFill>
            <w14:solidFill>
              <w14:schemeClr w14:val="tx1"/>
            </w14:solidFill>
          </w14:textFill>
        </w:rPr>
        <w:t>产知识，掌握本岗位的安全操作技能，了解事故应急处理措施，知悉自身在安全生产方面的权利和义务，知晓各种安全生产举报方式和途径。</w:t>
      </w:r>
    </w:p>
    <w:p w14:paraId="542A5E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lang w:eastAsia="zh-CN"/>
          <w14:textFill>
            <w14:solidFill>
              <w14:schemeClr w14:val="tx1"/>
            </w14:solidFill>
          </w14:textFill>
        </w:rPr>
        <w:t>）切实强化源头管控。</w:t>
      </w:r>
      <w:r>
        <w:rPr>
          <w:rFonts w:hint="eastAsia" w:ascii="仿宋" w:hAnsi="仿宋" w:eastAsia="仿宋" w:cs="仿宋"/>
          <w:color w:val="000000" w:themeColor="text1"/>
          <w:sz w:val="32"/>
          <w:szCs w:val="32"/>
          <w:lang w:val="en-US" w:eastAsia="zh-CN"/>
          <w14:textFill>
            <w14:solidFill>
              <w14:schemeClr w14:val="tx1"/>
            </w14:solidFill>
          </w14:textFill>
        </w:rPr>
        <w:t>从源头上严把项目审批安全关，建立完善安全风险评估与论证机制，不得“边审批、边设计、边施工”，对危化品、非煤矿山、烟花爆竹、建筑施工等行业领域高危项目和人员密集场所，不达安全标准的不能许可和开工。承接区域产业转移要根据规划严格执行规范标准，严格安全监管，严禁淘汰落后产能落户和进产业开发区，对违规审批、强行上马造成事故的，实行终身追责。对直接关系安全的取消下放事项，实事求是组织评估，不得把责任层层推卸给不具备专业能力的乡镇和社区。强化外包队伍管理，坚持“谁的资质谁负责、挂谁的牌子谁负责”，对发生安全事故的严格追究资质方责任。</w:t>
      </w:r>
    </w:p>
    <w:p w14:paraId="3DEA50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（6）严肃追责问责。</w:t>
      </w:r>
      <w:r>
        <w:rPr>
          <w:rFonts w:hint="eastAsia" w:ascii="仿宋" w:hAnsi="仿宋" w:eastAsia="仿宋" w:cs="仿宋"/>
          <w:color w:val="000000" w:themeColor="text1"/>
          <w:sz w:val="32"/>
          <w:szCs w:val="32"/>
          <w:lang w:val="en-US" w:eastAsia="zh-CN"/>
          <w14:textFill>
            <w14:solidFill>
              <w14:schemeClr w14:val="tx1"/>
            </w14:solidFill>
          </w14:textFill>
        </w:rPr>
        <w:t>综合运用政治巡察和安全生产巡查等举措，对整治工作不负责、不作为、慢作为，逾期没有完成目标任务甚至发生事故的，依法严肃问责。</w:t>
      </w:r>
    </w:p>
    <w:p w14:paraId="4964C4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2.完善安委会（专委会）工作机制。</w:t>
      </w:r>
    </w:p>
    <w:p w14:paraId="5F183A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（7）</w:t>
      </w:r>
      <w:r>
        <w:rPr>
          <w:rFonts w:hint="eastAsia" w:ascii="仿宋" w:hAnsi="仿宋" w:eastAsia="仿宋" w:cs="仿宋"/>
          <w:b/>
          <w:bCs/>
          <w:color w:val="000000" w:themeColor="text1"/>
          <w:sz w:val="32"/>
          <w:szCs w:val="32"/>
          <w:lang w:val="en-US" w:eastAsia="zh-CN"/>
          <w14:textFill>
            <w14:solidFill>
              <w14:schemeClr w14:val="tx1"/>
            </w14:solidFill>
          </w14:textFill>
        </w:rPr>
        <w:t>充分发挥安委会（办）作用。</w:t>
      </w:r>
      <w:r>
        <w:rPr>
          <w:rFonts w:hint="eastAsia" w:ascii="仿宋" w:hAnsi="仿宋" w:eastAsia="仿宋" w:cs="仿宋"/>
          <w:color w:val="000000" w:themeColor="text1"/>
          <w:sz w:val="32"/>
          <w:szCs w:val="32"/>
          <w:lang w:val="en-US" w:eastAsia="zh-CN"/>
          <w14:textFill>
            <w14:solidFill>
              <w14:schemeClr w14:val="tx1"/>
            </w14:solidFill>
          </w14:textFill>
        </w:rPr>
        <w:t>建立健全安委会（办）工作例会、形势分析、风险提示、事故预警、重大事故隐患挂牌督办、转办督办、督查、约谈等工作制度，强化落实安委会（办）综合协调安全生产、协调督促行业领域安全监管、组织推动全县性安全生产行动、统筹推进提升本质安全水平等工作职能。</w:t>
      </w:r>
    </w:p>
    <w:p w14:paraId="15D8E8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（8）强化专委会工作职能。</w:t>
      </w:r>
      <w:r>
        <w:rPr>
          <w:rFonts w:hint="eastAsia" w:ascii="仿宋" w:hAnsi="仿宋" w:eastAsia="仿宋" w:cs="仿宋"/>
          <w:color w:val="000000" w:themeColor="text1"/>
          <w:kern w:val="0"/>
          <w:sz w:val="32"/>
          <w:szCs w:val="32"/>
          <w:lang w:val="en-US" w:eastAsia="zh-CN" w:bidi="ar"/>
          <w14:textFill>
            <w14:solidFill>
              <w14:schemeClr w14:val="tx1"/>
            </w14:solidFill>
          </w14:textFill>
        </w:rPr>
        <w:t>安全生产各专业委员会严格落实《安全生产专业委员会工作规则》，</w:t>
      </w:r>
      <w:r>
        <w:rPr>
          <w:rFonts w:hint="eastAsia" w:ascii="仿宋" w:hAnsi="仿宋" w:eastAsia="仿宋" w:cs="仿宋"/>
          <w:color w:val="000000" w:themeColor="text1"/>
          <w:sz w:val="32"/>
          <w:szCs w:val="32"/>
          <w14:textFill>
            <w14:solidFill>
              <w14:schemeClr w14:val="tx1"/>
            </w14:solidFill>
          </w14:textFill>
        </w:rPr>
        <w:t>每年召开全体成员会议不少于4次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组织全</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性的安全生产督查督导不少于4次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每季度最后一个工作日向</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安委会报告本行业（领域）安全生产工作情况</w:t>
      </w:r>
      <w:r>
        <w:rPr>
          <w:rFonts w:hint="eastAsia" w:ascii="仿宋" w:hAnsi="仿宋" w:eastAsia="仿宋" w:cs="仿宋"/>
          <w:color w:val="000000" w:themeColor="text1"/>
          <w:sz w:val="32"/>
          <w:szCs w:val="32"/>
          <w:lang w:eastAsia="zh-CN"/>
          <w14:textFill>
            <w14:solidFill>
              <w14:schemeClr w14:val="tx1"/>
            </w14:solidFill>
          </w14:textFill>
        </w:rPr>
        <w:t>，定期组织安全生产约谈和联合执法，按要求对重大隐患进行挂牌督办，</w:t>
      </w:r>
      <w:r>
        <w:rPr>
          <w:rFonts w:hint="eastAsia" w:ascii="仿宋" w:hAnsi="仿宋" w:eastAsia="仿宋" w:cs="仿宋"/>
          <w:color w:val="000000" w:themeColor="text1"/>
          <w:sz w:val="32"/>
          <w:szCs w:val="32"/>
          <w14:textFill>
            <w14:solidFill>
              <w14:schemeClr w14:val="tx1"/>
            </w14:solidFill>
          </w14:textFill>
        </w:rPr>
        <w:t>加强本行业（领域）安全生产工作的组织领导</w:t>
      </w:r>
      <w:r>
        <w:rPr>
          <w:rFonts w:hint="eastAsia" w:ascii="仿宋" w:hAnsi="仿宋" w:eastAsia="仿宋" w:cs="仿宋"/>
          <w:color w:val="000000" w:themeColor="text1"/>
          <w:sz w:val="32"/>
          <w:szCs w:val="32"/>
          <w:lang w:eastAsia="zh-CN"/>
          <w14:textFill>
            <w14:solidFill>
              <w14:schemeClr w14:val="tx1"/>
            </w14:solidFill>
          </w14:textFill>
        </w:rPr>
        <w:t>。</w:t>
      </w:r>
    </w:p>
    <w:p w14:paraId="4B0FEA29">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 w:hAnsi="仿宋" w:eastAsia="仿宋" w:cs="仿宋"/>
          <w:b/>
          <w:bCs/>
          <w:color w:val="000000" w:themeColor="text1"/>
          <w:spacing w:val="-6"/>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6"/>
          <w:kern w:val="2"/>
          <w:sz w:val="32"/>
          <w:szCs w:val="32"/>
          <w:lang w:val="en-US" w:eastAsia="zh-CN" w:bidi="ar-SA"/>
          <w14:textFill>
            <w14:solidFill>
              <w14:schemeClr w14:val="tx1"/>
            </w14:solidFill>
          </w14:textFill>
        </w:rPr>
        <w:t>3.完善安全风险分级管控和隐患排查治理双重预防工作机制。</w:t>
      </w:r>
    </w:p>
    <w:p w14:paraId="35E65A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（9）强化风险识别分级。</w:t>
      </w:r>
      <w:r>
        <w:rPr>
          <w:rFonts w:hint="eastAsia" w:ascii="仿宋" w:hAnsi="仿宋" w:eastAsia="仿宋" w:cs="仿宋"/>
          <w:b w:val="0"/>
          <w:bCs w:val="0"/>
          <w:color w:val="000000" w:themeColor="text1"/>
          <w:sz w:val="32"/>
          <w:szCs w:val="32"/>
          <w:lang w:val="en-US" w:eastAsia="zh-CN"/>
          <w14:textFill>
            <w14:solidFill>
              <w14:schemeClr w14:val="tx1"/>
            </w14:solidFill>
          </w14:textFill>
        </w:rPr>
        <w:t>督促企业依法建立以主要负责人牵头负责的双重预防体系建设领导机制，按照“客观存在、相对独立、环节清晰、易于管控”的原则，发动全体员工参与，全方位、全过程辨识生产工艺、设备设施、作业环境、作业场所、人员行为和管理体系等方面存在的安全风险。按照可能造</w:t>
      </w:r>
      <w:r>
        <w:rPr>
          <w:rFonts w:hint="eastAsia" w:ascii="仿宋" w:hAnsi="仿宋" w:eastAsia="仿宋" w:cs="仿宋"/>
          <w:b w:val="0"/>
          <w:bCs w:val="0"/>
          <w:color w:val="000000" w:themeColor="text1"/>
          <w:spacing w:val="-6"/>
          <w:sz w:val="32"/>
          <w:szCs w:val="32"/>
          <w:lang w:val="en-US" w:eastAsia="zh-CN"/>
          <w14:textFill>
            <w14:solidFill>
              <w14:schemeClr w14:val="tx1"/>
            </w14:solidFill>
          </w14:textFill>
        </w:rPr>
        <w:t>成的事故等级后果及社会影响大小，将辨识出的风险点进行分级。</w:t>
      </w:r>
    </w:p>
    <w:p w14:paraId="32D987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（10）科学精准风险管控。</w:t>
      </w:r>
      <w:r>
        <w:rPr>
          <w:rFonts w:hint="eastAsia" w:ascii="仿宋" w:hAnsi="仿宋" w:eastAsia="仿宋" w:cs="仿宋"/>
          <w:b w:val="0"/>
          <w:bCs w:val="0"/>
          <w:color w:val="000000" w:themeColor="text1"/>
          <w:sz w:val="32"/>
          <w:szCs w:val="32"/>
          <w:lang w:val="en-US" w:eastAsia="zh-CN"/>
          <w14:textFill>
            <w14:solidFill>
              <w14:schemeClr w14:val="tx1"/>
            </w14:solidFill>
          </w14:textFill>
        </w:rPr>
        <w:t>督促企业以风险等级越高管控层级越高为原则，建立企业风险分级管控清单，内容包括风险点名称、类别、等级、管控措施、管控层级、责任单位、责任人等，作为企业风险管控台账进行动态管理；企业、车间、岗位分层级对风险进行告知，并设置明显警示标志；对风险较大的岗位制作岗位安全检查卡、安全作业卡、应急处置卡，简明扼要表述岗位安全检查要点、安全作业流程、应急处置方法等。</w:t>
      </w:r>
    </w:p>
    <w:p w14:paraId="0DFEF1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（11）重大风险动态管理。</w:t>
      </w:r>
      <w:r>
        <w:rPr>
          <w:rFonts w:hint="eastAsia" w:ascii="仿宋" w:hAnsi="仿宋" w:eastAsia="仿宋" w:cs="仿宋"/>
          <w:color w:val="000000" w:themeColor="text1"/>
          <w:sz w:val="32"/>
          <w:szCs w:val="32"/>
          <w:lang w:val="en-US" w:eastAsia="zh-CN"/>
          <w14:textFill>
            <w14:solidFill>
              <w14:schemeClr w14:val="tx1"/>
            </w14:solidFill>
          </w14:textFill>
        </w:rPr>
        <w:t>督促、指导企业对有限空间作业、检维修作业、动火作业、临时用电作业、爆破吊装作业、危险物品装卸作业等动态作业、临时性作业以及国家规定的其他危险作业，严格按照国家和省有关规定，加强临时性作业审批、动火作业审批和现场管理，制定专项作业方案和专项应急处置预案。在重点作业环节和作业岗位，推行“双人作业、旁站指导、书面确认、专人确认”等多种安全确认、动态监管方式，有效管控各类风险。</w:t>
      </w:r>
    </w:p>
    <w:p w14:paraId="14CD02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（12）开展隐患清零行动。</w:t>
      </w:r>
      <w:r>
        <w:rPr>
          <w:rFonts w:hint="eastAsia" w:ascii="仿宋" w:hAnsi="仿宋" w:eastAsia="仿宋" w:cs="仿宋"/>
          <w:b w:val="0"/>
          <w:bCs w:val="0"/>
          <w:color w:val="000000" w:themeColor="text1"/>
          <w:sz w:val="32"/>
          <w:szCs w:val="32"/>
          <w:lang w:val="en-US" w:eastAsia="zh-CN"/>
          <w14:textFill>
            <w14:solidFill>
              <w14:schemeClr w14:val="tx1"/>
            </w14:solidFill>
          </w14:textFill>
        </w:rPr>
        <w:t>继续实行“一季度一行动”工作模式，不间断地开展安全生产隐患排查整治，实行企业自查、乡镇全覆盖排查、监管部门执法检查、县乡安委办暗访暗查和领导带队督查五查并重好模式，对全县所有辖区、所有行业领域、所有生产经营企事业单位和人员密集场所开展分层级、全覆盖的安全隐患排查。排查出的事故隐患能立即整改的，应立即整改；不能立即整改的，制定隐患整改方案，按时限要求认真整改；隐患整改完成后，组织相关专业人员进行验收，实现闭环管理。</w:t>
      </w:r>
    </w:p>
    <w:p w14:paraId="6AA097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（二）开展三大攻坚</w:t>
      </w:r>
    </w:p>
    <w:p w14:paraId="5B1652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深入开展社会治理重点工作专项攻坚。</w:t>
      </w:r>
    </w:p>
    <w:p w14:paraId="1A8D58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（13）继续开展社会治理重点工作专项攻坚。</w:t>
      </w:r>
      <w:r>
        <w:rPr>
          <w:rFonts w:hint="eastAsia" w:ascii="仿宋" w:hAnsi="仿宋" w:eastAsia="仿宋" w:cs="仿宋"/>
          <w:color w:val="000000" w:themeColor="text1"/>
          <w:sz w:val="32"/>
          <w:szCs w:val="32"/>
          <w:lang w:val="en-US" w:eastAsia="zh-CN"/>
          <w14:textFill>
            <w14:solidFill>
              <w14:schemeClr w14:val="tx1"/>
            </w14:solidFill>
          </w14:textFill>
        </w:rPr>
        <w:t>继续按照“一月一通报、一月一调度、两月一督查、两月一约谈”方式，县安委办牵头开展社会治理重点工作中的安全生产、道路交通安全和学生防溺水专项攻坚，有效防范遏制各类生产安全事故和非生产经营性安全事件。</w:t>
      </w:r>
    </w:p>
    <w:p w14:paraId="5E2FFF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持续开展重点行业领域潜在安全风险隐患排查整治攻坚。</w:t>
      </w:r>
    </w:p>
    <w:p w14:paraId="0FC777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14</w:t>
      </w:r>
      <w:r>
        <w:rPr>
          <w:rFonts w:hint="eastAsia" w:ascii="仿宋" w:hAnsi="仿宋" w:eastAsia="仿宋" w:cs="仿宋"/>
          <w:b/>
          <w:bCs/>
          <w:color w:val="000000" w:themeColor="text1"/>
          <w:sz w:val="32"/>
          <w:szCs w:val="32"/>
          <w:lang w:eastAsia="zh-CN"/>
          <w14:textFill>
            <w14:solidFill>
              <w14:schemeClr w14:val="tx1"/>
            </w14:solidFill>
          </w14:textFill>
        </w:rPr>
        <w:t>）建筑领域专项整治(含自建房)。</w:t>
      </w:r>
      <w:r>
        <w:rPr>
          <w:rFonts w:hint="eastAsia" w:ascii="仿宋" w:hAnsi="仿宋" w:eastAsia="仿宋" w:cs="仿宋"/>
          <w:color w:val="000000" w:themeColor="text1"/>
          <w:sz w:val="32"/>
          <w:szCs w:val="32"/>
          <w:lang w:val="en-US" w:eastAsia="zh-CN"/>
          <w14:textFill>
            <w14:solidFill>
              <w14:schemeClr w14:val="tx1"/>
            </w14:solidFill>
          </w14:textFill>
        </w:rPr>
        <w:t>深入推进建筑施工安全生产专项整治，突出深基坑、高支模、高边坡、起重机械等，房屋市政工程事故起数和死亡人数不超过省住建厅制定的事故控制指标；持续推进居民自建房专项整治，对已排查出来的问题隐患整改率100%。(县住房和城乡建设局牵头，县城市管理和综合执法局、县交通运输局、县农业农村水利局、县自然资源局、县市场监督管理局、县消防救援大队等配合)</w:t>
      </w:r>
    </w:p>
    <w:p w14:paraId="07268F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15</w:t>
      </w:r>
      <w:r>
        <w:rPr>
          <w:rFonts w:hint="eastAsia" w:ascii="仿宋" w:hAnsi="仿宋" w:eastAsia="仿宋" w:cs="仿宋"/>
          <w:b/>
          <w:bCs/>
          <w:color w:val="000000" w:themeColor="text1"/>
          <w:sz w:val="32"/>
          <w:szCs w:val="32"/>
          <w:lang w:eastAsia="zh-CN"/>
          <w14:textFill>
            <w14:solidFill>
              <w14:schemeClr w14:val="tx1"/>
            </w14:solidFill>
          </w14:textFill>
        </w:rPr>
        <w:t>）消防和人员密集场所专项整治。</w:t>
      </w:r>
      <w:r>
        <w:rPr>
          <w:rFonts w:hint="eastAsia" w:ascii="仿宋" w:hAnsi="仿宋" w:eastAsia="仿宋" w:cs="仿宋"/>
          <w:color w:val="000000" w:themeColor="text1"/>
          <w:sz w:val="32"/>
          <w:szCs w:val="32"/>
          <w:lang w:val="en-US" w:eastAsia="zh-CN"/>
          <w14:textFill>
            <w14:solidFill>
              <w14:schemeClr w14:val="tx1"/>
            </w14:solidFill>
          </w14:textFill>
        </w:rPr>
        <w:t>深入推进、持续巩固冬春消防安全专项整治，高层建筑、大型商业综合体、厂房仓储、劳动密集型企业等高风险场所专项整治，持续开展经营性自建房、群租房“多合一”、连片民宿客栈等低设防区域专项排查，违规使用醇基燃料、电动自行车进楼入户、堵塞消防车通道等问题隐患专项治理。对商场、医院、养老院、学校、幼儿园等人员密集场所和高层建筑封堵安全出口、疏散通道的，确保100％限期整改到位。（县消防救援大队牵头，县应急管理局、县发展和改革局、县卫生健康局、县城市管理和综合执法局、县交通运输局、县住房和城乡建设局、县教育局、县商务局、县民政局、县文化旅游广电体育局、县市场监督管理局、县公安局相关成员单位配合）</w:t>
      </w:r>
    </w:p>
    <w:p w14:paraId="34F85A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16</w:t>
      </w:r>
      <w:r>
        <w:rPr>
          <w:rFonts w:hint="eastAsia" w:ascii="仿宋" w:hAnsi="仿宋" w:eastAsia="仿宋" w:cs="仿宋"/>
          <w:b/>
          <w:bCs/>
          <w:color w:val="000000" w:themeColor="text1"/>
          <w:sz w:val="32"/>
          <w:szCs w:val="32"/>
          <w:lang w:eastAsia="zh-CN"/>
          <w14:textFill>
            <w14:solidFill>
              <w14:schemeClr w14:val="tx1"/>
            </w14:solidFill>
          </w14:textFill>
        </w:rPr>
        <w:t>）燃气安全专项整治。</w:t>
      </w:r>
      <w:r>
        <w:rPr>
          <w:rFonts w:hint="eastAsia" w:ascii="仿宋" w:hAnsi="仿宋" w:eastAsia="仿宋" w:cs="仿宋"/>
          <w:color w:val="000000" w:themeColor="text1"/>
          <w:sz w:val="32"/>
          <w:szCs w:val="32"/>
          <w:lang w:val="en-US" w:eastAsia="zh-CN"/>
          <w14:textFill>
            <w14:solidFill>
              <w14:schemeClr w14:val="tx1"/>
            </w14:solidFill>
          </w14:textFill>
        </w:rPr>
        <w:t>推进城市燃气管道老化更新改造，积极争取中央预算内资金，2023年年底前县城区结合老旧小区改造燃气管道2.28公里，盘管1.67公里，立管9.66公里。</w:t>
      </w:r>
      <w:r>
        <w:rPr>
          <w:rFonts w:hint="eastAsia" w:ascii="仿宋" w:hAnsi="仿宋" w:eastAsia="仿宋" w:cs="仿宋"/>
          <w:b w:val="0"/>
          <w:bCs w:val="0"/>
          <w:color w:val="000000" w:themeColor="text1"/>
          <w:sz w:val="32"/>
          <w:szCs w:val="32"/>
          <w:lang w:val="en-US" w:eastAsia="zh-CN"/>
          <w14:textFill>
            <w14:solidFill>
              <w14:schemeClr w14:val="tx1"/>
            </w14:solidFill>
          </w14:textFill>
        </w:rPr>
        <w:t>（县城市管理和综合执法局牵头，县发展和改革局、县住房和城乡建设局等配合）</w:t>
      </w:r>
    </w:p>
    <w:p w14:paraId="249167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17</w:t>
      </w:r>
      <w:r>
        <w:rPr>
          <w:rFonts w:hint="eastAsia" w:ascii="仿宋" w:hAnsi="仿宋" w:eastAsia="仿宋" w:cs="仿宋"/>
          <w:b/>
          <w:bCs/>
          <w:color w:val="000000" w:themeColor="text1"/>
          <w:sz w:val="32"/>
          <w:szCs w:val="32"/>
          <w:lang w:eastAsia="zh-CN"/>
          <w14:textFill>
            <w14:solidFill>
              <w14:schemeClr w14:val="tx1"/>
            </w14:solidFill>
          </w14:textFill>
        </w:rPr>
        <w:t>）危险化学品专项整治。</w:t>
      </w:r>
      <w:r>
        <w:rPr>
          <w:rFonts w:hint="eastAsia" w:ascii="仿宋" w:hAnsi="仿宋" w:eastAsia="仿宋" w:cs="仿宋"/>
          <w:color w:val="000000" w:themeColor="text1"/>
          <w:sz w:val="32"/>
          <w:szCs w:val="32"/>
          <w14:textFill>
            <w14:solidFill>
              <w14:schemeClr w14:val="tx1"/>
            </w14:solidFill>
          </w14:textFill>
        </w:rPr>
        <w:t>强化监管执法，严厉打击非法违法生产。组织开展两轮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消地协作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重大危险源联合督导检查，企业对标自查率100%、</w:t>
      </w:r>
      <w:r>
        <w:rPr>
          <w:rFonts w:hint="eastAsia" w:ascii="仿宋" w:hAnsi="仿宋" w:eastAsia="仿宋" w:cs="仿宋"/>
          <w:color w:val="000000" w:themeColor="text1"/>
          <w:sz w:val="32"/>
          <w:szCs w:val="32"/>
          <w:lang w:val="en-US" w:eastAsia="zh-CN"/>
          <w14:textFill>
            <w14:solidFill>
              <w14:schemeClr w14:val="tx1"/>
            </w14:solidFill>
          </w14:textFill>
        </w:rPr>
        <w:t>积极配合参加</w:t>
      </w:r>
      <w:r>
        <w:rPr>
          <w:rFonts w:hint="eastAsia" w:ascii="仿宋" w:hAnsi="仿宋" w:eastAsia="仿宋" w:cs="仿宋"/>
          <w:color w:val="000000" w:themeColor="text1"/>
          <w:sz w:val="32"/>
          <w:szCs w:val="32"/>
          <w14:textFill>
            <w14:solidFill>
              <w14:schemeClr w14:val="tx1"/>
            </w14:solidFill>
          </w14:textFill>
        </w:rPr>
        <w:t>市交叉执法检查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厦盖率100%。组织对涉及氯化、重氮化、氟化、过氧化等危险化工工艺企业开展专家指导服务及“回头看”，“一企一策"问题整改率100%。推进大型油气储存基地气体检测、紧急切断、视频监控、雷电预警“四个系统”建设达标率100%。 推动精细化工企业反应安全风险评估、自动化控制装备改造、从业人员学历资质达标、人员密集场所搬迁改造“四项清零”100%达标。</w:t>
      </w:r>
      <w:r>
        <w:rPr>
          <w:rFonts w:hint="eastAsia" w:ascii="仿宋" w:hAnsi="仿宋" w:eastAsia="仿宋" w:cs="仿宋"/>
          <w:color w:val="000000" w:themeColor="text1"/>
          <w:sz w:val="32"/>
          <w:szCs w:val="32"/>
          <w:lang w:val="en-US" w:eastAsia="zh-CN"/>
          <w14:textFill>
            <w14:solidFill>
              <w14:schemeClr w14:val="tx1"/>
            </w14:solidFill>
          </w14:textFill>
        </w:rPr>
        <w:t>(县应急管理局牵头，县消防救援大队、县人力资源和社会保障局等配合</w:t>
      </w:r>
      <w:r>
        <w:rPr>
          <w:rFonts w:hint="eastAsia" w:ascii="仿宋" w:hAnsi="仿宋" w:eastAsia="仿宋" w:cs="仿宋"/>
          <w:color w:val="000000" w:themeColor="text1"/>
          <w:sz w:val="32"/>
          <w:szCs w:val="32"/>
          <w:lang w:eastAsia="zh-CN"/>
          <w14:textFill>
            <w14:solidFill>
              <w14:schemeClr w14:val="tx1"/>
            </w14:solidFill>
          </w14:textFill>
        </w:rPr>
        <w:t>)</w:t>
      </w:r>
    </w:p>
    <w:p w14:paraId="7A5221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18</w:t>
      </w:r>
      <w:r>
        <w:rPr>
          <w:rFonts w:hint="eastAsia" w:ascii="仿宋" w:hAnsi="仿宋" w:eastAsia="仿宋" w:cs="仿宋"/>
          <w:b/>
          <w:bCs/>
          <w:color w:val="000000" w:themeColor="text1"/>
          <w:sz w:val="32"/>
          <w:szCs w:val="32"/>
          <w:lang w:eastAsia="zh-CN"/>
          <w14:textFill>
            <w14:solidFill>
              <w14:schemeClr w14:val="tx1"/>
            </w14:solidFill>
          </w14:textFill>
        </w:rPr>
        <w:t>）烟花爆竹安全专项整治。</w:t>
      </w:r>
      <w:r>
        <w:rPr>
          <w:rFonts w:hint="eastAsia" w:ascii="仿宋" w:hAnsi="仿宋" w:eastAsia="仿宋" w:cs="仿宋"/>
          <w:color w:val="000000" w:themeColor="text1"/>
          <w:sz w:val="32"/>
          <w:szCs w:val="32"/>
          <w14:textFill>
            <w14:solidFill>
              <w14:schemeClr w14:val="tx1"/>
            </w14:solidFill>
          </w14:textFill>
        </w:rPr>
        <w:t>坚决整治批发企业“</w:t>
      </w:r>
      <w:r>
        <w:rPr>
          <w:rFonts w:hint="eastAsia" w:ascii="仿宋" w:hAnsi="仿宋" w:eastAsia="仿宋" w:cs="仿宋"/>
          <w:color w:val="000000" w:themeColor="text1"/>
          <w:sz w:val="32"/>
          <w:szCs w:val="32"/>
          <w:lang w:eastAsia="zh-CN"/>
          <w14:textFill>
            <w14:solidFill>
              <w14:schemeClr w14:val="tx1"/>
            </w14:solidFill>
          </w14:textFill>
        </w:rPr>
        <w:t>六严禁”</w:t>
      </w:r>
      <w:r>
        <w:rPr>
          <w:rFonts w:hint="eastAsia" w:ascii="仿宋" w:hAnsi="仿宋" w:eastAsia="仿宋" w:cs="仿宋"/>
          <w:color w:val="000000" w:themeColor="text1"/>
          <w:sz w:val="32"/>
          <w:szCs w:val="32"/>
          <w14:textFill>
            <w14:solidFill>
              <w14:schemeClr w14:val="tx1"/>
            </w14:solidFill>
          </w14:textFill>
        </w:rPr>
        <w:t>落实率100%，零售店“下店上宅、前店后宅”关闭取缔率100%。批发企业100%建立双重预防机制。对非法生产、经营、储存、运输、燃放烟花爆竹行为，坚持露头就打。</w:t>
      </w:r>
      <w:r>
        <w:rPr>
          <w:rFonts w:hint="eastAsia" w:ascii="仿宋" w:hAnsi="仿宋" w:eastAsia="仿宋" w:cs="仿宋"/>
          <w:color w:val="000000" w:themeColor="text1"/>
          <w:sz w:val="32"/>
          <w:szCs w:val="32"/>
          <w:lang w:eastAsia="zh-CN"/>
          <w14:textFill>
            <w14:solidFill>
              <w14:schemeClr w14:val="tx1"/>
            </w14:solidFill>
          </w14:textFill>
        </w:rPr>
        <w:t>(县应急管理局牵头，县公安局、县交通运输局、县市场监督管理局、县邮政公司等配合)</w:t>
      </w:r>
    </w:p>
    <w:p w14:paraId="1F852F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19</w:t>
      </w:r>
      <w:r>
        <w:rPr>
          <w:rFonts w:hint="eastAsia" w:ascii="仿宋" w:hAnsi="仿宋" w:eastAsia="仿宋" w:cs="仿宋"/>
          <w:b/>
          <w:bCs/>
          <w:color w:val="000000" w:themeColor="text1"/>
          <w:sz w:val="32"/>
          <w:szCs w:val="32"/>
          <w:lang w:eastAsia="zh-CN"/>
          <w14:textFill>
            <w14:solidFill>
              <w14:schemeClr w14:val="tx1"/>
            </w14:solidFill>
          </w14:textFill>
        </w:rPr>
        <w:t>）非煤矿山安全专项整治。</w:t>
      </w:r>
      <w:r>
        <w:rPr>
          <w:rFonts w:hint="eastAsia" w:ascii="仿宋" w:hAnsi="仿宋" w:eastAsia="仿宋" w:cs="仿宋"/>
          <w:color w:val="000000" w:themeColor="text1"/>
          <w:sz w:val="32"/>
          <w:szCs w:val="32"/>
          <w14:textFill>
            <w14:solidFill>
              <w14:schemeClr w14:val="tx1"/>
            </w14:solidFill>
          </w14:textFill>
        </w:rPr>
        <w:t>紧盯水害等重大风险，落实瓦斯水害“双三十条”:盯紧看牢尾矿库特别是头顶库，加强监测和巡查，及时排查管控风险隐患。严格监管执法，推动矿山企业全面建立并严格落实双重预防机制。正常生产的非煤地下矿山100%配备五职矿长，没有条件配备的必须委托科研技术机构提供技术服务。建立矿山重大风险与重大隐患清单，坚持一单四制推动重大隐患清零。</w:t>
      </w:r>
      <w:r>
        <w:rPr>
          <w:rFonts w:hint="eastAsia" w:ascii="仿宋" w:hAnsi="仿宋" w:eastAsia="仿宋" w:cs="仿宋"/>
          <w:color w:val="000000" w:themeColor="text1"/>
          <w:sz w:val="32"/>
          <w:szCs w:val="32"/>
          <w:lang w:val="en-US" w:eastAsia="zh-CN"/>
          <w14:textFill>
            <w14:solidFill>
              <w14:schemeClr w14:val="tx1"/>
            </w14:solidFill>
          </w14:textFill>
        </w:rPr>
        <w:t>（县应急管理局牵头，县自然资源局、县财政局、县公安局、县发展和改革局、长铺子乡人民政府、金屋塘镇人民政府等配合）</w:t>
      </w:r>
    </w:p>
    <w:p w14:paraId="7C0287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20</w:t>
      </w:r>
      <w:r>
        <w:rPr>
          <w:rFonts w:hint="eastAsia" w:ascii="仿宋" w:hAnsi="仿宋" w:eastAsia="仿宋" w:cs="仿宋"/>
          <w:b/>
          <w:bCs/>
          <w:color w:val="000000" w:themeColor="text1"/>
          <w:sz w:val="32"/>
          <w:szCs w:val="32"/>
          <w:lang w:eastAsia="zh-CN"/>
          <w14:textFill>
            <w14:solidFill>
              <w14:schemeClr w14:val="tx1"/>
            </w14:solidFill>
          </w14:textFill>
        </w:rPr>
        <w:t>）道路交通安全专项整治。</w:t>
      </w:r>
      <w:r>
        <w:rPr>
          <w:rFonts w:hint="eastAsia" w:ascii="仿宋" w:hAnsi="仿宋" w:eastAsia="仿宋" w:cs="仿宋"/>
          <w:color w:val="000000" w:themeColor="text1"/>
          <w:sz w:val="32"/>
          <w:szCs w:val="32"/>
          <w:lang w:val="en-US" w:eastAsia="zh-CN"/>
          <w14:textFill>
            <w14:solidFill>
              <w14:schemeClr w14:val="tx1"/>
            </w14:solidFill>
          </w14:textFill>
        </w:rPr>
        <w:t>持续推进交通问题顽瘴痼疾整治。深入推进公路安全</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生命防护工程</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和农村公路平交路口</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千灯万带</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示范工程，集中治理事故多发、长下坡、急弯陡坡、穿村过镇等风险点段，全面落实临水临崖、急弯陡坡等险要路段</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三必上</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和平交路口</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五必上</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；加强</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两客一危</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车辆智能监控，不停车治超以及水上视频监控；凡新建、改建、扩建、大修、水运工程，必须落实安保工程</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三同时</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制度；加强路政巡查和路产巡查力度，坚决清理公路和公路用地范围内堆放物、非法非公路标志；加快推进城乡客运一体化创建和农村客货邮融合发展；加强道路风险隐患治理，加强低速电动车、变型拖拉机、</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大吨小标</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等非法非标车辆源头治理，加强落实道路运输车辆及校车动态监督管理；依法查处超速、超员、疲劳驾驶、非法营运、非法载人和货车超限超载非法改装、拖拉机逾期未检验未报废等违法违规行为</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全面推进</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路长制</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责任落实，加强</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两站两员</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队伍建设，深入推进农村道路</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一灯一带</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建设和交通科技应用。（县交通运输局、县交警大队牵头，县交安委、县道安委各相关成员单位配合）</w:t>
      </w:r>
    </w:p>
    <w:p w14:paraId="11339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21</w:t>
      </w:r>
      <w:r>
        <w:rPr>
          <w:rFonts w:hint="eastAsia" w:ascii="仿宋" w:hAnsi="仿宋" w:eastAsia="仿宋" w:cs="仿宋"/>
          <w:b/>
          <w:bCs/>
          <w:color w:val="000000" w:themeColor="text1"/>
          <w:sz w:val="32"/>
          <w:szCs w:val="32"/>
          <w:lang w:eastAsia="zh-CN"/>
          <w14:textFill>
            <w14:solidFill>
              <w14:schemeClr w14:val="tx1"/>
            </w14:solidFill>
          </w14:textFill>
        </w:rPr>
        <w:t>）工贸企业安全专项整治。</w:t>
      </w:r>
      <w:r>
        <w:rPr>
          <w:rFonts w:hint="eastAsia" w:ascii="仿宋" w:hAnsi="仿宋" w:eastAsia="仿宋" w:cs="仿宋"/>
          <w:color w:val="000000" w:themeColor="text1"/>
          <w:sz w:val="32"/>
          <w:szCs w:val="32"/>
          <w14:textFill>
            <w14:solidFill>
              <w14:schemeClr w14:val="tx1"/>
            </w14:solidFill>
          </w14:textFill>
        </w:rPr>
        <w:t>全面启动涉爆粉尘企业重大事故隐患“清零”回头看行动，确保重大事故隐患100%“清零”。推进工贸行业双重预防机制建设，年底前规模以上工贸企业100%完成建设。全面启动工贸监管信息化应用，四季度前100%规模以上工贸企业使用系统。严格安全设施“三同时”手续，所有入园新建企业100%做到安全设施“三同时”要求。加强工贸安全监管人员能力培训，新调整人员培训率100%。严格监管执法，推动工贸系统全面完成执法计划。</w:t>
      </w:r>
      <w:r>
        <w:rPr>
          <w:rFonts w:hint="eastAsia" w:ascii="仿宋" w:hAnsi="仿宋" w:eastAsia="仿宋" w:cs="仿宋"/>
          <w:color w:val="000000" w:themeColor="text1"/>
          <w:sz w:val="32"/>
          <w:szCs w:val="32"/>
          <w:lang w:val="en-US" w:eastAsia="zh-CN"/>
          <w14:textFill>
            <w14:solidFill>
              <w14:schemeClr w14:val="tx1"/>
            </w14:solidFill>
          </w14:textFill>
        </w:rPr>
        <w:t>(县应急管理局牵头、绥宁产业开发区管理委员会、县发展和改革局、县商务局、县消防救援大队和各乡镇人民政府等配合)</w:t>
      </w:r>
    </w:p>
    <w:p w14:paraId="2F87C4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22</w:t>
      </w:r>
      <w:r>
        <w:rPr>
          <w:rFonts w:hint="eastAsia" w:ascii="仿宋" w:hAnsi="仿宋" w:eastAsia="仿宋" w:cs="仿宋"/>
          <w:b/>
          <w:bCs/>
          <w:color w:val="000000" w:themeColor="text1"/>
          <w:sz w:val="32"/>
          <w:szCs w:val="32"/>
          <w:lang w:eastAsia="zh-CN"/>
          <w14:textFill>
            <w14:solidFill>
              <w14:schemeClr w14:val="tx1"/>
            </w14:solidFill>
          </w14:textFill>
        </w:rPr>
        <w:t>）危险废物及辐射安全专项整治。</w:t>
      </w:r>
      <w:r>
        <w:rPr>
          <w:rFonts w:hint="eastAsia" w:ascii="仿宋" w:hAnsi="仿宋" w:eastAsia="仿宋" w:cs="仿宋"/>
          <w:color w:val="000000" w:themeColor="text1"/>
          <w:sz w:val="32"/>
          <w:szCs w:val="32"/>
          <w:lang w:val="en-US" w:eastAsia="zh-CN"/>
          <w14:textFill>
            <w14:solidFill>
              <w14:schemeClr w14:val="tx1"/>
            </w14:solidFill>
          </w14:textFill>
        </w:rPr>
        <w:t>联合县人民检察院、县公安局开展严厉打击危险废物环境违法犯罪和重点排污单位自动检测数据弄虚作假违法犯罪的专项行动，依法严厉打击非法排放、倾倒、收集、贮存、转移、利用、处置危险废物和重点排污单位污染物排放自动检测数据弄虚作假等环境违法犯罪行为。(市生态环境局绥宁分局牵头，县应急管理局、县公安局等配合)</w:t>
      </w:r>
    </w:p>
    <w:p w14:paraId="51435C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23</w:t>
      </w:r>
      <w:r>
        <w:rPr>
          <w:rFonts w:hint="eastAsia" w:ascii="仿宋" w:hAnsi="仿宋" w:eastAsia="仿宋" w:cs="仿宋"/>
          <w:b/>
          <w:bCs/>
          <w:color w:val="000000" w:themeColor="text1"/>
          <w:sz w:val="32"/>
          <w:szCs w:val="32"/>
          <w:lang w:eastAsia="zh-CN"/>
          <w14:textFill>
            <w14:solidFill>
              <w14:schemeClr w14:val="tx1"/>
            </w14:solidFill>
          </w14:textFill>
        </w:rPr>
        <w:t>）特种设备安全专项整治。</w:t>
      </w:r>
      <w:r>
        <w:rPr>
          <w:rFonts w:hint="eastAsia" w:ascii="仿宋" w:hAnsi="仿宋" w:eastAsia="仿宋" w:cs="仿宋"/>
          <w:color w:val="000000" w:themeColor="text1"/>
          <w:sz w:val="32"/>
          <w:szCs w:val="32"/>
          <w:lang w:val="en-US" w:eastAsia="zh-CN"/>
          <w14:textFill>
            <w14:solidFill>
              <w14:schemeClr w14:val="tx1"/>
            </w14:solidFill>
          </w14:textFill>
        </w:rPr>
        <w:t>突出气瓶、客运索道、大型游乐设施、电站锅炉、压力容器、压力管道、观光电梯等重点设备，强化检测检验和执法检查，严厉打击非法生产、经营、充装行为。</w:t>
      </w:r>
      <w:r>
        <w:rPr>
          <w:rFonts w:hint="eastAsia" w:ascii="仿宋" w:hAnsi="仿宋" w:eastAsia="仿宋" w:cs="仿宋"/>
          <w:color w:val="000000" w:themeColor="text1"/>
          <w:sz w:val="32"/>
          <w:szCs w:val="32"/>
          <w:lang w:eastAsia="zh-CN"/>
          <w14:textFill>
            <w14:solidFill>
              <w14:schemeClr w14:val="tx1"/>
            </w14:solidFill>
          </w14:textFill>
        </w:rPr>
        <w:t>(县市场监督管理局牵头，县发展和改革局、县城市管理和综合执法局、</w:t>
      </w:r>
      <w:r>
        <w:rPr>
          <w:rFonts w:hint="eastAsia" w:ascii="仿宋" w:hAnsi="仿宋" w:eastAsia="仿宋" w:cs="仿宋"/>
          <w:color w:val="000000" w:themeColor="text1"/>
          <w:sz w:val="32"/>
          <w:szCs w:val="32"/>
          <w:lang w:val="en-US" w:eastAsia="zh-CN"/>
          <w14:textFill>
            <w14:solidFill>
              <w14:schemeClr w14:val="tx1"/>
            </w14:solidFill>
          </w14:textFill>
        </w:rPr>
        <w:t>县文化旅游广电体育局</w:t>
      </w:r>
      <w:r>
        <w:rPr>
          <w:rFonts w:hint="eastAsia" w:ascii="仿宋" w:hAnsi="仿宋" w:eastAsia="仿宋" w:cs="仿宋"/>
          <w:color w:val="000000" w:themeColor="text1"/>
          <w:sz w:val="32"/>
          <w:szCs w:val="32"/>
          <w:lang w:eastAsia="zh-CN"/>
          <w14:textFill>
            <w14:solidFill>
              <w14:schemeClr w14:val="tx1"/>
            </w14:solidFill>
          </w14:textFill>
        </w:rPr>
        <w:t>、县应急管理局等配合)</w:t>
      </w:r>
    </w:p>
    <w:p w14:paraId="46AF8D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24</w:t>
      </w:r>
      <w:r>
        <w:rPr>
          <w:rFonts w:hint="eastAsia" w:ascii="仿宋" w:hAnsi="仿宋" w:eastAsia="仿宋" w:cs="仿宋"/>
          <w:b/>
          <w:bCs/>
          <w:color w:val="000000" w:themeColor="text1"/>
          <w:sz w:val="32"/>
          <w:szCs w:val="32"/>
          <w:lang w:eastAsia="zh-CN"/>
          <w14:textFill>
            <w14:solidFill>
              <w14:schemeClr w14:val="tx1"/>
            </w14:solidFill>
          </w14:textFill>
        </w:rPr>
        <w:t>）能源安全专项整治。</w:t>
      </w:r>
      <w:r>
        <w:rPr>
          <w:rFonts w:hint="eastAsia" w:ascii="仿宋" w:hAnsi="仿宋" w:eastAsia="仿宋" w:cs="仿宋"/>
          <w:color w:val="000000" w:themeColor="text1"/>
          <w:sz w:val="32"/>
          <w:szCs w:val="32"/>
          <w:lang w:val="en-US" w:eastAsia="zh-CN"/>
          <w14:textFill>
            <w14:solidFill>
              <w14:schemeClr w14:val="tx1"/>
            </w14:solidFill>
          </w14:textFill>
        </w:rPr>
        <w:t>加强电力、新能源、天然气长输管道安全监管，杜绝较大以上电力人身伤亡责任事故，不发生因监管不力造成的油气管道损坏事故。(县发展和改革局牵头，县应急管理局、县城市管理和综合执法局、县住房和城乡建设局等配合)</w:t>
      </w:r>
    </w:p>
    <w:p w14:paraId="2B4034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25</w:t>
      </w:r>
      <w:r>
        <w:rPr>
          <w:rFonts w:hint="eastAsia" w:ascii="仿宋" w:hAnsi="仿宋" w:eastAsia="仿宋" w:cs="仿宋"/>
          <w:b/>
          <w:bCs/>
          <w:color w:val="000000" w:themeColor="text1"/>
          <w:sz w:val="32"/>
          <w:szCs w:val="32"/>
          <w:lang w:eastAsia="zh-CN"/>
          <w14:textFill>
            <w14:solidFill>
              <w14:schemeClr w14:val="tx1"/>
            </w14:solidFill>
          </w14:textFill>
        </w:rPr>
        <w:t>）文化体育旅游安全专项整治。</w:t>
      </w:r>
      <w:r>
        <w:rPr>
          <w:rFonts w:hint="eastAsia" w:ascii="仿宋" w:hAnsi="仿宋" w:eastAsia="仿宋" w:cs="仿宋"/>
          <w:color w:val="000000" w:themeColor="text1"/>
          <w:sz w:val="32"/>
          <w:szCs w:val="32"/>
          <w:lang w:val="en-US" w:eastAsia="zh-CN"/>
          <w14:textFill>
            <w14:solidFill>
              <w14:schemeClr w14:val="tx1"/>
            </w14:solidFill>
          </w14:textFill>
        </w:rPr>
        <w:t>严查无照经营、无证上岗、未经许可经营文化娱乐、旅行社业务、高危险性体育项目等非法经营活动；加强旅行社旅游租车管理，对旅行社旅游包车合同开展专项清查达到100%。加强对高风险旅游体育项目的安全监管，严防踩踏、高坠、翻车等事故发生。加强公共文化体育场馆的安全监督管理，严防消防安全等事故发生。(县文化旅游广电体育局牵头，县交通运输局、县交警大队、县市场监督管理局等配合)</w:t>
      </w:r>
    </w:p>
    <w:p w14:paraId="149ACFCE">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（26）学生安全专项整治。</w:t>
      </w:r>
      <w:r>
        <w:rPr>
          <w:rFonts w:hint="eastAsia" w:ascii="仿宋" w:hAnsi="仿宋" w:eastAsia="仿宋" w:cs="仿宋"/>
          <w:color w:val="000000" w:themeColor="text1"/>
          <w:sz w:val="32"/>
          <w:szCs w:val="32"/>
          <w:lang w:val="en-US" w:eastAsia="zh-CN"/>
          <w14:textFill>
            <w14:solidFill>
              <w14:schemeClr w14:val="tx1"/>
            </w14:solidFill>
          </w14:textFill>
        </w:rPr>
        <w:t>加强中小学生安全教育，开展防溺水、校车安全、学校建筑安全专项整治。继续实现学生安全工作“零伤亡、零事故”目标，继续实现防溺水工作连续三年“双零”目标，坚决杜绝涉学涉生群死群伤责任事故发生，确保全县教育系统安全稳定。</w:t>
      </w:r>
      <w:r>
        <w:rPr>
          <w:rFonts w:hint="eastAsia" w:ascii="仿宋" w:hAnsi="仿宋" w:eastAsia="仿宋" w:cs="仿宋"/>
          <w:color w:val="000000" w:themeColor="text1"/>
          <w:kern w:val="0"/>
          <w:sz w:val="31"/>
          <w:szCs w:val="31"/>
          <w:lang w:val="en-US" w:eastAsia="zh-CN" w:bidi="ar"/>
          <w14:textFill>
            <w14:solidFill>
              <w14:schemeClr w14:val="tx1"/>
            </w14:solidFill>
          </w14:textFill>
        </w:rPr>
        <w:t>（县教育局牵头，县交通运输局、县住房和城乡建设局等配合）</w:t>
      </w:r>
    </w:p>
    <w:p w14:paraId="7BC4469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27</w:t>
      </w:r>
      <w:r>
        <w:rPr>
          <w:rFonts w:hint="eastAsia" w:ascii="仿宋" w:hAnsi="仿宋" w:eastAsia="仿宋" w:cs="仿宋"/>
          <w:b/>
          <w:bCs/>
          <w:color w:val="000000" w:themeColor="text1"/>
          <w:sz w:val="32"/>
          <w:szCs w:val="32"/>
          <w:lang w:eastAsia="zh-CN"/>
          <w14:textFill>
            <w14:solidFill>
              <w14:schemeClr w14:val="tx1"/>
            </w14:solidFill>
          </w14:textFill>
        </w:rPr>
        <w:t>）自然灾害防治。防汛抗旱及地灾方面:</w:t>
      </w:r>
      <w:r>
        <w:rPr>
          <w:rFonts w:hint="eastAsia" w:ascii="仿宋" w:hAnsi="仿宋" w:eastAsia="仿宋" w:cs="仿宋"/>
          <w:b w:val="0"/>
          <w:bCs w:val="0"/>
          <w:color w:val="000000" w:themeColor="text1"/>
          <w:sz w:val="32"/>
          <w:szCs w:val="32"/>
          <w14:textFill>
            <w14:solidFill>
              <w14:schemeClr w14:val="tx1"/>
            </w14:solidFill>
          </w14:textFill>
        </w:rPr>
        <w:t>加强防汛抗旱与地灾防治:确保遇设计标准内洪水时，不溃一堤一垸、不垮一库一坝，保证重要城镇和交通干线安全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确保遇超标准洪水时，保证大中型水库、重点堤垸和重要交通干线安全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确保暴雨山洪和次生灾害发生时，避免群死群伤</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确保遇中等程度干旱时，生活、生产和生态用水安全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确保遇严重干旱时，生活用水基本有保障。(</w:t>
      </w:r>
      <w:r>
        <w:rPr>
          <w:rFonts w:hint="eastAsia" w:ascii="仿宋" w:hAnsi="仿宋" w:eastAsia="仿宋" w:cs="仿宋"/>
          <w:b w:val="0"/>
          <w:bCs w:val="0"/>
          <w:color w:val="000000" w:themeColor="text1"/>
          <w:sz w:val="32"/>
          <w:szCs w:val="32"/>
          <w:lang w:eastAsia="zh-CN"/>
          <w14:textFill>
            <w14:solidFill>
              <w14:schemeClr w14:val="tx1"/>
            </w14:solidFill>
          </w14:textFill>
        </w:rPr>
        <w:t>县</w:t>
      </w:r>
      <w:r>
        <w:rPr>
          <w:rFonts w:hint="eastAsia" w:ascii="仿宋" w:hAnsi="仿宋" w:eastAsia="仿宋" w:cs="仿宋"/>
          <w:b w:val="0"/>
          <w:bCs w:val="0"/>
          <w:color w:val="000000" w:themeColor="text1"/>
          <w:sz w:val="32"/>
          <w:szCs w:val="32"/>
          <w14:textFill>
            <w14:solidFill>
              <w14:schemeClr w14:val="tx1"/>
            </w14:solidFill>
          </w14:textFill>
        </w:rPr>
        <w:t>防汛抗旱指挥部办公室牵头，督促协调</w:t>
      </w:r>
      <w:r>
        <w:rPr>
          <w:rFonts w:hint="eastAsia" w:ascii="仿宋" w:hAnsi="仿宋" w:eastAsia="仿宋" w:cs="仿宋"/>
          <w:b w:val="0"/>
          <w:bCs w:val="0"/>
          <w:color w:val="000000" w:themeColor="text1"/>
          <w:sz w:val="32"/>
          <w:szCs w:val="32"/>
          <w:lang w:eastAsia="zh-CN"/>
          <w14:textFill>
            <w14:solidFill>
              <w14:schemeClr w14:val="tx1"/>
            </w14:solidFill>
          </w14:textFill>
        </w:rPr>
        <w:t>县农业农村水利局、县消防救援大队、县气象局、县</w:t>
      </w:r>
      <w:r>
        <w:rPr>
          <w:rFonts w:hint="eastAsia" w:ascii="仿宋" w:hAnsi="仿宋" w:eastAsia="仿宋" w:cs="仿宋"/>
          <w:b w:val="0"/>
          <w:bCs w:val="0"/>
          <w:color w:val="000000" w:themeColor="text1"/>
          <w:sz w:val="32"/>
          <w:szCs w:val="32"/>
          <w14:textFill>
            <w14:solidFill>
              <w14:schemeClr w14:val="tx1"/>
            </w14:solidFill>
          </w14:textFill>
        </w:rPr>
        <w:t>自然资源</w:t>
      </w:r>
      <w:r>
        <w:rPr>
          <w:rFonts w:hint="eastAsia" w:ascii="仿宋" w:hAnsi="仿宋" w:eastAsia="仿宋" w:cs="仿宋"/>
          <w:b w:val="0"/>
          <w:bCs w:val="0"/>
          <w:color w:val="000000" w:themeColor="text1"/>
          <w:sz w:val="32"/>
          <w:szCs w:val="32"/>
          <w:lang w:eastAsia="zh-CN"/>
          <w14:textFill>
            <w14:solidFill>
              <w14:schemeClr w14:val="tx1"/>
            </w14:solidFill>
          </w14:textFill>
        </w:rPr>
        <w:t>局</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县</w:t>
      </w:r>
      <w:r>
        <w:rPr>
          <w:rFonts w:hint="eastAsia" w:ascii="仿宋" w:hAnsi="仿宋" w:eastAsia="仿宋" w:cs="仿宋"/>
          <w:b w:val="0"/>
          <w:bCs w:val="0"/>
          <w:color w:val="000000" w:themeColor="text1"/>
          <w:sz w:val="32"/>
          <w:szCs w:val="32"/>
          <w14:textFill>
            <w14:solidFill>
              <w14:schemeClr w14:val="tx1"/>
            </w14:solidFill>
          </w14:textFill>
        </w:rPr>
        <w:t>气象</w:t>
      </w:r>
      <w:r>
        <w:rPr>
          <w:rFonts w:hint="eastAsia" w:ascii="仿宋" w:hAnsi="仿宋" w:eastAsia="仿宋" w:cs="仿宋"/>
          <w:b w:val="0"/>
          <w:bCs w:val="0"/>
          <w:color w:val="000000" w:themeColor="text1"/>
          <w:sz w:val="32"/>
          <w:szCs w:val="32"/>
          <w:lang w:eastAsia="zh-CN"/>
          <w14:textFill>
            <w14:solidFill>
              <w14:schemeClr w14:val="tx1"/>
            </w14:solidFill>
          </w14:textFill>
        </w:rPr>
        <w:t>局、县供电公司</w:t>
      </w:r>
      <w:r>
        <w:rPr>
          <w:rFonts w:hint="eastAsia" w:ascii="仿宋" w:hAnsi="仿宋" w:eastAsia="仿宋" w:cs="仿宋"/>
          <w:b w:val="0"/>
          <w:bCs w:val="0"/>
          <w:color w:val="000000" w:themeColor="text1"/>
          <w:sz w:val="32"/>
          <w:szCs w:val="32"/>
          <w14:textFill>
            <w14:solidFill>
              <w14:schemeClr w14:val="tx1"/>
            </w14:solidFill>
          </w14:textFill>
        </w:rPr>
        <w:t>等</w:t>
      </w:r>
      <w:r>
        <w:rPr>
          <w:rFonts w:hint="eastAsia" w:ascii="仿宋" w:hAnsi="仿宋" w:eastAsia="仿宋" w:cs="仿宋"/>
          <w:b w:val="0"/>
          <w:bCs w:val="0"/>
          <w:color w:val="000000" w:themeColor="text1"/>
          <w:sz w:val="32"/>
          <w:szCs w:val="32"/>
          <w:lang w:eastAsia="zh-CN"/>
          <w14:textFill>
            <w14:solidFill>
              <w14:schemeClr w14:val="tx1"/>
            </w14:solidFill>
          </w14:textFill>
        </w:rPr>
        <w:t>单位</w:t>
      </w:r>
      <w:r>
        <w:rPr>
          <w:rFonts w:hint="eastAsia" w:ascii="仿宋" w:hAnsi="仿宋" w:eastAsia="仿宋" w:cs="仿宋"/>
          <w:b w:val="0"/>
          <w:bCs w:val="0"/>
          <w:color w:val="000000" w:themeColor="text1"/>
          <w:sz w:val="32"/>
          <w:szCs w:val="32"/>
          <w14:textFill>
            <w14:solidFill>
              <w14:schemeClr w14:val="tx1"/>
            </w14:solidFill>
          </w14:textFill>
        </w:rPr>
        <w:t>配合)</w:t>
      </w:r>
    </w:p>
    <w:p w14:paraId="0B25C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28</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加强森林火灾防治:</w:t>
      </w:r>
      <w:r>
        <w:rPr>
          <w:rFonts w:hint="eastAsia" w:ascii="仿宋" w:hAnsi="仿宋" w:eastAsia="仿宋" w:cs="仿宋"/>
          <w:b w:val="0"/>
          <w:bCs w:val="0"/>
          <w:color w:val="000000" w:themeColor="text1"/>
          <w:sz w:val="32"/>
          <w:szCs w:val="32"/>
          <w14:textFill>
            <w14:solidFill>
              <w14:schemeClr w14:val="tx1"/>
            </w14:solidFill>
          </w14:textFill>
        </w:rPr>
        <w:t>实现森林防灭火本质安全能力提升，全县自然保护区、国有林场等重点区域新建林火阻隔系统100公里以上；新增森林消防蓄水池50个、新增储水量3000立方米；县森林消防专业队伍建队率达到60％以上；森林火灾受害率控制在0.9‰以内；森林火灾数量同比去年减少30％以上。(</w:t>
      </w:r>
      <w:r>
        <w:rPr>
          <w:rFonts w:hint="eastAsia" w:ascii="仿宋" w:hAnsi="仿宋" w:eastAsia="仿宋" w:cs="仿宋"/>
          <w:b w:val="0"/>
          <w:bCs w:val="0"/>
          <w:color w:val="000000" w:themeColor="text1"/>
          <w:sz w:val="32"/>
          <w:szCs w:val="32"/>
          <w:lang w:eastAsia="zh-CN"/>
          <w14:textFill>
            <w14:solidFill>
              <w14:schemeClr w14:val="tx1"/>
            </w14:solidFill>
          </w14:textFill>
        </w:rPr>
        <w:t>县</w:t>
      </w:r>
      <w:r>
        <w:rPr>
          <w:rFonts w:hint="eastAsia" w:ascii="仿宋" w:hAnsi="仿宋" w:eastAsia="仿宋" w:cs="仿宋"/>
          <w:b w:val="0"/>
          <w:bCs w:val="0"/>
          <w:color w:val="000000" w:themeColor="text1"/>
          <w:sz w:val="32"/>
          <w:szCs w:val="32"/>
          <w14:textFill>
            <w14:solidFill>
              <w14:schemeClr w14:val="tx1"/>
            </w14:solidFill>
          </w14:textFill>
        </w:rPr>
        <w:t>森林防灭火指挥部办公室牵头，督促协调</w:t>
      </w:r>
      <w:r>
        <w:rPr>
          <w:rFonts w:hint="eastAsia" w:ascii="仿宋" w:hAnsi="仿宋" w:eastAsia="仿宋" w:cs="仿宋"/>
          <w:b w:val="0"/>
          <w:bCs w:val="0"/>
          <w:color w:val="000000" w:themeColor="text1"/>
          <w:sz w:val="32"/>
          <w:szCs w:val="32"/>
          <w:lang w:eastAsia="zh-CN"/>
          <w14:textFill>
            <w14:solidFill>
              <w14:schemeClr w14:val="tx1"/>
            </w14:solidFill>
          </w14:textFill>
        </w:rPr>
        <w:t>县</w:t>
      </w:r>
      <w:r>
        <w:rPr>
          <w:rFonts w:hint="eastAsia" w:ascii="仿宋" w:hAnsi="仿宋" w:eastAsia="仿宋" w:cs="仿宋"/>
          <w:b w:val="0"/>
          <w:bCs w:val="0"/>
          <w:color w:val="000000" w:themeColor="text1"/>
          <w:sz w:val="32"/>
          <w:szCs w:val="32"/>
          <w14:textFill>
            <w14:solidFill>
              <w14:schemeClr w14:val="tx1"/>
            </w14:solidFill>
          </w14:textFill>
        </w:rPr>
        <w:t>林业</w:t>
      </w:r>
      <w:r>
        <w:rPr>
          <w:rFonts w:hint="eastAsia" w:ascii="仿宋" w:hAnsi="仿宋" w:eastAsia="仿宋" w:cs="仿宋"/>
          <w:b w:val="0"/>
          <w:bCs w:val="0"/>
          <w:color w:val="000000" w:themeColor="text1"/>
          <w:sz w:val="32"/>
          <w:szCs w:val="32"/>
          <w:lang w:eastAsia="zh-CN"/>
          <w14:textFill>
            <w14:solidFill>
              <w14:schemeClr w14:val="tx1"/>
            </w14:solidFill>
          </w14:textFill>
        </w:rPr>
        <w:t>局</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县发展和改革局、县财政局、县</w:t>
      </w:r>
      <w:r>
        <w:rPr>
          <w:rFonts w:hint="eastAsia" w:ascii="仿宋" w:hAnsi="仿宋" w:eastAsia="仿宋" w:cs="仿宋"/>
          <w:b w:val="0"/>
          <w:bCs w:val="0"/>
          <w:color w:val="000000" w:themeColor="text1"/>
          <w:sz w:val="32"/>
          <w:szCs w:val="32"/>
          <w14:textFill>
            <w14:solidFill>
              <w14:schemeClr w14:val="tx1"/>
            </w14:solidFill>
          </w14:textFill>
        </w:rPr>
        <w:t>气象</w:t>
      </w:r>
      <w:r>
        <w:rPr>
          <w:rFonts w:hint="eastAsia" w:ascii="仿宋" w:hAnsi="仿宋" w:eastAsia="仿宋" w:cs="仿宋"/>
          <w:b w:val="0"/>
          <w:bCs w:val="0"/>
          <w:color w:val="000000" w:themeColor="text1"/>
          <w:sz w:val="32"/>
          <w:szCs w:val="32"/>
          <w:lang w:eastAsia="zh-CN"/>
          <w14:textFill>
            <w14:solidFill>
              <w14:schemeClr w14:val="tx1"/>
            </w14:solidFill>
          </w14:textFill>
        </w:rPr>
        <w:t>局、县机关事务服务中心</w:t>
      </w:r>
      <w:r>
        <w:rPr>
          <w:rFonts w:hint="eastAsia" w:ascii="仿宋" w:hAnsi="仿宋" w:eastAsia="仿宋" w:cs="仿宋"/>
          <w:b w:val="0"/>
          <w:bCs w:val="0"/>
          <w:color w:val="000000" w:themeColor="text1"/>
          <w:sz w:val="32"/>
          <w:szCs w:val="32"/>
          <w14:textFill>
            <w14:solidFill>
              <w14:schemeClr w14:val="tx1"/>
            </w14:solidFill>
          </w14:textFill>
        </w:rPr>
        <w:t>等</w:t>
      </w:r>
      <w:r>
        <w:rPr>
          <w:rFonts w:hint="eastAsia" w:ascii="仿宋" w:hAnsi="仿宋" w:eastAsia="仿宋" w:cs="仿宋"/>
          <w:b w:val="0"/>
          <w:bCs w:val="0"/>
          <w:color w:val="000000" w:themeColor="text1"/>
          <w:sz w:val="32"/>
          <w:szCs w:val="32"/>
          <w:lang w:eastAsia="zh-CN"/>
          <w14:textFill>
            <w14:solidFill>
              <w14:schemeClr w14:val="tx1"/>
            </w14:solidFill>
          </w14:textFill>
        </w:rPr>
        <w:t>单位</w:t>
      </w:r>
      <w:r>
        <w:rPr>
          <w:rFonts w:hint="eastAsia" w:ascii="仿宋" w:hAnsi="仿宋" w:eastAsia="仿宋" w:cs="仿宋"/>
          <w:b w:val="0"/>
          <w:bCs w:val="0"/>
          <w:color w:val="000000" w:themeColor="text1"/>
          <w:sz w:val="32"/>
          <w:szCs w:val="32"/>
          <w14:textFill>
            <w14:solidFill>
              <w14:schemeClr w14:val="tx1"/>
            </w14:solidFill>
          </w14:textFill>
        </w:rPr>
        <w:t>配合)</w:t>
      </w:r>
    </w:p>
    <w:p w14:paraId="2122EA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（29）防范一氧化碳中毒专项整治。</w:t>
      </w:r>
      <w:r>
        <w:rPr>
          <w:rFonts w:hint="eastAsia" w:ascii="仿宋" w:hAnsi="仿宋" w:eastAsia="仿宋" w:cs="仿宋"/>
          <w:color w:val="000000" w:themeColor="text1"/>
          <w:sz w:val="32"/>
          <w:szCs w:val="32"/>
          <w:lang w:val="en-US" w:eastAsia="zh-CN"/>
          <w14:textFill>
            <w14:solidFill>
              <w14:schemeClr w14:val="tx1"/>
            </w14:solidFill>
          </w14:textFill>
        </w:rPr>
        <w:t>组织全覆盖、滚动式上门入户，集中开展安全用火、用电、用气和平安取暖“敲门行动”，逐户做好风险隐患排查和安全劝导；广泛宣传安全知识，开展违规用火用电取暖等安全隐患排查整治，发动居民安装设置逃生窗口，引导督促群众开窗烧炭、烧煤取暖，严防发生一氧化碳中毒窒息伤亡事故。</w:t>
      </w:r>
    </w:p>
    <w:p w14:paraId="414E49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30</w:t>
      </w:r>
      <w:r>
        <w:rPr>
          <w:rFonts w:hint="eastAsia" w:ascii="仿宋" w:hAnsi="仿宋" w:eastAsia="仿宋" w:cs="仿宋"/>
          <w:b/>
          <w:bCs/>
          <w:color w:val="000000" w:themeColor="text1"/>
          <w:sz w:val="32"/>
          <w:szCs w:val="32"/>
          <w:lang w:eastAsia="zh-CN"/>
          <w14:textFill>
            <w14:solidFill>
              <w14:schemeClr w14:val="tx1"/>
            </w14:solidFill>
          </w14:textFill>
        </w:rPr>
        <w:t>）其他行业领域。</w:t>
      </w:r>
      <w:r>
        <w:rPr>
          <w:rFonts w:hint="eastAsia" w:ascii="仿宋" w:hAnsi="仿宋" w:eastAsia="仿宋" w:cs="仿宋"/>
          <w:color w:val="000000" w:themeColor="text1"/>
          <w:sz w:val="32"/>
          <w:szCs w:val="32"/>
          <w:lang w:val="en-US" w:eastAsia="zh-CN"/>
          <w14:textFill>
            <w14:solidFill>
              <w14:schemeClr w14:val="tx1"/>
            </w14:solidFill>
          </w14:textFill>
        </w:rPr>
        <w:t>农业农村水利、商务、电力、仓储物流等行业领域主管单位要结合工作实际，针对安全生产薄弱环节和可能发生安全生产事故点位，继续深入开展隐患排查整治工作，明确打好安全生产提升仗指标，全面开展专项治理。</w:t>
      </w:r>
    </w:p>
    <w:p w14:paraId="6BD1CD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3.集中开展安全生产领域打非治违攻坚。</w:t>
      </w:r>
    </w:p>
    <w:p w14:paraId="63412F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（31）严格监管执法。</w:t>
      </w:r>
      <w:r>
        <w:rPr>
          <w:rFonts w:hint="eastAsia" w:ascii="仿宋" w:hAnsi="仿宋" w:eastAsia="仿宋" w:cs="仿宋"/>
          <w:b w:val="0"/>
          <w:bCs w:val="0"/>
          <w:color w:val="000000" w:themeColor="text1"/>
          <w:sz w:val="32"/>
          <w:szCs w:val="32"/>
          <w:lang w:val="en-US" w:eastAsia="zh-CN"/>
          <w14:textFill>
            <w14:solidFill>
              <w14:schemeClr w14:val="tx1"/>
            </w14:solidFill>
          </w14:textFill>
        </w:rPr>
        <w:t>继续深化“强执法 防事故”专项行动，</w:t>
      </w:r>
      <w:r>
        <w:rPr>
          <w:rFonts w:hint="eastAsia" w:ascii="仿宋" w:hAnsi="仿宋" w:eastAsia="仿宋" w:cs="仿宋"/>
          <w:color w:val="000000" w:themeColor="text1"/>
          <w:sz w:val="32"/>
          <w:szCs w:val="32"/>
          <w:lang w:val="en-US" w:eastAsia="zh-CN"/>
          <w14:textFill>
            <w14:solidFill>
              <w14:schemeClr w14:val="tx1"/>
            </w14:solidFill>
          </w14:textFill>
        </w:rPr>
        <w:t>持续开展行政执法考评，对各乡镇安全监管执法情况“每月一统计、两月一调度、每季一通报”。推动县级负有安全监管职责部门、行业管理部门采取交叉执法、联合执法、集中执法等形式，实行精准化执法检查、差异化动态监管，加强对本行业领域企业双重预防体系建设及落实情况的重点执法检查。理清分级分类监管权限，日常执法检查以乡镇为主，规模大、风险高、专业性强的企业由县级监管，既不多头重复执法也不将执法职责推到乡镇。</w:t>
      </w:r>
    </w:p>
    <w:p w14:paraId="6CA5C0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（32）强力打非治违。强化乡镇政府的“打非”主体责任，</w:t>
      </w:r>
      <w:r>
        <w:rPr>
          <w:rFonts w:hint="eastAsia" w:ascii="仿宋" w:hAnsi="仿宋" w:eastAsia="仿宋" w:cs="仿宋"/>
          <w:b w:val="0"/>
          <w:bCs w:val="0"/>
          <w:color w:val="000000" w:themeColor="text1"/>
          <w:sz w:val="32"/>
          <w:szCs w:val="32"/>
          <w:lang w:val="en-US" w:eastAsia="zh-CN"/>
          <w14:textFill>
            <w14:solidFill>
              <w14:schemeClr w14:val="tx1"/>
            </w14:solidFill>
          </w14:textFill>
        </w:rPr>
        <w:t>坚决打击非法违法、违规违章生产经营建设行为，聚焦易引发事故的非法采矿窝点、道路运输非法营运、建筑无资质无许可施工、火工品违规储存运输等严重违法行为，加大查处和打击力度，落实行刑衔接，最大限度限制压缩违法违规行为的生存空间。</w:t>
      </w:r>
    </w:p>
    <w:p w14:paraId="66FE88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（三）实施三个建设</w:t>
      </w:r>
    </w:p>
    <w:p w14:paraId="3FD664D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1.强化实施宣传阵地建设</w:t>
      </w:r>
    </w:p>
    <w:p w14:paraId="793BAFF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（33）筑牢人民防线。</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结合“安全生产月”“开工第一课讲安全”、警示教育课等主题活动，大力推动安全宣传“五进”工作，进企业、进农村、进社区、进学校、进家庭，大力弘扬安全文化，努力构建多层次、立体化、常态化安全宣传新格局。充分利用电视、广播、报纸等传统媒体影响力，发挥微信公众号、网站等自有阵地作用，广泛宣传普及安全生产和应急处置有关内容，营造浓厚的安全生产社会氛围。</w:t>
      </w:r>
    </w:p>
    <w:p w14:paraId="755139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（34）强化基层网格安全宣传。</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在高速路口、城乡结合处、人流密集场所树立安全广告牌，在重点企业周边、行政机关、企事业单位、村级服务中心公示栏等重点区域设立安全宣传栏目，移动宣传车、村村响广播定期播报安全知识，利用群众身边的宣传方式做好安全提醒警示，筑牢人民安全防线。畅通各类举报投诉渠道，加大举报奖励力度，鼓励人民群众和企业员工通过“12345”等方式举报安全生产非法违法行为和重大安全隐患，形成全社会参与支持、群防群治的氛围。</w:t>
      </w:r>
    </w:p>
    <w:p w14:paraId="0965D05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（35）集中开展“幸福敲门、安全到家”宣传行动。</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组织党员干部、网格员、志愿者上门入户开展宣传，严格落实老弱病残等重点人群结对帮扶，定期开展安全生产院落会活动，提升人民群众安全意识，增强公众风险防范、安全应急意识和自救互救能力，从根本上减少安全事故发生。</w:t>
      </w:r>
    </w:p>
    <w:p w14:paraId="740F2B3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2.组织实施基层基础建设</w:t>
      </w:r>
    </w:p>
    <w:p w14:paraId="089CE49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（36）夯实基层基础。</w:t>
      </w:r>
      <w:r>
        <w:rPr>
          <w:rFonts w:hint="eastAsia" w:ascii="仿宋" w:hAnsi="仿宋" w:eastAsia="仿宋" w:cs="仿宋"/>
          <w:color w:val="000000" w:themeColor="text1"/>
          <w:sz w:val="32"/>
          <w:szCs w:val="32"/>
          <w14:textFill>
            <w14:solidFill>
              <w14:schemeClr w14:val="tx1"/>
            </w14:solidFill>
          </w14:textFill>
        </w:rPr>
        <w:t>加强基层应急救援、监管执法力量和信息员队伍建设，推动建立统一指挥、专兼结合、一队多能的应急管理、救援队伍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加强乡镇应急物资储备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指导督促每个乡镇建立1个物资储备库，村（社区）设立应急物资储备点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完善细化乡镇应急预案，每年至少组织开展1次综合应急演练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不断提高实战化水平。</w:t>
      </w:r>
    </w:p>
    <w:p w14:paraId="015A0C9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（37）强化乡镇属地责任。</w:t>
      </w:r>
      <w:r>
        <w:rPr>
          <w:rFonts w:hint="eastAsia" w:ascii="仿宋" w:hAnsi="仿宋" w:eastAsia="仿宋" w:cs="仿宋"/>
          <w:color w:val="000000" w:themeColor="text1"/>
          <w:sz w:val="32"/>
          <w:szCs w:val="32"/>
          <w14:textFill>
            <w14:solidFill>
              <w14:schemeClr w14:val="tx1"/>
            </w14:solidFill>
          </w14:textFill>
        </w:rPr>
        <w:t>指导乡镇对标对表制定党政干部应急管理责任清单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督促乡镇依法依规梳理和履行乡镇应急管理权、应急处置权、应急执法权等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推动乡镇整合相关议事协调机构，组建由党政主要负责人为主任的应急管理委员会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强化社会治安和应急管理办公室的职责，明确分管领导，落实专兼职工作人员。</w:t>
      </w:r>
    </w:p>
    <w:p w14:paraId="2E75FAF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38</w:t>
      </w:r>
      <w:r>
        <w:rPr>
          <w:rFonts w:hint="eastAsia" w:ascii="仿宋" w:hAnsi="仿宋" w:eastAsia="仿宋" w:cs="仿宋"/>
          <w:b/>
          <w:bCs/>
          <w:color w:val="000000" w:themeColor="text1"/>
          <w:sz w:val="32"/>
          <w:szCs w:val="32"/>
          <w:lang w:eastAsia="zh-CN"/>
          <w14:textFill>
            <w14:solidFill>
              <w14:schemeClr w14:val="tx1"/>
            </w14:solidFill>
          </w14:textFill>
        </w:rPr>
        <w:t>）加强村（社区）应急避险能力。</w:t>
      </w:r>
      <w:r>
        <w:rPr>
          <w:rFonts w:hint="eastAsia" w:ascii="仿宋" w:hAnsi="仿宋" w:eastAsia="仿宋" w:cs="仿宋"/>
          <w:color w:val="000000" w:themeColor="text1"/>
          <w:sz w:val="32"/>
          <w:szCs w:val="32"/>
          <w:lang w:eastAsia="zh-CN"/>
          <w14:textFill>
            <w14:solidFill>
              <w14:schemeClr w14:val="tx1"/>
            </w14:solidFill>
          </w14:textFill>
        </w:rPr>
        <w:t>指导推动乡镇村（社区）利用公园、绿地、休闲广场、学校操场、体育场（馆）等场所建立1个以上应急避难场所。</w:t>
      </w:r>
      <w:r>
        <w:rPr>
          <w:rFonts w:hint="eastAsia" w:ascii="仿宋" w:hAnsi="仿宋" w:eastAsia="仿宋" w:cs="仿宋"/>
          <w:color w:val="000000" w:themeColor="text1"/>
          <w:sz w:val="32"/>
          <w:szCs w:val="32"/>
          <w14:textFill>
            <w14:solidFill>
              <w14:schemeClr w14:val="tx1"/>
            </w14:solidFill>
          </w14:textFill>
        </w:rPr>
        <w:t>推动和支持乡镇加强村（社区）应急管理网格员、信息员培训，指导村（社区）结合实际经常开展避险逃生、常态化应急疏散等演练，提高村（社区）应对灾害风险的组织能力。</w:t>
      </w:r>
    </w:p>
    <w:p w14:paraId="5E3FEB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3.大力实施应急能力建设，</w:t>
      </w:r>
    </w:p>
    <w:p w14:paraId="07004F5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（39）推动科技兴安</w:t>
      </w:r>
      <w:r>
        <w:rPr>
          <w:rFonts w:hint="eastAsia" w:ascii="仿宋" w:hAnsi="仿宋" w:eastAsia="仿宋" w:cs="仿宋"/>
          <w:color w:val="000000" w:themeColor="text1"/>
          <w:sz w:val="32"/>
          <w:szCs w:val="32"/>
          <w:lang w:val="en-US" w:eastAsia="zh-CN"/>
          <w14:textFill>
            <w14:solidFill>
              <w14:schemeClr w14:val="tx1"/>
            </w14:solidFill>
          </w14:textFill>
        </w:rPr>
        <w:t>。危险化学品重大危险源在线监测预警系统和多层大体量劳动密集型企业、公众聚集场所以及医院学校养老院等人员密集场所“智慧消防”建设应用，推广运用粉尘风险监测预警系统。在非煤矿山、危险化学品、烟花爆竹、森林火灾防控、消防救援、“两客一危”等方面推广现代技术装备应用，推动实现“机械化换人、自动化减人、智能化无人”。</w:t>
      </w:r>
    </w:p>
    <w:p w14:paraId="34DAE0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（40）完善五级联动信息网络。</w:t>
      </w:r>
      <w:r>
        <w:rPr>
          <w:rFonts w:hint="eastAsia" w:ascii="仿宋" w:hAnsi="仿宋" w:eastAsia="仿宋" w:cs="仿宋"/>
          <w:b w:val="0"/>
          <w:bCs w:val="0"/>
          <w:color w:val="000000" w:themeColor="text1"/>
          <w:sz w:val="32"/>
          <w:szCs w:val="32"/>
          <w:lang w:val="en-US" w:eastAsia="zh-CN"/>
          <w14:textFill>
            <w14:solidFill>
              <w14:schemeClr w14:val="tx1"/>
            </w14:solidFill>
          </w14:textFill>
        </w:rPr>
        <w:t>全县各乡镇、村（社区）全面实现视频会议系统横纵互通，做到平时能宣传、急时能预警、战时能指挥。落实《市县两级应急指挥中心规范化建设指导意见》。进一步整合县直各部门信息，实现信息共享、协同会商机制，推动县乡两级指挥中心实现标准化、规范化、模块化、智能化建设；加快五级联动视频会商系统和370M无线窄带网建设，同时将全县高危企业拉入到全县应急指挥体系，提高全县应急能力。</w:t>
      </w:r>
    </w:p>
    <w:p w14:paraId="52929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（41）加强应急预案管理。</w:t>
      </w:r>
      <w:r>
        <w:rPr>
          <w:rFonts w:hint="eastAsia" w:ascii="仿宋" w:hAnsi="仿宋" w:eastAsia="仿宋" w:cs="仿宋"/>
          <w:b w:val="0"/>
          <w:bCs w:val="0"/>
          <w:color w:val="000000" w:themeColor="text1"/>
          <w:sz w:val="32"/>
          <w:szCs w:val="32"/>
          <w:lang w:val="en-US" w:eastAsia="zh-CN"/>
          <w14:textFill>
            <w14:solidFill>
              <w14:schemeClr w14:val="tx1"/>
            </w14:solidFill>
          </w14:textFill>
        </w:rPr>
        <w:t>督促负有安全生产监督管理职责的部门、单位，对监管行业、领域的生产经营单位和下属部门的应急预案制定、应急预案演练、安全宣传培训教育、应急救援队伍准备、应急物资储备等情况进行检查，督导企业切实抓好生产安全应急预案的执行和实施。</w:t>
      </w:r>
    </w:p>
    <w:p w14:paraId="35CC3B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（42）强化应急救援能力建设。</w:t>
      </w:r>
      <w:r>
        <w:rPr>
          <w:rFonts w:hint="eastAsia" w:ascii="仿宋" w:hAnsi="仿宋" w:eastAsia="仿宋" w:cs="仿宋"/>
          <w:b w:val="0"/>
          <w:bCs w:val="0"/>
          <w:color w:val="000000" w:themeColor="text1"/>
          <w:sz w:val="32"/>
          <w:szCs w:val="32"/>
          <w:lang w:val="en-US" w:eastAsia="zh-CN"/>
          <w14:textFill>
            <w14:solidFill>
              <w14:schemeClr w14:val="tx1"/>
            </w14:solidFill>
          </w14:textFill>
        </w:rPr>
        <w:t>进一步健全完善应急联动机制，</w:t>
      </w:r>
      <w:r>
        <w:rPr>
          <w:rFonts w:hint="eastAsia" w:ascii="仿宋" w:hAnsi="仿宋" w:eastAsia="仿宋" w:cs="仿宋"/>
          <w:b w:val="0"/>
          <w:bCs w:val="0"/>
          <w:color w:val="000000" w:themeColor="text1"/>
          <w:sz w:val="32"/>
          <w:szCs w:val="32"/>
          <w:lang w:eastAsia="zh-CN"/>
          <w14:textFill>
            <w14:solidFill>
              <w14:schemeClr w14:val="tx1"/>
            </w14:solidFill>
          </w14:textFill>
        </w:rPr>
        <w:t>进一步</w:t>
      </w:r>
      <w:r>
        <w:rPr>
          <w:rFonts w:hint="eastAsia" w:ascii="仿宋" w:hAnsi="仿宋" w:eastAsia="仿宋" w:cs="仿宋"/>
          <w:b w:val="0"/>
          <w:bCs w:val="0"/>
          <w:color w:val="000000" w:themeColor="text1"/>
          <w:sz w:val="32"/>
          <w:szCs w:val="32"/>
          <w14:textFill>
            <w14:solidFill>
              <w14:schemeClr w14:val="tx1"/>
            </w14:solidFill>
          </w14:textFill>
        </w:rPr>
        <w:t>深化与地方武装民兵联调联动</w:t>
      </w:r>
      <w:r>
        <w:rPr>
          <w:rFonts w:hint="eastAsia" w:ascii="仿宋" w:hAnsi="仿宋" w:eastAsia="仿宋" w:cs="仿宋"/>
          <w:b w:val="0"/>
          <w:bCs w:val="0"/>
          <w:color w:val="000000" w:themeColor="text1"/>
          <w:sz w:val="32"/>
          <w:szCs w:val="32"/>
          <w:lang w:val="en-US" w:eastAsia="zh-CN"/>
          <w14:textFill>
            <w14:solidFill>
              <w14:schemeClr w14:val="tx1"/>
            </w14:solidFill>
          </w14:textFill>
        </w:rPr>
        <w:t>，建立现场指挥、区域共享、协同联动等工作机制，加强力量统筹、任务统筹和行动统筹，实现规范调动、高效调动、精准调动。有力推动应急救援队伍建设，规范引导社会应急力量发展，各应急救援力量科学统筹和综合运用。认真组织实战化应急预案演练。</w:t>
      </w:r>
    </w:p>
    <w:p w14:paraId="711FB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三、推进机制</w:t>
      </w:r>
    </w:p>
    <w:p w14:paraId="374E7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成立打好安全生产翻身仗工作专班，由县人民政府分管副主任唐伯贫担任召集人，县应急管理局党委书记、局长唐则俭，县消防救援大队佘梁辉担任副召集人，成员单位包括县发展和改革局、县教育局、县自然资源局、市生态环境局绥宁分局、县住房和城乡建设局、县城市管理和综合执法局、县交通运输局、县农业农村水利局、县商务局、</w:t>
      </w:r>
      <w:r>
        <w:rPr>
          <w:rFonts w:hint="eastAsia" w:ascii="仿宋" w:hAnsi="仿宋" w:eastAsia="仿宋" w:cs="仿宋"/>
          <w:color w:val="000000" w:themeColor="text1"/>
          <w:sz w:val="32"/>
          <w:szCs w:val="32"/>
          <w:lang w:val="en-US" w:eastAsia="zh-CN"/>
          <w14:textFill>
            <w14:solidFill>
              <w14:schemeClr w14:val="tx1"/>
            </w14:solidFill>
          </w14:textFill>
        </w:rPr>
        <w:t>县文化旅游广电体育局</w:t>
      </w:r>
      <w:r>
        <w:rPr>
          <w:rFonts w:hint="eastAsia" w:ascii="仿宋" w:hAnsi="仿宋" w:eastAsia="仿宋" w:cs="仿宋"/>
          <w:b w:val="0"/>
          <w:bCs w:val="0"/>
          <w:color w:val="000000" w:themeColor="text1"/>
          <w:sz w:val="32"/>
          <w:szCs w:val="32"/>
          <w:lang w:val="en-US" w:eastAsia="zh-CN"/>
          <w14:textFill>
            <w14:solidFill>
              <w14:schemeClr w14:val="tx1"/>
            </w14:solidFill>
          </w14:textFill>
        </w:rPr>
        <w:t>、县应急管理局、县林业局、县市场监督管理局、县消防救援大队、县交警大队等。办公室设县应急管理局，由成有道同志担任办公室主任，负责日常协调和调度工作。</w:t>
      </w:r>
    </w:p>
    <w:p w14:paraId="69949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1D8E9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附件：1</w:t>
      </w:r>
      <w:r>
        <w:rPr>
          <w:rFonts w:hint="eastAsia" w:ascii="仿宋" w:hAnsi="仿宋" w:eastAsia="仿宋" w:cs="仿宋"/>
          <w:color w:val="000000" w:themeColor="text1"/>
          <w:sz w:val="32"/>
          <w:szCs w:val="32"/>
          <w:lang w:eastAsia="zh-CN"/>
          <w14:textFill>
            <w14:solidFill>
              <w14:schemeClr w14:val="tx1"/>
            </w14:solidFill>
          </w14:textFill>
        </w:rPr>
        <w:t>绥宁县</w:t>
      </w:r>
      <w:r>
        <w:rPr>
          <w:rFonts w:hint="eastAsia" w:ascii="仿宋" w:hAnsi="仿宋" w:eastAsia="仿宋" w:cs="仿宋"/>
          <w:color w:val="000000" w:themeColor="text1"/>
          <w:sz w:val="32"/>
          <w:szCs w:val="32"/>
          <w14:textFill>
            <w14:solidFill>
              <w14:schemeClr w14:val="tx1"/>
            </w14:solidFill>
          </w14:textFill>
        </w:rPr>
        <w:t>“打好安全生产翻身仗”工作专班</w:t>
      </w:r>
    </w:p>
    <w:p w14:paraId="69538A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2.绥宁县打好“安全生产翻身仗”重点工作任务责</w:t>
      </w:r>
    </w:p>
    <w:p w14:paraId="3405E1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任分解表</w:t>
      </w:r>
    </w:p>
    <w:p w14:paraId="47CB7D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43AC19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477B6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5B8ECF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0D5F08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7908B7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2184F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4D28CAA5">
      <w:pPr>
        <w:pStyle w:val="12"/>
        <w:rPr>
          <w:rFonts w:hint="eastAsia" w:ascii="宋体" w:hAnsi="宋体" w:eastAsia="宋体" w:cs="宋体"/>
          <w:color w:val="000000" w:themeColor="text1"/>
          <w:sz w:val="32"/>
          <w:szCs w:val="32"/>
          <w:lang w:eastAsia="zh-CN"/>
          <w14:textFill>
            <w14:solidFill>
              <w14:schemeClr w14:val="tx1"/>
            </w14:solidFill>
          </w14:textFill>
        </w:rPr>
      </w:pPr>
    </w:p>
    <w:p w14:paraId="7B9C2009">
      <w:pPr>
        <w:pStyle w:val="12"/>
        <w:rPr>
          <w:rFonts w:hint="eastAsia" w:ascii="宋体" w:hAnsi="宋体" w:eastAsia="宋体" w:cs="宋体"/>
          <w:color w:val="000000" w:themeColor="text1"/>
          <w:sz w:val="32"/>
          <w:szCs w:val="32"/>
          <w:lang w:eastAsia="zh-CN"/>
          <w14:textFill>
            <w14:solidFill>
              <w14:schemeClr w14:val="tx1"/>
            </w14:solidFill>
          </w14:textFill>
        </w:rPr>
      </w:pPr>
    </w:p>
    <w:p w14:paraId="604CDAC8">
      <w:pPr>
        <w:pStyle w:val="12"/>
        <w:rPr>
          <w:rFonts w:hint="eastAsia" w:ascii="宋体" w:hAnsi="宋体" w:eastAsia="宋体" w:cs="宋体"/>
          <w:color w:val="000000" w:themeColor="text1"/>
          <w:sz w:val="32"/>
          <w:szCs w:val="32"/>
          <w:lang w:eastAsia="zh-CN"/>
          <w14:textFill>
            <w14:solidFill>
              <w14:schemeClr w14:val="tx1"/>
            </w14:solidFill>
          </w14:textFill>
        </w:rPr>
      </w:pPr>
    </w:p>
    <w:p w14:paraId="77C5C688">
      <w:pPr>
        <w:pStyle w:val="12"/>
        <w:rPr>
          <w:rFonts w:hint="eastAsia" w:ascii="宋体" w:hAnsi="宋体" w:eastAsia="宋体" w:cs="宋体"/>
          <w:color w:val="000000" w:themeColor="text1"/>
          <w:sz w:val="32"/>
          <w:szCs w:val="32"/>
          <w:lang w:eastAsia="zh-CN"/>
          <w14:textFill>
            <w14:solidFill>
              <w14:schemeClr w14:val="tx1"/>
            </w14:solidFill>
          </w14:textFill>
        </w:rPr>
      </w:pPr>
    </w:p>
    <w:p w14:paraId="272A41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22080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53B71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lang w:eastAsia="zh-CN"/>
          <w14:textFill>
            <w14:solidFill>
              <w14:schemeClr w14:val="tx1"/>
            </w14:solidFill>
          </w14:textFill>
        </w:rPr>
      </w:pPr>
    </w:p>
    <w:p w14:paraId="2C3969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1CC983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lang w:eastAsia="zh-CN"/>
          <w14:textFill>
            <w14:solidFill>
              <w14:schemeClr w14:val="tx1"/>
            </w14:solidFill>
          </w14:textFill>
        </w:rPr>
      </w:pPr>
    </w:p>
    <w:p w14:paraId="1A0EC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绥宁县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“打好安全生产翻身仗”工作专班</w:t>
      </w:r>
    </w:p>
    <w:p w14:paraId="220F2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20A25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召 集 人：</w:t>
      </w:r>
      <w:r>
        <w:rPr>
          <w:rFonts w:hint="eastAsia" w:ascii="仿宋" w:hAnsi="仿宋" w:eastAsia="仿宋" w:cs="仿宋"/>
          <w:color w:val="000000" w:themeColor="text1"/>
          <w:sz w:val="32"/>
          <w:szCs w:val="32"/>
          <w:lang w:eastAsia="zh-CN"/>
          <w14:textFill>
            <w14:solidFill>
              <w14:schemeClr w14:val="tx1"/>
            </w14:solidFill>
          </w14:textFill>
        </w:rPr>
        <w:t>唐伯贫</w:t>
      </w:r>
      <w:r>
        <w:rPr>
          <w:rFonts w:hint="eastAsia" w:ascii="仿宋" w:hAnsi="仿宋" w:eastAsia="仿宋" w:cs="仿宋"/>
          <w:color w:val="000000" w:themeColor="text1"/>
          <w:sz w:val="32"/>
          <w:szCs w:val="32"/>
          <w:lang w:val="en-US" w:eastAsia="zh-CN"/>
          <w14:textFill>
            <w14:solidFill>
              <w14:schemeClr w14:val="tx1"/>
            </w14:solidFill>
          </w14:textFill>
        </w:rPr>
        <w:t xml:space="preserve">   县人民政府办公室副主任</w:t>
      </w:r>
    </w:p>
    <w:p w14:paraId="1DAF9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副召集人：</w:t>
      </w:r>
      <w:r>
        <w:rPr>
          <w:rFonts w:hint="eastAsia" w:ascii="仿宋" w:hAnsi="仿宋" w:eastAsia="仿宋" w:cs="仿宋"/>
          <w:color w:val="000000" w:themeColor="text1"/>
          <w:sz w:val="32"/>
          <w:szCs w:val="32"/>
          <w:lang w:eastAsia="zh-CN"/>
          <w14:textFill>
            <w14:solidFill>
              <w14:schemeClr w14:val="tx1"/>
            </w14:solidFill>
          </w14:textFill>
        </w:rPr>
        <w:t>唐则俭</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应急管理局局长</w:t>
      </w:r>
    </w:p>
    <w:p w14:paraId="4F0A58E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佘梁辉</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消防救援</w:t>
      </w:r>
      <w:r>
        <w:rPr>
          <w:rFonts w:hint="eastAsia" w:ascii="仿宋" w:hAnsi="仿宋" w:eastAsia="仿宋" w:cs="仿宋"/>
          <w:color w:val="000000" w:themeColor="text1"/>
          <w:sz w:val="32"/>
          <w:szCs w:val="32"/>
          <w:lang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w:t>
      </w:r>
      <w:r>
        <w:rPr>
          <w:rFonts w:hint="eastAsia" w:ascii="仿宋" w:hAnsi="仿宋" w:eastAsia="仿宋" w:cs="仿宋"/>
          <w:color w:val="000000" w:themeColor="text1"/>
          <w:sz w:val="32"/>
          <w:szCs w:val="32"/>
          <w:lang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队长</w:t>
      </w:r>
    </w:p>
    <w:p w14:paraId="04656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员：</w:t>
      </w:r>
      <w:r>
        <w:rPr>
          <w:rFonts w:hint="eastAsia" w:ascii="仿宋" w:hAnsi="仿宋" w:eastAsia="仿宋" w:cs="仿宋"/>
          <w:color w:val="000000" w:themeColor="text1"/>
          <w:sz w:val="32"/>
          <w:szCs w:val="32"/>
          <w:lang w:eastAsia="zh-CN"/>
          <w14:textFill>
            <w14:solidFill>
              <w14:schemeClr w14:val="tx1"/>
            </w14:solidFill>
          </w14:textFill>
        </w:rPr>
        <w:t>彭均钟</w:t>
      </w:r>
      <w:r>
        <w:rPr>
          <w:rFonts w:hint="eastAsia" w:ascii="仿宋" w:hAnsi="仿宋" w:eastAsia="仿宋" w:cs="仿宋"/>
          <w:color w:val="000000" w:themeColor="text1"/>
          <w:sz w:val="32"/>
          <w:szCs w:val="32"/>
          <w:lang w:val="en-US" w:eastAsia="zh-CN"/>
          <w14:textFill>
            <w14:solidFill>
              <w14:schemeClr w14:val="tx1"/>
            </w14:solidFill>
          </w14:textFill>
        </w:rPr>
        <w:t xml:space="preserve">   县发展和改革局副局长</w:t>
      </w:r>
    </w:p>
    <w:p w14:paraId="115D4732">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黄海珠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教育局副局长</w:t>
      </w:r>
    </w:p>
    <w:p w14:paraId="1A35F213">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肖  珍   县</w:t>
      </w:r>
      <w:r>
        <w:rPr>
          <w:rFonts w:hint="eastAsia" w:ascii="仿宋" w:hAnsi="仿宋" w:eastAsia="仿宋" w:cs="仿宋"/>
          <w:color w:val="000000" w:themeColor="text1"/>
          <w:sz w:val="32"/>
          <w:szCs w:val="32"/>
          <w:lang w:eastAsia="zh-CN"/>
          <w14:textFill>
            <w14:solidFill>
              <w14:schemeClr w14:val="tx1"/>
            </w14:solidFill>
          </w14:textFill>
        </w:rPr>
        <w:t>发展和改革局总经济师</w:t>
      </w:r>
    </w:p>
    <w:p w14:paraId="22D0DBB6">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唐</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鹰</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自然资源局</w:t>
      </w:r>
      <w:r>
        <w:rPr>
          <w:rFonts w:hint="eastAsia" w:ascii="仿宋" w:hAnsi="仿宋" w:eastAsia="仿宋" w:cs="仿宋"/>
          <w:color w:val="000000" w:themeColor="text1"/>
          <w:sz w:val="32"/>
          <w:szCs w:val="32"/>
          <w:lang w:eastAsia="zh-CN"/>
          <w14:textFill>
            <w14:solidFill>
              <w14:schemeClr w14:val="tx1"/>
            </w14:solidFill>
          </w14:textFill>
        </w:rPr>
        <w:t>副局长</w:t>
      </w:r>
    </w:p>
    <w:p w14:paraId="7E46ED76">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themeColor="text1"/>
          <w:w w:val="90"/>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唐小芳</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市生态环境局</w:t>
      </w:r>
      <w:r>
        <w:rPr>
          <w:rFonts w:hint="eastAsia" w:ascii="仿宋" w:hAnsi="仿宋" w:eastAsia="仿宋" w:cs="仿宋"/>
          <w:color w:val="000000" w:themeColor="text1"/>
          <w:sz w:val="32"/>
          <w:szCs w:val="32"/>
          <w:lang w:eastAsia="zh-CN"/>
          <w14:textFill>
            <w14:solidFill>
              <w14:schemeClr w14:val="tx1"/>
            </w14:solidFill>
          </w14:textFill>
        </w:rPr>
        <w:t>绥宁县分局</w:t>
      </w:r>
      <w:r>
        <w:rPr>
          <w:rFonts w:hint="eastAsia" w:ascii="仿宋" w:hAnsi="仿宋" w:eastAsia="仿宋" w:cs="仿宋"/>
          <w:color w:val="000000" w:themeColor="text1"/>
          <w:sz w:val="32"/>
          <w:szCs w:val="32"/>
          <w14:textFill>
            <w14:solidFill>
              <w14:schemeClr w14:val="tx1"/>
            </w14:solidFill>
          </w14:textFill>
        </w:rPr>
        <w:t>副局长</w:t>
      </w:r>
    </w:p>
    <w:p w14:paraId="5C220FF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陈远生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农业农村</w:t>
      </w:r>
      <w:r>
        <w:rPr>
          <w:rFonts w:hint="eastAsia" w:ascii="仿宋" w:hAnsi="仿宋" w:eastAsia="仿宋" w:cs="仿宋"/>
          <w:color w:val="000000" w:themeColor="text1"/>
          <w:sz w:val="32"/>
          <w:szCs w:val="32"/>
          <w:lang w:eastAsia="zh-CN"/>
          <w14:textFill>
            <w14:solidFill>
              <w14:schemeClr w14:val="tx1"/>
            </w14:solidFill>
          </w14:textFill>
        </w:rPr>
        <w:t>水利</w:t>
      </w:r>
      <w:r>
        <w:rPr>
          <w:rFonts w:hint="eastAsia" w:ascii="仿宋" w:hAnsi="仿宋" w:eastAsia="仿宋" w:cs="仿宋"/>
          <w:color w:val="000000" w:themeColor="text1"/>
          <w:sz w:val="32"/>
          <w:szCs w:val="32"/>
          <w14:textFill>
            <w14:solidFill>
              <w14:schemeClr w14:val="tx1"/>
            </w14:solidFill>
          </w14:textFill>
        </w:rPr>
        <w:t>局副局长</w:t>
      </w:r>
    </w:p>
    <w:p w14:paraId="7563C044">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王</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高</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住房和城乡建设局副局长</w:t>
      </w:r>
    </w:p>
    <w:p w14:paraId="4F5A69D2">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黄生坚</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城</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管</w:t>
      </w:r>
      <w:r>
        <w:rPr>
          <w:rFonts w:hint="eastAsia" w:ascii="仿宋" w:hAnsi="仿宋" w:eastAsia="仿宋" w:cs="仿宋"/>
          <w:color w:val="000000" w:themeColor="text1"/>
          <w:sz w:val="32"/>
          <w:szCs w:val="32"/>
          <w:lang w:eastAsia="zh-CN"/>
          <w14:textFill>
            <w14:solidFill>
              <w14:schemeClr w14:val="tx1"/>
            </w14:solidFill>
          </w14:textFill>
        </w:rPr>
        <w:t>理</w:t>
      </w:r>
      <w:r>
        <w:rPr>
          <w:rFonts w:hint="eastAsia" w:ascii="仿宋" w:hAnsi="仿宋" w:eastAsia="仿宋" w:cs="仿宋"/>
          <w:color w:val="000000" w:themeColor="text1"/>
          <w:sz w:val="32"/>
          <w:szCs w:val="32"/>
          <w14:textFill>
            <w14:solidFill>
              <w14:schemeClr w14:val="tx1"/>
            </w14:solidFill>
          </w14:textFill>
        </w:rPr>
        <w:t>综合执法局副局长</w:t>
      </w:r>
    </w:p>
    <w:p w14:paraId="0F80100F">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苏文亮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交通运输局副局长</w:t>
      </w:r>
    </w:p>
    <w:p w14:paraId="58402512">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向利军</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商务局副局长</w:t>
      </w:r>
    </w:p>
    <w:p w14:paraId="04A6A80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张旭辉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文化旅游广电体育局副局长</w:t>
      </w:r>
    </w:p>
    <w:p w14:paraId="583DE90E">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成有道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应急管理局副局长</w:t>
      </w:r>
    </w:p>
    <w:p w14:paraId="570B020B">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曾  宏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林业局副局长</w:t>
      </w:r>
    </w:p>
    <w:p w14:paraId="7CF8C1DD">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苏文超</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市场监督管理局</w:t>
      </w:r>
      <w:r>
        <w:rPr>
          <w:rFonts w:hint="eastAsia" w:ascii="仿宋" w:hAnsi="仿宋" w:eastAsia="仿宋" w:cs="仿宋"/>
          <w:color w:val="000000" w:themeColor="text1"/>
          <w:sz w:val="32"/>
          <w:szCs w:val="32"/>
          <w:lang w:eastAsia="zh-CN"/>
          <w14:textFill>
            <w14:solidFill>
              <w14:schemeClr w14:val="tx1"/>
            </w14:solidFill>
          </w14:textFill>
        </w:rPr>
        <w:t>总工程师</w:t>
      </w:r>
    </w:p>
    <w:p w14:paraId="76B22EF8">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黄海波</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消防救援</w:t>
      </w:r>
      <w:r>
        <w:rPr>
          <w:rFonts w:hint="eastAsia" w:ascii="仿宋" w:hAnsi="仿宋" w:eastAsia="仿宋" w:cs="仿宋"/>
          <w:color w:val="000000" w:themeColor="text1"/>
          <w:sz w:val="32"/>
          <w:szCs w:val="32"/>
          <w:lang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w:t>
      </w:r>
      <w:r>
        <w:rPr>
          <w:rFonts w:hint="eastAsia" w:ascii="仿宋" w:hAnsi="仿宋" w:eastAsia="仿宋" w:cs="仿宋"/>
          <w:color w:val="000000" w:themeColor="text1"/>
          <w:sz w:val="32"/>
          <w:szCs w:val="32"/>
          <w:lang w:eastAsia="zh-CN"/>
          <w14:textFill>
            <w14:solidFill>
              <w14:schemeClr w14:val="tx1"/>
            </w14:solidFill>
          </w14:textFill>
        </w:rPr>
        <w:t>参谋</w:t>
      </w:r>
    </w:p>
    <w:p w14:paraId="08A5B4F1">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杨艳霞   </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公安局交警</w:t>
      </w:r>
      <w:r>
        <w:rPr>
          <w:rFonts w:hint="eastAsia" w:ascii="仿宋" w:hAnsi="仿宋" w:eastAsia="仿宋" w:cs="仿宋"/>
          <w:color w:val="000000" w:themeColor="text1"/>
          <w:sz w:val="32"/>
          <w:szCs w:val="32"/>
          <w:lang w:eastAsia="zh-CN"/>
          <w14:textFill>
            <w14:solidFill>
              <w14:schemeClr w14:val="tx1"/>
            </w14:solidFill>
          </w14:textFill>
        </w:rPr>
        <w:t>大队</w:t>
      </w:r>
      <w:r>
        <w:rPr>
          <w:rFonts w:hint="eastAsia" w:ascii="仿宋" w:hAnsi="仿宋" w:eastAsia="仿宋" w:cs="仿宋"/>
          <w:color w:val="000000" w:themeColor="text1"/>
          <w:sz w:val="32"/>
          <w:szCs w:val="32"/>
          <w14:textFill>
            <w14:solidFill>
              <w14:schemeClr w14:val="tx1"/>
            </w14:solidFill>
          </w14:textFill>
        </w:rPr>
        <w:t>副</w:t>
      </w:r>
      <w:r>
        <w:rPr>
          <w:rFonts w:hint="eastAsia" w:ascii="仿宋" w:hAnsi="仿宋" w:eastAsia="仿宋" w:cs="仿宋"/>
          <w:color w:val="000000" w:themeColor="text1"/>
          <w:sz w:val="32"/>
          <w:szCs w:val="32"/>
          <w:lang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队长</w:t>
      </w:r>
    </w:p>
    <w:p w14:paraId="7BA35BA8">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申国林   县公路建设养护中心副主任</w:t>
      </w:r>
    </w:p>
    <w:p w14:paraId="529CE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工作专班办公室设</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应急管理局，</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应急管理局</w:t>
      </w:r>
      <w:r>
        <w:rPr>
          <w:rFonts w:hint="eastAsia" w:ascii="仿宋" w:hAnsi="仿宋" w:eastAsia="仿宋" w:cs="仿宋"/>
          <w:color w:val="000000" w:themeColor="text1"/>
          <w:sz w:val="32"/>
          <w:szCs w:val="32"/>
          <w:lang w:val="en-US" w:eastAsia="zh-CN"/>
          <w14:textFill>
            <w14:solidFill>
              <w14:schemeClr w14:val="tx1"/>
            </w14:solidFill>
          </w14:textFill>
        </w:rPr>
        <w:t>综合协调股</w:t>
      </w:r>
      <w:r>
        <w:rPr>
          <w:rFonts w:hint="eastAsia" w:ascii="仿宋" w:hAnsi="仿宋" w:eastAsia="仿宋" w:cs="仿宋"/>
          <w:color w:val="000000" w:themeColor="text1"/>
          <w:sz w:val="32"/>
          <w:szCs w:val="32"/>
          <w14:textFill>
            <w14:solidFill>
              <w14:schemeClr w14:val="tx1"/>
            </w14:solidFill>
          </w14:textFill>
        </w:rPr>
        <w:t>承担专班具体工作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成有道同志任</w:t>
      </w:r>
      <w:r>
        <w:rPr>
          <w:rFonts w:hint="eastAsia" w:ascii="仿宋" w:hAnsi="仿宋" w:eastAsia="仿宋" w:cs="仿宋"/>
          <w:b w:val="0"/>
          <w:bCs w:val="0"/>
          <w:color w:val="000000" w:themeColor="text1"/>
          <w:sz w:val="32"/>
          <w:szCs w:val="32"/>
          <w14:textFill>
            <w14:solidFill>
              <w14:schemeClr w14:val="tx1"/>
            </w14:solidFill>
          </w14:textFill>
        </w:rPr>
        <w:t>办公室主任</w:t>
      </w:r>
      <w:r>
        <w:rPr>
          <w:rFonts w:hint="eastAsia" w:ascii="仿宋" w:hAnsi="仿宋" w:eastAsia="仿宋" w:cs="仿宋"/>
          <w:b w:val="0"/>
          <w:bCs w:val="0"/>
          <w:color w:val="000000" w:themeColor="text1"/>
          <w:sz w:val="32"/>
          <w:szCs w:val="32"/>
          <w:lang w:eastAsia="zh-CN"/>
          <w14:textFill>
            <w14:solidFill>
              <w14:schemeClr w14:val="tx1"/>
            </w14:solidFill>
          </w14:textFill>
        </w:rPr>
        <w:t>，向昌奇同志任办公室副主任</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乡镇和相关部门抽调5名同志负责办公室日常工作，</w:t>
      </w:r>
      <w:r>
        <w:rPr>
          <w:rFonts w:hint="eastAsia" w:ascii="仿宋" w:hAnsi="仿宋" w:eastAsia="仿宋" w:cs="仿宋"/>
          <w:color w:val="000000" w:themeColor="text1"/>
          <w:sz w:val="32"/>
          <w:szCs w:val="32"/>
          <w14:textFill>
            <w14:solidFill>
              <w14:schemeClr w14:val="tx1"/>
            </w14:solidFill>
          </w14:textFill>
        </w:rPr>
        <w:t>各相关单位分别明确1名</w:t>
      </w:r>
      <w:r>
        <w:rPr>
          <w:rFonts w:hint="eastAsia" w:ascii="仿宋" w:hAnsi="仿宋" w:eastAsia="仿宋" w:cs="仿宋"/>
          <w:color w:val="000000" w:themeColor="text1"/>
          <w:sz w:val="32"/>
          <w:szCs w:val="32"/>
          <w:lang w:eastAsia="zh-CN"/>
          <w14:textFill>
            <w14:solidFill>
              <w14:schemeClr w14:val="tx1"/>
            </w14:solidFill>
          </w14:textFill>
        </w:rPr>
        <w:t>股</w:t>
      </w:r>
      <w:r>
        <w:rPr>
          <w:rFonts w:hint="eastAsia" w:ascii="仿宋" w:hAnsi="仿宋" w:eastAsia="仿宋" w:cs="仿宋"/>
          <w:color w:val="000000" w:themeColor="text1"/>
          <w:sz w:val="32"/>
          <w:szCs w:val="32"/>
          <w14:textFill>
            <w14:solidFill>
              <w14:schemeClr w14:val="tx1"/>
            </w14:solidFill>
          </w14:textFill>
        </w:rPr>
        <w:t>室负责人担任联络员，负责专班日常工作。</w:t>
      </w:r>
    </w:p>
    <w:p w14:paraId="79512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主要职责为贯彻执行</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委</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政府关于“打好安全生产翻身仗”整体部署，负责“打好安全生产翻身仗”方案及考核制度的制定，以及行动调度统计、信息报送、督查督办、通报约谈、宣传报道、总结考核等工作。</w:t>
      </w:r>
    </w:p>
    <w:p w14:paraId="3ED12E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sectPr>
          <w:pgSz w:w="11906" w:h="16838"/>
          <w:pgMar w:top="1531" w:right="1531" w:bottom="1440" w:left="1701" w:header="851" w:footer="992" w:gutter="0"/>
          <w:cols w:space="425" w:num="1"/>
          <w:docGrid w:type="lines" w:linePitch="312" w:charSpace="0"/>
        </w:sectPr>
      </w:pPr>
      <w:r>
        <w:rPr>
          <w:rFonts w:hint="eastAsia" w:ascii="仿宋" w:hAnsi="仿宋" w:eastAsia="仿宋" w:cs="仿宋"/>
          <w:color w:val="000000" w:themeColor="text1"/>
          <w:sz w:val="32"/>
          <w:szCs w:val="32"/>
          <w:lang w:eastAsia="zh-CN"/>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7608011，电子邮箱：awb0163@163.com</w:t>
      </w:r>
      <w:r>
        <w:rPr>
          <w:rFonts w:hint="eastAsia" w:ascii="仿宋" w:hAnsi="仿宋" w:eastAsia="仿宋" w:cs="仿宋"/>
          <w:color w:val="000000" w:themeColor="text1"/>
          <w:sz w:val="32"/>
          <w:szCs w:val="32"/>
          <w:lang w:eastAsia="zh-CN"/>
          <w14:textFill>
            <w14:solidFill>
              <w14:schemeClr w14:val="tx1"/>
            </w14:solidFill>
          </w14:textFill>
        </w:rPr>
        <w:t>）</w:t>
      </w:r>
    </w:p>
    <w:p w14:paraId="4BACC51B">
      <w:pPr>
        <w:pStyle w:val="12"/>
        <w:ind w:left="0" w:leftChars="0" w:firstLine="0" w:firstLine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14:paraId="4DEC3E1A">
      <w:pPr>
        <w:pStyle w:val="12"/>
        <w:ind w:left="0" w:leftChars="0" w:firstLine="0" w:firstLineChars="0"/>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绥宁县打好“安全生产翻身仗”重点工作任务责任分解表</w:t>
      </w:r>
    </w:p>
    <w:p w14:paraId="2E6C9FE5">
      <w:pPr>
        <w:pStyle w:val="12"/>
        <w:ind w:left="0" w:leftChars="0" w:firstLine="0" w:firstLineChars="0"/>
        <w:rPr>
          <w:rFonts w:hint="eastAsia"/>
          <w:color w:val="000000" w:themeColor="text1"/>
          <w:lang w:eastAsia="zh-CN"/>
          <w14:textFill>
            <w14:solidFill>
              <w14:schemeClr w14:val="tx1"/>
            </w14:solidFill>
          </w14:textFill>
        </w:rPr>
      </w:pPr>
    </w:p>
    <w:tbl>
      <w:tblPr>
        <w:tblStyle w:val="9"/>
        <w:tblW w:w="14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6993"/>
        <w:gridCol w:w="3133"/>
        <w:gridCol w:w="2015"/>
        <w:gridCol w:w="1140"/>
      </w:tblGrid>
      <w:tr w14:paraId="3117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2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6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D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7C4E3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0CCF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一、目标任务</w:t>
            </w:r>
          </w:p>
        </w:tc>
      </w:tr>
      <w:tr w14:paraId="705A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7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F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确保全县生产安全事故起数和死亡人数同比持续下降，下降幅度居全市前列。</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6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73759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43B78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16206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72B64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7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0E4EB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2DFC7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59C54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2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428A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1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23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不发生较大及以上生产安全事故。</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485EF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1EEF1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44836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7C348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4301B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5ED96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7CFFE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B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22CF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01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不发生因自然灾害引发的人员伤亡。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E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468FC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县农业农村水利局</w:t>
            </w:r>
          </w:p>
          <w:p w14:paraId="2E1F5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县自然资源局</w:t>
            </w:r>
          </w:p>
          <w:p w14:paraId="49EEF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县林业局</w:t>
            </w:r>
          </w:p>
          <w:p w14:paraId="0C82B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各相关单位</w:t>
            </w:r>
          </w:p>
          <w:p w14:paraId="18807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0DC1F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  彬</w:t>
            </w:r>
          </w:p>
          <w:p w14:paraId="73E72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丁再荣</w:t>
            </w:r>
          </w:p>
          <w:p w14:paraId="16EA4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费立功</w:t>
            </w:r>
          </w:p>
          <w:p w14:paraId="7ACA1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各相关单位负责人</w:t>
            </w:r>
          </w:p>
          <w:p w14:paraId="06BD2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p w14:paraId="327C7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梁恩雄</w:t>
            </w:r>
          </w:p>
        </w:tc>
      </w:tr>
      <w:tr w14:paraId="29E4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1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4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A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3120B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53D7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F2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有效遏制一次死亡3人以上的非生产经营性安全事故。</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2BA4E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7B535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5DF28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C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5B69C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7B1C5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518F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E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6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2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安全生产和消防工作进入全省、全市优秀行列。</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0A062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县消防救援大队</w:t>
            </w:r>
          </w:p>
          <w:p w14:paraId="7B6C3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66BA8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33B50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1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37DF8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佘梁辉</w:t>
            </w:r>
          </w:p>
          <w:p w14:paraId="5C8AA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32AA0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D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793D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1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7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为邵阳市获得省人民政府真抓实干督查激励中防范遏制生产安全事故取得明显成效的地区项目奖励，完成我县安全生产各项任务。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2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w:t>
            </w:r>
          </w:p>
          <w:p w14:paraId="7CCAA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县安委会各成员单位主要负责人</w:t>
            </w:r>
          </w:p>
          <w:p w14:paraId="35786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97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0FD3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7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二、重点工作</w:t>
            </w:r>
          </w:p>
        </w:tc>
      </w:tr>
      <w:tr w14:paraId="66AA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6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楷体" w:hAnsi="楷体" w:eastAsia="楷体" w:cs="楷体"/>
                <w:i w:val="0"/>
                <w:iCs w:val="0"/>
                <w:color w:val="000000" w:themeColor="text1"/>
                <w:sz w:val="24"/>
                <w:szCs w:val="24"/>
                <w:u w:val="none"/>
                <w14:textFill>
                  <w14:solidFill>
                    <w14:schemeClr w14:val="tx1"/>
                  </w14:solidFill>
                </w14:textFill>
              </w:rPr>
            </w:pPr>
            <w:r>
              <w:rPr>
                <w:rFonts w:hint="eastAsia" w:ascii="楷体" w:hAnsi="楷体" w:eastAsia="楷体" w:cs="楷体"/>
                <w:b/>
                <w:bCs/>
                <w:i w:val="0"/>
                <w:iCs w:val="0"/>
                <w:color w:val="000000" w:themeColor="text1"/>
                <w:kern w:val="0"/>
                <w:sz w:val="24"/>
                <w:szCs w:val="24"/>
                <w:u w:val="none"/>
                <w:lang w:val="en-US" w:eastAsia="zh-CN" w:bidi="ar"/>
                <w14:textFill>
                  <w14:solidFill>
                    <w14:schemeClr w14:val="tx1"/>
                  </w14:solidFill>
                </w14:textFill>
              </w:rPr>
              <w:t>（一）完善三项机制</w:t>
            </w:r>
          </w:p>
        </w:tc>
      </w:tr>
      <w:tr w14:paraId="4DAA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5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1.完善安全生产责任机制</w:t>
            </w:r>
          </w:p>
        </w:tc>
      </w:tr>
      <w:tr w14:paraId="3A3C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7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7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推动落实党委政府属地责任。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严格执行《地方党政领导干部安全生产责任制规定》，县乡两级由担任本级政府常务副职的领导干部分管安全生产工作，分管应急管理部门；制定并及时更新党政领导干部安全生产“职责清单”和年度“工作清单”，将履行安全生产工作职责情况作为考察地方党政领导干部拟任人选的重要依据；各级党政领导定期研究部署、带队督查检查安全生产工作，强化“促一方发展、保一方平安”的政治责任。</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9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各乡镇党委、政府</w:t>
            </w:r>
          </w:p>
          <w:p w14:paraId="196B8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C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各乡镇党委书记</w:t>
            </w:r>
          </w:p>
          <w:p w14:paraId="41C14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00927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县安委会各成员单位主要负责人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A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2BB4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E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488FE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0F07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0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8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压紧压实主管部门监管责任。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创新监管方式，强化执法检查，加快推进安全生产由企业被动接受监管向主动加强管理转变、安全风险管控由政府推动为主向企业自主开展转变、隐患排查治理由监管行政执法为主向企业日常自查自纠转变。加强新领域、新业态、新模式的安全风险研究、管控，按照业务相近原则明确并落实新行业、新业态的安全监管职责。</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F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E00E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65B25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各成员单位主要</w:t>
            </w:r>
          </w:p>
          <w:p w14:paraId="27B38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负责人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3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0C9D1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5236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B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D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全面强化企业主体责任。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面强化企业主体责任。推动企业法定代表人和实际控制人等企业主要负责人在岗在位履行第一责任人责任，建立生产经营单位的全员安全生产责任制。切实做好安全生产“十个一次”工作，全面推广“一会三卡”制度（班组安全会，动工卡、体检卡、应急卡），高危行业领域要做到全覆盖。</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县安委会各负有安全监管职责的单位</w:t>
            </w:r>
          </w:p>
          <w:p w14:paraId="2CEC2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58D91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6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各单位负责人</w:t>
            </w:r>
          </w:p>
          <w:p w14:paraId="3F6A8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00468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5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p w14:paraId="5DEE5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黄先伟</w:t>
            </w:r>
          </w:p>
        </w:tc>
      </w:tr>
      <w:tr w14:paraId="3A2F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0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严格落实从业人员安全防护责任。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从业人员 (含劳务派遣灵活用工人员)教育培训率达 100%，使其掌握必要的安全生产知识，掌握本岗位的安全操作技能，了解事故应急处理措施，知悉自身在安全生产方面的权利和义务，知晓各种安全生产举报方式和途径。</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各负有安全监管职责的单位</w:t>
            </w:r>
          </w:p>
          <w:p w14:paraId="1B0E3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0433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各单位负责人</w:t>
            </w:r>
          </w:p>
          <w:p w14:paraId="71364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FF9B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1724B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04C1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0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58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切实强化源头管控。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从源头上严把项目审批安全关，建立完善安全风险评估与论证机制，不得“边审批、边设计、边施工”，对危化品、矿山、烟花爆竹、建筑施工、金属冶炼等行业领域高危项目和人员密集场所，不达安全标准的不能许可和开工。承接区域产业转移要根据规划严格执行规范标准，严格安全监管，严禁淘汰落后产能落户和进园入区，对违规审批、强行上马造成事故的，实行终身追责。对直接关系安全的取消下放事项，实事求是组织评估，不得把责任层层推卸给不具备专业能力的乡镇街道和社区。强化外包队伍管理，坚持“谁的资质谁负责、挂谁的牌子谁负责”，对发生安全事故的严格追究资质方责任。</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34A48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31867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E40C0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各单位负责人</w:t>
            </w:r>
          </w:p>
          <w:p w14:paraId="01C6B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6B833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68304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0FCF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C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2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D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3430F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3125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A0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严肃追责问责。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综合运用政治巡察和安全生产巡查等举措，对整治工作不负责、不作为、慢作为，逾期没有完成目标任务甚至发生事故的，依法严肃问责。</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8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4AD4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8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小标宋简体" w:hAnsi="方正小标宋简体" w:eastAsia="方正小标宋简体" w:cs="方正小标宋简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2.完善安委会（专委会）工作机制</w:t>
            </w:r>
          </w:p>
        </w:tc>
      </w:tr>
      <w:tr w14:paraId="0466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D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充分发挥安委会（办）作用。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建立健全安委会（办）工作例会、形势分析、风险提示、事故预警、重大事故隐患挂牌督办、转办督办、督查、约谈等工作制度，强化落实安委会（办）综合协调安全生产、协调督促行业领域安全监管、组织推动全县性安全生产行动、统筹推进提升本质安全水平等工作职能。</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1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228F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9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强化专委会工作职能。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全生产各专业委员会严格落实《安全生产专业委员会工作规则》，每年召开全体成员会议不少于4次、组织全县性的安全生产督查督导不少于4次，每季度最后一个工作日向县安委会报告本行业（领域）安全生产工作情况，定期组织安全生产约谈和联合执法，按要求对重大隐患进行挂牌督办，加强本行业（领域）安全生产工作的组织领导。</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E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56996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p w14:paraId="44B14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县教育局</w:t>
            </w:r>
          </w:p>
          <w:p w14:paraId="2CC2A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16784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县住房和城乡建设局</w:t>
            </w:r>
          </w:p>
          <w:p w14:paraId="759F4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县文旅广体局</w:t>
            </w:r>
          </w:p>
          <w:p w14:paraId="13E69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县农业农村水利局</w:t>
            </w:r>
          </w:p>
          <w:p w14:paraId="4CC13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县商务局</w:t>
            </w:r>
          </w:p>
          <w:p w14:paraId="3F027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县市场监督管理局</w:t>
            </w:r>
          </w:p>
          <w:p w14:paraId="716B6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县消防救援大队</w:t>
            </w:r>
          </w:p>
          <w:p w14:paraId="51769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县交警大队</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4E7D1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42E74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龙景星</w:t>
            </w:r>
          </w:p>
          <w:p w14:paraId="0A4AB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61FA3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黄始伟</w:t>
            </w:r>
          </w:p>
          <w:p w14:paraId="5A7D9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苏仁华</w:t>
            </w:r>
          </w:p>
          <w:p w14:paraId="5A690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  彬</w:t>
            </w:r>
          </w:p>
          <w:p w14:paraId="0E861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徐邦东</w:t>
            </w:r>
          </w:p>
          <w:p w14:paraId="05E28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向祖金</w:t>
            </w:r>
          </w:p>
          <w:p w14:paraId="5116D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佘梁辉</w:t>
            </w:r>
          </w:p>
          <w:p w14:paraId="6BEDB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龙开堂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4F596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3562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2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E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A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A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0A010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2966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7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3.完善安全风险分级管控和隐患排查治理双重预防工作机制</w:t>
            </w:r>
          </w:p>
        </w:tc>
      </w:tr>
      <w:tr w14:paraId="25BF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53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强化风险识别分级。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督促企业依法建立以主要负责人牵头负责的双重预防体系建设领导机制，按照“客观存在、相对独立、环节清晰、易于管控”的原则，发动全体员工参与，全方位、全过程辨识生产工艺、设备设施、作业环境、作业场所、人员行为和管理体系等方面存在的安全风险。按照可能造成的事故等级后果及社会影响大小，将辨识出的风险点进行分级。</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13B79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00635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7F34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C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1EC5D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44299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12FE7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3E51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E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科学精准风险管控。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督促企业以风险等级越高管控层级越高为原则，建立企业风险分级管控清单，内容包括风险点名称、类别、等级、管控措施、管控层级、责任单位、责任人等，作为企业风险管控台账进行动态管理；企业、车间、岗位分层级对风险进行告知，并设置明显警示标志；对风险较大的岗位制作岗位安全检查卡、安全作业卡、应急处置卡，简明扼要表述岗位安全检查要点、安全作业流程、应急处置方法等。</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20463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53EFE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3640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72435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7B0AB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C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2A62B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0857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6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6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重大风险动态管理。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督促、指导企业对有限空间作业、检维修作业、动火作业、临时用电作业、爆破吊装作业、危险物品装卸作业等动态作业、临时性作业以及国家规定的其他危险作业，严格按照国家和省有关规定，加强临时性作业审批、动火作业审批和现场管理，制定专项作业方案和专项应急处置预案。在重点作业环节和作业岗位，推行“双人作业、旁站指导、书面确认、专人确认”等多种安全确认、动态监管方式，有效管控各类风险。</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7CB77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53F35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76CC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5574D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D7B5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B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7EEFB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6C13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1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571D8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4347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7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5E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开展隐患清零行动。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继续实行“一季度一行动”工作模式，不间断地开展安全生产隐患排查整治，实行企业自查、乡镇全覆盖排查、监管部门执法检查、</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各级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委办暗访暗查和领导带队督查五查并重好模式，对全县所有地区、所有行业领域、所有生产经营企事业单位和人员密集场所开展分层级、全覆盖的安全隐患排查。排查出的事故隐患能立即整改的，应立即整改；不能立即整改的，制定隐患整改方案，按时限要求认真整改；隐患整改完成后，组织相关专业人员进行验收，实现闭环管理。</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F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各负有安全生产监督管理职责的单位</w:t>
            </w:r>
          </w:p>
          <w:p w14:paraId="12B2B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E87A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0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48DA9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2AB9B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E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47205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4475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7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i w:val="0"/>
                <w:iCs w:val="0"/>
                <w:color w:val="000000" w:themeColor="text1"/>
                <w:sz w:val="24"/>
                <w:szCs w:val="24"/>
                <w:u w:val="none"/>
                <w14:textFill>
                  <w14:solidFill>
                    <w14:schemeClr w14:val="tx1"/>
                  </w14:solidFill>
                </w14:textFill>
              </w:rPr>
            </w:pPr>
            <w:r>
              <w:rPr>
                <w:rFonts w:hint="eastAsia" w:ascii="楷体" w:hAnsi="楷体" w:eastAsia="楷体" w:cs="楷体"/>
                <w:b/>
                <w:bCs/>
                <w:i w:val="0"/>
                <w:iCs w:val="0"/>
                <w:color w:val="000000" w:themeColor="text1"/>
                <w:kern w:val="0"/>
                <w:sz w:val="24"/>
                <w:szCs w:val="24"/>
                <w:u w:val="none"/>
                <w:lang w:val="en-US" w:eastAsia="zh-CN" w:bidi="ar"/>
                <w14:textFill>
                  <w14:solidFill>
                    <w14:schemeClr w14:val="tx1"/>
                  </w14:solidFill>
                </w14:textFill>
              </w:rPr>
              <w:t>（二）开展三大攻坚</w:t>
            </w:r>
          </w:p>
        </w:tc>
      </w:tr>
      <w:tr w14:paraId="6BBC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C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1.深入开展 2023 年邵阳市社会治理重点工作攻坚行动</w:t>
            </w:r>
          </w:p>
        </w:tc>
      </w:tr>
      <w:tr w14:paraId="1127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A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继续开展 2023 年绥宁县社会治理重点工作攻坚行动。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继续按照“一月一排查、一月一汇总、一月一通报、两月一调度、两月一督查、两月一督办”方式，县安委办牵头开展 2023 年绥宁县社会治理重点工作中的安全生产、道路交通安全和学生防溺水攻坚行动，有效防范遏制各类生产安全事故和非生产经营性安全事件。</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3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62B51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县教育局</w:t>
            </w:r>
          </w:p>
          <w:p w14:paraId="532D1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45CD7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县交警大队</w:t>
            </w:r>
          </w:p>
          <w:p w14:paraId="536DD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79DFD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C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16828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龙景星</w:t>
            </w:r>
          </w:p>
          <w:p w14:paraId="05483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3F589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龙开堂</w:t>
            </w:r>
          </w:p>
          <w:p w14:paraId="36109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A38A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76906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56F2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9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2.持续开展重点行业领域潜在安全风险隐患排查整治攻坚</w:t>
            </w:r>
          </w:p>
        </w:tc>
      </w:tr>
      <w:tr w14:paraId="1448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6F7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69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BA36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建筑领域专项整治(含自建房)。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深入推进建筑施工安全生产专项整治，突出深基坑、高支模、高边坡、起重机械等，房屋市政工程事故起数和死亡人数不超过省住建厅制定的事故控制指标；持续推进居民自建房专项整治，对已排查出来的问题隐患整改率100%。</w:t>
            </w:r>
          </w:p>
        </w:tc>
        <w:tc>
          <w:tcPr>
            <w:tcW w:w="3133" w:type="dxa"/>
            <w:tcBorders>
              <w:top w:val="single" w:color="000000" w:sz="4" w:space="0"/>
              <w:left w:val="single" w:color="000000" w:sz="4" w:space="0"/>
              <w:bottom w:val="single" w:color="auto" w:sz="4" w:space="0"/>
              <w:right w:val="single" w:color="000000" w:sz="4" w:space="0"/>
            </w:tcBorders>
            <w:shd w:val="clear" w:color="auto" w:fill="auto"/>
            <w:vAlign w:val="center"/>
          </w:tcPr>
          <w:p w14:paraId="331C5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县住房和城乡建设局</w:t>
            </w:r>
          </w:p>
          <w:p w14:paraId="48FBA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县居民自建房安全专项整治工</w:t>
            </w:r>
          </w:p>
          <w:p w14:paraId="1518C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作领导小组成员单位</w:t>
            </w:r>
          </w:p>
        </w:tc>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6D87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黄始伟</w:t>
            </w:r>
          </w:p>
          <w:p w14:paraId="76D11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县居民自建房安全</w:t>
            </w:r>
          </w:p>
          <w:p w14:paraId="79930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专项整治工作领导</w:t>
            </w:r>
          </w:p>
          <w:p w14:paraId="56A19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小组成员单位主要</w:t>
            </w:r>
          </w:p>
          <w:p w14:paraId="2480A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负责人</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FB2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杨昌盛</w:t>
            </w:r>
          </w:p>
        </w:tc>
      </w:tr>
      <w:tr w14:paraId="77A8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AF1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auto" w:sz="4" w:space="0"/>
              <w:right w:val="single" w:color="000000" w:sz="4" w:space="0"/>
            </w:tcBorders>
            <w:shd w:val="clear" w:color="auto" w:fill="auto"/>
            <w:vAlign w:val="center"/>
          </w:tcPr>
          <w:p w14:paraId="4D1FF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auto" w:sz="4" w:space="0"/>
              <w:right w:val="single" w:color="000000" w:sz="4" w:space="0"/>
            </w:tcBorders>
            <w:shd w:val="clear" w:color="auto" w:fill="auto"/>
            <w:vAlign w:val="center"/>
          </w:tcPr>
          <w:p w14:paraId="25D30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0F4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7BC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68ECE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6F09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00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6993" w:type="dxa"/>
            <w:tcBorders>
              <w:top w:val="single" w:color="auto" w:sz="4" w:space="0"/>
              <w:left w:val="single" w:color="auto" w:sz="4" w:space="0"/>
              <w:bottom w:val="single" w:color="auto" w:sz="4" w:space="0"/>
              <w:right w:val="single" w:color="auto" w:sz="4" w:space="0"/>
            </w:tcBorders>
            <w:shd w:val="clear" w:color="auto" w:fill="auto"/>
            <w:vAlign w:val="center"/>
          </w:tcPr>
          <w:p w14:paraId="330E2B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消防和人员密集场所专项整治。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消防和人员密集场所专项整治。深入推进、持续巩固冬春消防安全专项整治，高层建筑、大型商业综合体、厂房仓储、劳动密集型企业等高风险场所专项整治，持续开展经营性自建房、群租房“多合一”、连片民宿客栈等低设防区域专项排查，违规使用醇基燃料、电动自行车进楼入户、堵塞消防车通道等问题隐患专项治理。对商场、医院、养老院、学校、幼儿园等人员密集场所和高层建筑封堵安全出口、疏散通道的，确保100％限期整改到位。</w:t>
            </w:r>
          </w:p>
        </w:tc>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14:paraId="029C5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县消防救援大队</w:t>
            </w:r>
          </w:p>
          <w:p w14:paraId="0335D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县消安委相关成员单位</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14:paraId="4666A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佘梁辉</w:t>
            </w:r>
          </w:p>
          <w:p w14:paraId="5CB67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县消安委相关成员</w:t>
            </w:r>
          </w:p>
          <w:p w14:paraId="7E931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单位主要负责人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DC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2CA7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7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524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699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A0D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燃气安全专项整治。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推进城市燃气管道老化更新改造，积极争取中央预算内资金，2023年年底前县城区结合老旧小区改造燃气管道2.28公里，盘管1.67公里，立管9.66公里。</w:t>
            </w:r>
          </w:p>
        </w:tc>
        <w:tc>
          <w:tcPr>
            <w:tcW w:w="3133" w:type="dxa"/>
            <w:tcBorders>
              <w:top w:val="single" w:color="auto" w:sz="4" w:space="0"/>
              <w:left w:val="single" w:color="000000" w:sz="4" w:space="0"/>
              <w:bottom w:val="single" w:color="000000" w:sz="4" w:space="0"/>
              <w:right w:val="single" w:color="000000" w:sz="4" w:space="0"/>
            </w:tcBorders>
            <w:shd w:val="clear" w:color="auto" w:fill="auto"/>
            <w:vAlign w:val="center"/>
          </w:tcPr>
          <w:p w14:paraId="4CC18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县城市管理和综合执法局</w:t>
            </w:r>
          </w:p>
          <w:p w14:paraId="7026A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p w14:paraId="30E2E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县住房和城乡建设局</w:t>
            </w:r>
          </w:p>
        </w:tc>
        <w:tc>
          <w:tcPr>
            <w:tcW w:w="2015" w:type="dxa"/>
            <w:tcBorders>
              <w:top w:val="single" w:color="auto" w:sz="4" w:space="0"/>
              <w:left w:val="single" w:color="000000" w:sz="4" w:space="0"/>
              <w:bottom w:val="single" w:color="000000" w:sz="4" w:space="0"/>
              <w:right w:val="single" w:color="000000" w:sz="4" w:space="0"/>
            </w:tcBorders>
            <w:shd w:val="clear" w:color="auto" w:fill="auto"/>
            <w:vAlign w:val="center"/>
          </w:tcPr>
          <w:p w14:paraId="1D304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颜永福</w:t>
            </w:r>
          </w:p>
          <w:p w14:paraId="0E00B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02FCF0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黄始伟</w:t>
            </w:r>
          </w:p>
        </w:tc>
        <w:tc>
          <w:tcPr>
            <w:tcW w:w="11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E55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杨昌盛</w:t>
            </w:r>
          </w:p>
        </w:tc>
      </w:tr>
      <w:tr w14:paraId="66C4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76" w:type="dxa"/>
            <w:tcBorders>
              <w:top w:val="nil"/>
              <w:left w:val="single" w:color="000000" w:sz="4" w:space="0"/>
              <w:bottom w:val="single" w:color="auto" w:sz="4" w:space="0"/>
              <w:right w:val="single" w:color="000000" w:sz="4" w:space="0"/>
            </w:tcBorders>
            <w:shd w:val="clear" w:color="auto" w:fill="auto"/>
            <w:noWrap/>
            <w:vAlign w:val="center"/>
          </w:tcPr>
          <w:p w14:paraId="3DA79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6993" w:type="dxa"/>
            <w:tcBorders>
              <w:top w:val="nil"/>
              <w:left w:val="single" w:color="000000" w:sz="4" w:space="0"/>
              <w:bottom w:val="single" w:color="auto" w:sz="4" w:space="0"/>
              <w:right w:val="single" w:color="000000" w:sz="4" w:space="0"/>
            </w:tcBorders>
            <w:shd w:val="clear" w:color="auto" w:fill="auto"/>
            <w:vAlign w:val="center"/>
          </w:tcPr>
          <w:p w14:paraId="42BC0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危险化学品专项整治。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强化监管执法，严厉打击非法违法生产。组织开展两轮"消地协作"重大危险源联合督导检查，企业对标自查率100%、积极配合参加市交叉执法检查，厦盖率100%。组织对涉及氯化、重氮化、氟化、过氧化等危险化工工艺企业开展专家指导服务及“回头看”，“一企一策"问题整改率100%。推进大型油气储存基地气体检测、紧急切断、视频监控、雷电预警“四个系统”建设达标率100%。 推动精细化工企业反应安全风险评估、自动化控制装备改造、从业人员学历资质达标、人员密集场所搬迁改造“四项清零”100%达标。</w:t>
            </w:r>
          </w:p>
        </w:tc>
        <w:tc>
          <w:tcPr>
            <w:tcW w:w="3133" w:type="dxa"/>
            <w:tcBorders>
              <w:top w:val="nil"/>
              <w:left w:val="single" w:color="000000" w:sz="4" w:space="0"/>
              <w:bottom w:val="single" w:color="auto" w:sz="4" w:space="0"/>
              <w:right w:val="single" w:color="000000" w:sz="4" w:space="0"/>
            </w:tcBorders>
            <w:shd w:val="clear" w:color="auto" w:fill="auto"/>
            <w:vAlign w:val="center"/>
          </w:tcPr>
          <w:p w14:paraId="411BF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056AD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县消防救援大队</w:t>
            </w:r>
          </w:p>
          <w:p w14:paraId="4C728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县人力资源和社会保障局</w:t>
            </w:r>
          </w:p>
        </w:tc>
        <w:tc>
          <w:tcPr>
            <w:tcW w:w="2015" w:type="dxa"/>
            <w:tcBorders>
              <w:top w:val="nil"/>
              <w:left w:val="single" w:color="000000" w:sz="4" w:space="0"/>
              <w:bottom w:val="single" w:color="auto" w:sz="4" w:space="0"/>
              <w:right w:val="single" w:color="000000" w:sz="4" w:space="0"/>
            </w:tcBorders>
            <w:shd w:val="clear" w:color="auto" w:fill="auto"/>
            <w:vAlign w:val="center"/>
          </w:tcPr>
          <w:p w14:paraId="10617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5343E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佘梁辉</w:t>
            </w:r>
          </w:p>
          <w:p w14:paraId="5AE11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袁光平</w:t>
            </w:r>
          </w:p>
        </w:tc>
        <w:tc>
          <w:tcPr>
            <w:tcW w:w="1140" w:type="dxa"/>
            <w:tcBorders>
              <w:top w:val="nil"/>
              <w:left w:val="single" w:color="000000" w:sz="4" w:space="0"/>
              <w:bottom w:val="single" w:color="auto" w:sz="4" w:space="0"/>
              <w:right w:val="single" w:color="000000" w:sz="4" w:space="0"/>
            </w:tcBorders>
            <w:shd w:val="clear" w:color="auto" w:fill="auto"/>
            <w:noWrap/>
            <w:vAlign w:val="center"/>
          </w:tcPr>
          <w:p w14:paraId="3646F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55FF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1D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auto" w:sz="4" w:space="0"/>
              <w:left w:val="single" w:color="auto" w:sz="4" w:space="0"/>
              <w:bottom w:val="single" w:color="auto" w:sz="4" w:space="0"/>
              <w:right w:val="single" w:color="auto" w:sz="4" w:space="0"/>
            </w:tcBorders>
            <w:shd w:val="clear" w:color="auto" w:fill="auto"/>
            <w:vAlign w:val="center"/>
          </w:tcPr>
          <w:p w14:paraId="22934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14:paraId="2926E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14:paraId="5ACFA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A8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7A293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7ADC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7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BB9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6993" w:type="dxa"/>
            <w:tcBorders>
              <w:top w:val="single" w:color="auto" w:sz="4" w:space="0"/>
              <w:left w:val="single" w:color="000000" w:sz="4" w:space="0"/>
              <w:bottom w:val="single" w:color="000000" w:sz="4" w:space="0"/>
              <w:right w:val="single" w:color="000000" w:sz="4" w:space="0"/>
            </w:tcBorders>
            <w:shd w:val="clear" w:color="auto" w:fill="auto"/>
            <w:vAlign w:val="center"/>
          </w:tcPr>
          <w:p w14:paraId="06F42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烟花爆竹安全专项整治。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坚决整治批发企业“六严禁”落实率100%，零售店“下店上宅、前店后宅”关闭取缔率100%。批发企业100%建立双重预防机制。对非法生产、经营、储存、运输、燃放烟花爆竹行为，坚持露头就打。</w:t>
            </w:r>
          </w:p>
        </w:tc>
        <w:tc>
          <w:tcPr>
            <w:tcW w:w="3133" w:type="dxa"/>
            <w:tcBorders>
              <w:top w:val="single" w:color="auto" w:sz="4" w:space="0"/>
              <w:left w:val="single" w:color="000000" w:sz="4" w:space="0"/>
              <w:bottom w:val="single" w:color="000000" w:sz="4" w:space="0"/>
              <w:right w:val="single" w:color="000000" w:sz="4" w:space="0"/>
            </w:tcBorders>
            <w:shd w:val="clear" w:color="auto" w:fill="auto"/>
            <w:vAlign w:val="center"/>
          </w:tcPr>
          <w:p w14:paraId="48FDC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4C064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县公安局</w:t>
            </w:r>
          </w:p>
          <w:p w14:paraId="1D58B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20807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县市场监督管理局</w:t>
            </w:r>
          </w:p>
          <w:p w14:paraId="665AA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县邮政公司</w:t>
            </w:r>
          </w:p>
        </w:tc>
        <w:tc>
          <w:tcPr>
            <w:tcW w:w="20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240D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460C3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  彬</w:t>
            </w:r>
          </w:p>
          <w:p w14:paraId="32D93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6598C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向祖金</w:t>
            </w:r>
          </w:p>
          <w:p w14:paraId="55EF1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陈志剑</w:t>
            </w:r>
          </w:p>
        </w:tc>
        <w:tc>
          <w:tcPr>
            <w:tcW w:w="11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848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4DEC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B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3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非煤矿山安全专项整治。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紧盯水害等重大风险，落实瓦斯水害“双三十条”:盯紧看牢尾矿库特别是头顶库，加强监测和巡查，及时排查管控风险隐患。严格监管执法，推动矿山企业全面建立并严格落实双重预防机制。正常生产的非煤地下矿山100%配备五职矿长，没有条件配备的必须委托科研技术机构提供技术服务。建立矿山重大风险与重大隐患清单，坚持一单四制推动重大隐患清零。</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0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71B48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县自然资源局</w:t>
            </w:r>
          </w:p>
          <w:p w14:paraId="19474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县财政局</w:t>
            </w:r>
          </w:p>
          <w:p w14:paraId="30EAB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县公安局</w:t>
            </w:r>
          </w:p>
          <w:p w14:paraId="3FBE9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p w14:paraId="3631B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长铺子乡、金屋塘镇人民政府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1AB01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丁再荣</w:t>
            </w:r>
          </w:p>
          <w:p w14:paraId="1AF10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罗  兴</w:t>
            </w:r>
          </w:p>
          <w:p w14:paraId="6333D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  彬</w:t>
            </w:r>
          </w:p>
          <w:p w14:paraId="418A9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3823B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  巍</w:t>
            </w:r>
          </w:p>
          <w:p w14:paraId="70CBE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曾国栋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8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3B4B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道路交通安全专项整治。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持续推进交通问题顽瘴痼疾整治。深入推进公路安全“生命防护工程”和农村公路平交路口“千灯万带”示范工程，集中治理事故多发、长下坡、急弯陡坡、 穿村过镇等风险点段，全面落实临水临崖、急弯陡坡等险要路段 “三必上”和平交路口“五必上”；加强“两客一危”车辆智能监控，不停车治超以及水上视频监控；凡新建、改建、扩建、大修、水运工程，必须落实安保工程“三同时”制度；加强路政巡查和路产巡查力度，坚决清理公路和公路用地范围内堆放物、非法非公路标志；加快推进城乡客运一体化创建和农村客货邮融合发展；加强道路风险隐患治理，加强低速电动车、变型拖拉机、“大吨小标”等非法非标车辆源头治理，加强落实道路运输车辆及校车动态监督管理；依法查处超速、超员、疲劳驾驶、非法营运、非法载人和货车超限超载非法改装、拖拉机逾期未检验未报废等违法违规行为;全面推进“路长制”责任落实，加强“两站两员”队伍建设，深入推进农村道路“一灯一带”建设和交通科技应用。</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50D6A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县交警大队</w:t>
            </w:r>
          </w:p>
          <w:p w14:paraId="50A28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县公路建设养护中心</w:t>
            </w:r>
          </w:p>
          <w:p w14:paraId="33EE0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县交安委成员单位</w:t>
            </w:r>
          </w:p>
          <w:p w14:paraId="2FCBF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县道安委成员单位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542D3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龙开堂</w:t>
            </w:r>
          </w:p>
          <w:p w14:paraId="501DC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黄革平</w:t>
            </w:r>
          </w:p>
          <w:p w14:paraId="35501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县交安委成员单位</w:t>
            </w:r>
          </w:p>
          <w:p w14:paraId="66DB3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主要负责人</w:t>
            </w:r>
          </w:p>
          <w:p w14:paraId="29DE1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县道安委成员单位</w:t>
            </w:r>
          </w:p>
          <w:p w14:paraId="02A48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主要负责人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6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黄先伟</w:t>
            </w:r>
          </w:p>
          <w:p w14:paraId="68205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黎  军</w:t>
            </w:r>
          </w:p>
        </w:tc>
      </w:tr>
      <w:tr w14:paraId="341E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A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F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5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D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5B2BE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7C67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3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D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工贸企业安全专项整治。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面启动涉爆粉尘企业重大事故隐患“清零”回头看行动，确保重大事故隐患100%“清零”。推进工贸行业双重预防机制建设，年底前规模以上工贸企业100%完成建设。全面启动工贸监管信息化应用，四季度前100%规模以上工贸企业使用系统。严格安全设施“三同时”手续，所有入园新建企业100%做到安全设施“三同时”要求。加强工贸安全监管人员能力培训，新调整人员培训率100%。严格监管执法，推动工贸系统全面完成执法计划。</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75565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p w14:paraId="24232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县商务局</w:t>
            </w:r>
          </w:p>
          <w:p w14:paraId="11F07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县消防救援大队</w:t>
            </w:r>
          </w:p>
          <w:p w14:paraId="42752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D91A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43AA4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0C0CA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徐邦东</w:t>
            </w:r>
          </w:p>
          <w:p w14:paraId="04D61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佘梁辉</w:t>
            </w:r>
          </w:p>
          <w:p w14:paraId="7E5CA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63C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B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31D9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A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C5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危险废物及辐射安全专项整治。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合县人民检察院、县公安局开展严厉打击危险废物环境违法犯罪和重点排污单位自动检测数据弄虚作假违法犯罪的专项行动，依法严厉打击非法排放、倾倒、收集、贮存、转移、利用、处置危险废物和重点排污单位污染物排放自动检测数据弄虚作假等环境违法犯罪行为。</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D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市生态环境局绥宁分局</w:t>
            </w:r>
          </w:p>
          <w:p w14:paraId="24851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县公安局</w:t>
            </w:r>
          </w:p>
          <w:p w14:paraId="79240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E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袁惠雄</w:t>
            </w:r>
          </w:p>
          <w:p w14:paraId="76776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  彬</w:t>
            </w:r>
          </w:p>
          <w:p w14:paraId="09F6A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8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杨昌盛</w:t>
            </w:r>
          </w:p>
        </w:tc>
      </w:tr>
      <w:tr w14:paraId="7950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4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4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特种设备安全专项整治。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突出气瓶、客运索道、大型游乐设施、电站锅炉、压力容器、压力管道、观光电梯等重点设备，强化检测检验和执法检查，严厉打击非法生产、经营、充装行为。</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县市场监督管理局</w:t>
            </w:r>
          </w:p>
          <w:p w14:paraId="762A5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县发展和改革局</w:t>
            </w:r>
          </w:p>
          <w:p w14:paraId="16417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县文化旅游广电体育局</w:t>
            </w:r>
          </w:p>
          <w:p w14:paraId="56DCC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1BD69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县城市管理和综合执法局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9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向祖金</w:t>
            </w:r>
          </w:p>
          <w:p w14:paraId="0A07A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2AB28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苏仁华</w:t>
            </w:r>
          </w:p>
          <w:p w14:paraId="74175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575BC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颜永福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黄文勇</w:t>
            </w:r>
          </w:p>
        </w:tc>
      </w:tr>
      <w:tr w14:paraId="0328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7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0E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能源安全专项整治。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加强电力、新能源、天然气长输管道安全监管，杜绝较大以上电力人身伤亡责任事故，不发生因监管不力造成的油气管道损坏事故。</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2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65FF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1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文化体育旅游安全专项整治。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严查无照经营、无证上岗、未经许可经营文化娱乐、旅行社业务、高危险性体育项目等非法经营活动；加强旅行社旅游租车管理，对旅行社旅游包车合同开展专项清查达到100%。加强对高风险旅游体育项目的安全监管，严防踩踏、高坠、翻车等事故发生。加强公共文化体育场馆的安全监督管理，严防消防安全等事故发生。</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县文化旅游广电体育局</w:t>
            </w:r>
          </w:p>
          <w:p w14:paraId="2FEBB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63ED3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县交警大队</w:t>
            </w:r>
          </w:p>
          <w:p w14:paraId="4C2E6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县市场监督管理局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苏仁华</w:t>
            </w:r>
          </w:p>
          <w:p w14:paraId="78AF65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6EBE1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龙开堂</w:t>
            </w:r>
          </w:p>
          <w:p w14:paraId="00391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向祖金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5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彭遵礼</w:t>
            </w:r>
          </w:p>
        </w:tc>
      </w:tr>
      <w:tr w14:paraId="72F1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A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1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F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F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63838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6770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B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D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学生安全专项整治。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加强中小学生安全教育，开展防溺水、校车安全、学校建筑安全专项整治。继续实现学生安全工作“零伤亡、零事故”目标，继续实现防溺水工作连续三年“双零”目标，坚决杜绝涉学涉生群死群伤责任事故发生，确保全县教育系统安全稳定。</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4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县教育局</w:t>
            </w:r>
          </w:p>
          <w:p w14:paraId="51D68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县交通运输局</w:t>
            </w:r>
          </w:p>
          <w:p w14:paraId="02F74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县住房和城乡建设局</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龙景星</w:t>
            </w:r>
          </w:p>
          <w:p w14:paraId="14439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陈又清</w:t>
            </w:r>
          </w:p>
          <w:p w14:paraId="49C1F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黄始伟</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周元彪</w:t>
            </w:r>
          </w:p>
        </w:tc>
      </w:tr>
      <w:tr w14:paraId="3AFC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C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C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自然灾害防治。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防汛抗旱及地灾方面:加强防汛抗旱与地灾防治:确保遇设计标准内洪水时，不溃一堤一垸、不垮一库一坝，保证重要城镇和交通干线安全；确保遇超标准洪水时，保证大中型水库、重点堤垸和重要交通干线安全；确保暴雨山洪和次生灾害发生时，避免群死群伤；确保遇中等程度干旱时，生活、生产和生态用水安全；确保遇严重干旱时，生活用水基本有保障。</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505BE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县农业农村水利局</w:t>
            </w:r>
          </w:p>
          <w:p w14:paraId="77D88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县自然资源局</w:t>
            </w:r>
          </w:p>
          <w:p w14:paraId="6F928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县防汛抗旱指挥部各成员单位</w:t>
            </w:r>
          </w:p>
          <w:p w14:paraId="71316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CBBA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14818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  彬</w:t>
            </w:r>
          </w:p>
          <w:p w14:paraId="31D22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丁再荣</w:t>
            </w:r>
          </w:p>
          <w:p w14:paraId="01AE3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县防汛抗旱指挥部</w:t>
            </w:r>
          </w:p>
          <w:p w14:paraId="32F2D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各成员单位主要</w:t>
            </w:r>
          </w:p>
          <w:p w14:paraId="719C3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负责人</w:t>
            </w:r>
          </w:p>
          <w:p w14:paraId="0CCC7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70771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3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梁恩雄</w:t>
            </w:r>
          </w:p>
        </w:tc>
      </w:tr>
      <w:tr w14:paraId="441B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9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B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森林防灭火。</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实现森林防灭火本质安全能力提升，全县自然保护区、国有林场等重点区域新建林火阻隔系统100公里以上；新增森林消防蓄水池50个、新增储水量3000立方米；县森林消防专业队伍建队率达到60％以上；森林火灾受害率控制在0.9‰以内；森林火灾数量同比去年减少30％以上。</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县应急管理局</w:t>
            </w:r>
          </w:p>
          <w:p w14:paraId="44929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县林业局</w:t>
            </w:r>
          </w:p>
          <w:p w14:paraId="5FAE6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县发展和改革局</w:t>
            </w:r>
          </w:p>
          <w:p w14:paraId="3D2F0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县财政局</w:t>
            </w:r>
          </w:p>
          <w:p w14:paraId="08429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县机关事务中心</w:t>
            </w:r>
          </w:p>
          <w:p w14:paraId="70519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C538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E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749AA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费立功</w:t>
            </w:r>
          </w:p>
          <w:p w14:paraId="0FFDA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唐友柏</w:t>
            </w:r>
          </w:p>
          <w:p w14:paraId="127A7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罗 兴</w:t>
            </w:r>
          </w:p>
          <w:p w14:paraId="3A7C4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杨武明</w:t>
            </w:r>
          </w:p>
          <w:p w14:paraId="41C25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2852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6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4163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E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F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防范一氧化碳中毒专项整治。</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织全覆盖、滚动式上门入户，集中开展安全用火、用电、用气和平安取暖“敲门行动”，逐户做好风险隐患排查和安全劝导；广泛宣传安全知识，开展违规用火用电取暖等安全隐患排查整治，发动居民安装设置逃生窗口，引导督促群众开窗烧炭、烧煤取暖，严防发生一氧化碳中毒窒息伤亡事故。</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w:t>
            </w:r>
          </w:p>
          <w:p w14:paraId="0D2DD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7164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3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各成员单位主要</w:t>
            </w:r>
          </w:p>
          <w:p w14:paraId="763A3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负责人</w:t>
            </w:r>
          </w:p>
          <w:p w14:paraId="57909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A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6B86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0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A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202DD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7766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6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其他行业领域。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业农村水利、商务、电力、仓储物流等行业领域主管单位要结合工作实际，针对安全生产薄弱环节和可能发生安全生产事故点位，继续深入开展隐患排查整治工作，明确打好安全生产提升仗指标，全面开展专项治理。</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5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各负有安全生产监督管理职责的单位</w:t>
            </w:r>
          </w:p>
          <w:p w14:paraId="44CD6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85DE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w:t>
            </w:r>
          </w:p>
          <w:p w14:paraId="69B41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负责人</w:t>
            </w:r>
          </w:p>
          <w:p w14:paraId="71AB9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县人民政府相关副县长</w:t>
            </w:r>
          </w:p>
        </w:tc>
      </w:tr>
      <w:tr w14:paraId="7A7A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3.集中开展安全生产领域打非治违攻坚</w:t>
            </w:r>
          </w:p>
        </w:tc>
      </w:tr>
      <w:tr w14:paraId="3E05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8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0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严格监管执法。</w:t>
            </w:r>
            <w:r>
              <w:rPr>
                <w:rStyle w:val="19"/>
                <w:color w:val="000000" w:themeColor="text1"/>
                <w:lang w:val="en-US" w:eastAsia="zh-CN" w:bidi="ar"/>
                <w14:textFill>
                  <w14:solidFill>
                    <w14:schemeClr w14:val="tx1"/>
                  </w14:solidFill>
                </w14:textFill>
              </w:rPr>
              <w:t>继续深化“强执法防事故”专项行动，持续开展行政执法考评，对各乡镇和负有安全监管职责的单位安全监管执法情况“每月一统计、两月一调度、每季一通报”。推动各级负有安全监管职责部门、行业管理部门采取交叉执法、联合执法、集中执法等形式，实行精准化执法检查、差异化动态监管，加强对本行业领域企业双重预防体系建设及落实情况的重点执法检查。理清分级分类监管权限，日常执法检查以乡镇为主，规模大、风险高、专业性强的企业由县级监管，既不多头重复执法也不将执法职责推到乡镇。</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县安委办</w:t>
            </w:r>
          </w:p>
          <w:p w14:paraId="54D39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县安委会相关成员单位</w:t>
            </w:r>
          </w:p>
          <w:p w14:paraId="1B87D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0A782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26F39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县安委会相关成员</w:t>
            </w:r>
          </w:p>
          <w:p w14:paraId="16EB9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单位主要负责人</w:t>
            </w:r>
          </w:p>
          <w:p w14:paraId="1A155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67AE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F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14AC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4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2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强力打非治违。</w:t>
            </w:r>
            <w:r>
              <w:rPr>
                <w:rStyle w:val="19"/>
                <w:color w:val="000000" w:themeColor="text1"/>
                <w:lang w:val="en-US" w:eastAsia="zh-CN" w:bidi="ar"/>
                <w14:textFill>
                  <w14:solidFill>
                    <w14:schemeClr w14:val="tx1"/>
                  </w14:solidFill>
                </w14:textFill>
              </w:rPr>
              <w:t>强化县乡两级政府的“打非”主体责任，坚决打击非法违法、违规违章生产经营建设行为，聚焦易引发事故的非法采矿窝点、道路运输非法营运、建筑无资质无许可施工、火工品违规储存运输等严重违法行为，加大查处和打击力度，落实行刑衔接，最大限度限制压缩违法违规行为的生存空间。</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7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县安委办</w:t>
            </w:r>
          </w:p>
          <w:p w14:paraId="67E55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县安委会相关成员单位</w:t>
            </w:r>
          </w:p>
          <w:p w14:paraId="7A07F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6126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E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唐则俭</w:t>
            </w:r>
          </w:p>
          <w:p w14:paraId="3D933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县安委会相关成员</w:t>
            </w:r>
          </w:p>
          <w:p w14:paraId="6B6CA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单位主要负责人</w:t>
            </w:r>
          </w:p>
          <w:p w14:paraId="0AC15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413B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7E9C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2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2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38682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559D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91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（三）实施三个建设</w:t>
            </w:r>
          </w:p>
        </w:tc>
      </w:tr>
      <w:tr w14:paraId="6D55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BD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1.强化实施宣传阵地建设</w:t>
            </w:r>
          </w:p>
        </w:tc>
      </w:tr>
      <w:tr w14:paraId="4C9E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82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筑牢人民防线。</w:t>
            </w:r>
            <w:r>
              <w:rPr>
                <w:rStyle w:val="19"/>
                <w:color w:val="000000" w:themeColor="text1"/>
                <w:lang w:val="en-US" w:eastAsia="zh-CN" w:bidi="ar"/>
                <w14:textFill>
                  <w14:solidFill>
                    <w14:schemeClr w14:val="tx1"/>
                  </w14:solidFill>
                </w14:textFill>
              </w:rPr>
              <w:t>结合“安全生产月”“开工第一课讲安全”、警示教育课等主题活动，大力推动安全宣传“五进”工作，进企业、进农村、进社区、进学校、进家庭，大力弘扬安全文化，努力构建多层次、立体化、常态化安全宣传新格局。充分利用电视、广播、报纸等传统媒体影响力，发挥微信公众号、网站等自有阵地作用，广泛宣传普及安全生产和应急处置有关内容，营造浓厚的安全生产社会氛围。</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4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2988F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7F7CA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25E01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5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04852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E83A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县人民政府各副县长</w:t>
            </w:r>
          </w:p>
        </w:tc>
      </w:tr>
      <w:tr w14:paraId="2957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强化基层网格安全宣传。</w:t>
            </w:r>
            <w:r>
              <w:rPr>
                <w:rStyle w:val="19"/>
                <w:color w:val="000000" w:themeColor="text1"/>
                <w:lang w:val="en-US" w:eastAsia="zh-CN" w:bidi="ar"/>
                <w14:textFill>
                  <w14:solidFill>
                    <w14:schemeClr w14:val="tx1"/>
                  </w14:solidFill>
                </w14:textFill>
              </w:rPr>
              <w:t>在高速路口、城乡结合处、人流密集场所树立安全广告牌，在重点企业周边、行政机关、企事业单位、村级服务中心公示栏等重点区域设立安全宣传栏目，移动宣传车、村村响广播定期播报安全知识，利用群众身边的宣传方式做好安全提醒警示，筑牢人民安全防线。畅通各类举报投诉渠道，加大举报奖励力度，鼓励人民群众和企业员工通过“12345”等方式举报安全生产非法违法行为和重大安全隐患，形成全社会参与支持、群防群治的氛围。</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8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12470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06707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3CB9F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1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1F588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72BE4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1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县人民政府各副县长</w:t>
            </w:r>
          </w:p>
        </w:tc>
      </w:tr>
      <w:tr w14:paraId="0193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5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4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集中开展“幸福敲门、安全到家”宣传行动。</w:t>
            </w:r>
            <w:r>
              <w:rPr>
                <w:rStyle w:val="19"/>
                <w:color w:val="000000" w:themeColor="text1"/>
                <w:lang w:val="en-US" w:eastAsia="zh-CN" w:bidi="ar"/>
                <w14:textFill>
                  <w14:solidFill>
                    <w14:schemeClr w14:val="tx1"/>
                  </w14:solidFill>
                </w14:textFill>
              </w:rPr>
              <w:t>组织党员干部、网格员、志愿者上门入户开展宣传，严格落实老弱病残等重点人群结对帮扶，定期开展安全生产院落会活动，提升人民群众安全意识，增强公众风险防范、安全应急意识和自救互救能力，从根本上减少安全事故发生。</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县安委会各成员单位</w:t>
            </w:r>
          </w:p>
          <w:p w14:paraId="11F63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7BB6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B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2B4BC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76E87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县人民政府各副县长</w:t>
            </w:r>
          </w:p>
        </w:tc>
      </w:tr>
      <w:tr w14:paraId="5233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9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9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C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633DE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19F7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EB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2.组织实施基层基础建设</w:t>
            </w:r>
          </w:p>
        </w:tc>
      </w:tr>
      <w:tr w14:paraId="31B3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D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2F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夯实基层基础。</w:t>
            </w:r>
            <w:r>
              <w:rPr>
                <w:rStyle w:val="19"/>
                <w:color w:val="000000" w:themeColor="text1"/>
                <w:lang w:val="en-US" w:eastAsia="zh-CN" w:bidi="ar"/>
                <w14:textFill>
                  <w14:solidFill>
                    <w14:schemeClr w14:val="tx1"/>
                  </w14:solidFill>
                </w14:textFill>
              </w:rPr>
              <w:t>加强基层应急救援、监管执法力量和信息员队伍建设，推动建立统一指挥、专兼结合、一队多能的应急管理、救援队伍。加强乡镇应急物资储备，指导督促每个乡镇）建立1个物资储备库，村（社区）设立应急物资储备点。完善细化乡镇应急预案，每年至少组织开展 1次综合应急演练，不断提高实战化水平。</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E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704C2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3AD5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8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5D30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强化乡镇属地责任。</w:t>
            </w:r>
            <w:r>
              <w:rPr>
                <w:rStyle w:val="19"/>
                <w:color w:val="000000" w:themeColor="text1"/>
                <w:lang w:val="en-US" w:eastAsia="zh-CN" w:bidi="ar"/>
                <w14:textFill>
                  <w14:solidFill>
                    <w14:schemeClr w14:val="tx1"/>
                  </w14:solidFill>
                </w14:textFill>
              </w:rPr>
              <w:t>指导乡镇对标对表制定党政干部应急管理责任清单，督促乡镇依法依规梳理和履行乡镇应急管理权、应急处置权、应急执法权等。推动乡镇整合相关议事协调机构，组建由党政主要负责人为主任的应急管理委员会，强化社会治安和应急管理办公室的职责，明确分管领导，落实专兼职工作人员。</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368FF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B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4BBE0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5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2D2F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2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加强村（社区）应急避险能力。</w:t>
            </w:r>
            <w:r>
              <w:rPr>
                <w:rStyle w:val="19"/>
                <w:color w:val="000000" w:themeColor="text1"/>
                <w:lang w:val="en-US" w:eastAsia="zh-CN" w:bidi="ar"/>
                <w14:textFill>
                  <w14:solidFill>
                    <w14:schemeClr w14:val="tx1"/>
                  </w14:solidFill>
                </w14:textFill>
              </w:rPr>
              <w:t>指导推动乡镇、村（社区）利用公园、绿地、休闲广场、学校操场、体育场（馆）等场所建立1个以上应急避难场所。推动和支持乡镇加强村（社区）应急管理网格员、信息员培训，指导村（社区）结合实际经常开展避险逃生、常态化应急疏散等演练，提高村（社区）应对灾害风险的组织能力。</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062E6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206E9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陵建华</w:t>
            </w:r>
          </w:p>
        </w:tc>
      </w:tr>
      <w:tr w14:paraId="72DC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F4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3.大力实施应急能力建设</w:t>
            </w:r>
          </w:p>
        </w:tc>
      </w:tr>
      <w:tr w14:paraId="5A74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推动科技兴安。</w:t>
            </w:r>
            <w:r>
              <w:rPr>
                <w:rStyle w:val="19"/>
                <w:color w:val="000000" w:themeColor="text1"/>
                <w:lang w:val="en-US" w:eastAsia="zh-CN" w:bidi="ar"/>
                <w14:textFill>
                  <w14:solidFill>
                    <w14:schemeClr w14:val="tx1"/>
                  </w14:solidFill>
                </w14:textFill>
              </w:rPr>
              <w:t>危险化学品重大危险源在线监测预警系统和多层大体量劳动密集型企业、公众聚集场所以及医院学校养老院等人员密集场所“智慧消防”建设应用，推广运用粉尘风险监测预警系统。在非煤矿山、危险化学品、烟花爆竹、森林火灾防控、消防救援、“两客一危”等方面推广现代技术装备应用，推动实现“机械化换人、自动化减人、智能化无人”。</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C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1722B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3FACF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E3205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8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63FC3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139B1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5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6CF17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4736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4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重点工作任务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3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主要责任单位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C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责任</w:t>
            </w:r>
          </w:p>
          <w:p w14:paraId="09EDE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领导</w:t>
            </w:r>
          </w:p>
        </w:tc>
      </w:tr>
      <w:tr w14:paraId="5F7A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D7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完善五级联动信息网络。</w:t>
            </w:r>
            <w:r>
              <w:rPr>
                <w:rStyle w:val="19"/>
                <w:color w:val="000000" w:themeColor="text1"/>
                <w:lang w:val="en-US" w:eastAsia="zh-CN" w:bidi="ar"/>
                <w14:textFill>
                  <w14:solidFill>
                    <w14:schemeClr w14:val="tx1"/>
                  </w14:solidFill>
                </w14:textFill>
              </w:rPr>
              <w:t>全县各乡镇、村（社区）全面实现视频会议系统横纵互通，做到平时能宣传、急时能预警、战时能指挥。落实《县乡两级应急指挥中心规范化建设指导意见》。进一步整合县直各部门信息，实现信息共享、协同会商机制，推动县乡两级指挥中心实现标准化、规范化、模块化、智能化建设；加快五级联动视频会商系统和370M无线窄带网建设，同时将全县高危企业拉入到全市应急指挥体系，提高全县应急能力。</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各负有安全生产监督管理职责的单位</w:t>
            </w:r>
          </w:p>
          <w:p w14:paraId="4657D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4D657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0724B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D35C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9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1CC1D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0BC9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E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7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加强应急预案管理。</w:t>
            </w:r>
            <w:r>
              <w:rPr>
                <w:rStyle w:val="19"/>
                <w:color w:val="000000" w:themeColor="text1"/>
                <w:lang w:val="en-US" w:eastAsia="zh-CN" w:bidi="ar"/>
                <w14:textFill>
                  <w14:solidFill>
                    <w14:schemeClr w14:val="tx1"/>
                  </w14:solidFill>
                </w14:textFill>
              </w:rPr>
              <w:t>督促负有安全生产监督管理职责的单位，对监管行业、领域的生产经营单位和下属部门的应急预案制定、应急预案演练、安全宣传培训教育、应急救援队伍准备、应急物资储备等情况进行检查，督导企业切实抓好生产安全应急预案的执行和实施。</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B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28261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24FD1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5FAB4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4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0CC41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05C2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047BA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r w14:paraId="4B5B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10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Style w:val="18"/>
                <w:color w:val="000000" w:themeColor="text1"/>
                <w:lang w:val="en-US" w:eastAsia="zh-CN" w:bidi="ar"/>
                <w14:textFill>
                  <w14:solidFill>
                    <w14:schemeClr w14:val="tx1"/>
                  </w14:solidFill>
                </w14:textFill>
              </w:rPr>
              <w:t>强化应急救援能力建设。</w:t>
            </w:r>
            <w:r>
              <w:rPr>
                <w:rStyle w:val="19"/>
                <w:color w:val="000000" w:themeColor="text1"/>
                <w:lang w:val="en-US" w:eastAsia="zh-CN" w:bidi="ar"/>
                <w14:textFill>
                  <w14:solidFill>
                    <w14:schemeClr w14:val="tx1"/>
                  </w14:solidFill>
                </w14:textFill>
              </w:rPr>
              <w:t>进一步健全完善应急联动机制，进一步深化与地方武装民兵联调联动，建立现场指挥、区域共享、协同联动等工作机制，加强力量统筹、任务统筹和行动统筹，实现规范调动、高效调动、精准调动。有力推动应急救援队伍建设，规范引导社会应急力量发展，各应急救援力量科学统筹和综合运用。认真组织实战化应急预案演练。</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各负有安全生产监督管理职责</w:t>
            </w:r>
          </w:p>
          <w:p w14:paraId="6C8DA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的单位</w:t>
            </w:r>
          </w:p>
          <w:p w14:paraId="3B127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各乡镇人民政府</w:t>
            </w:r>
          </w:p>
          <w:p w14:paraId="6A825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绥宁产业开发区管理委员会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各单位主要负责人</w:t>
            </w:r>
          </w:p>
          <w:p w14:paraId="5B760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各乡镇长</w:t>
            </w:r>
          </w:p>
          <w:p w14:paraId="35565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匡继辉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A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县人民</w:t>
            </w:r>
          </w:p>
          <w:p w14:paraId="4A7FA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政府各副县长</w:t>
            </w:r>
          </w:p>
        </w:tc>
      </w:tr>
    </w:tbl>
    <w:p w14:paraId="134BFA62">
      <w:pPr>
        <w:pStyle w:val="12"/>
        <w:ind w:left="0" w:leftChars="0" w:firstLine="0" w:firstLineChars="0"/>
        <w:rPr>
          <w:rFonts w:hint="eastAsia"/>
          <w:color w:val="000000" w:themeColor="text1"/>
          <w:lang w:eastAsia="zh-CN"/>
          <w14:textFill>
            <w14:solidFill>
              <w14:schemeClr w14:val="tx1"/>
            </w14:solidFill>
          </w14:textFill>
        </w:rPr>
        <w:sectPr>
          <w:pgSz w:w="16838" w:h="11906" w:orient="landscape"/>
          <w:pgMar w:top="1701" w:right="1440" w:bottom="1531" w:left="1440" w:header="851" w:footer="992" w:gutter="0"/>
          <w:cols w:space="425" w:num="1"/>
          <w:docGrid w:type="lines" w:linePitch="312" w:charSpace="0"/>
        </w:sectPr>
      </w:pPr>
    </w:p>
    <w:p w14:paraId="4FFE2D9B">
      <w:pPr>
        <w:keepNext w:val="0"/>
        <w:keepLines w:val="0"/>
        <w:pageBreakBefore w:val="0"/>
        <w:widowControl w:val="0"/>
        <w:kinsoku/>
        <w:wordWrap/>
        <w:overflowPunct/>
        <w:topLinePunct w:val="0"/>
        <w:autoSpaceDE/>
        <w:autoSpaceDN/>
        <w:bidi w:val="0"/>
        <w:snapToGrid w:val="0"/>
        <w:spacing w:line="560" w:lineRule="exact"/>
        <w:ind w:left="0" w:right="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eastAsia="zh-CN"/>
          <w14:textFill>
            <w14:solidFill>
              <w14:schemeClr w14:val="tx1"/>
            </w14:solidFill>
          </w14:textFill>
        </w:rPr>
        <w:t>附件</w:t>
      </w:r>
      <w:r>
        <w:rPr>
          <w:rFonts w:hint="eastAsia" w:ascii="黑体" w:hAnsi="黑体" w:eastAsia="黑体" w:cs="黑体"/>
          <w:b w:val="0"/>
          <w:bCs w:val="0"/>
          <w:color w:val="000000" w:themeColor="text1"/>
          <w:sz w:val="32"/>
          <w:szCs w:val="32"/>
          <w:lang w:val="en-US" w:eastAsia="zh-CN"/>
          <w14:textFill>
            <w14:solidFill>
              <w14:schemeClr w14:val="tx1"/>
            </w14:solidFill>
          </w14:textFill>
        </w:rPr>
        <w:t>6</w:t>
      </w:r>
    </w:p>
    <w:p w14:paraId="1E991297">
      <w:pPr>
        <w:keepNext w:val="0"/>
        <w:keepLines w:val="0"/>
        <w:pageBreakBefore w:val="0"/>
        <w:widowControl w:val="0"/>
        <w:kinsoku/>
        <w:wordWrap/>
        <w:overflowPunct/>
        <w:topLinePunct w:val="0"/>
        <w:autoSpaceDE/>
        <w:autoSpaceDN/>
        <w:bidi w:val="0"/>
        <w:snapToGrid w:val="0"/>
        <w:spacing w:line="560" w:lineRule="exact"/>
        <w:ind w:left="0" w:right="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年绥宁县</w:t>
      </w: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打好</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重点民生</w:t>
      </w: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保障仗工作</w:t>
      </w:r>
    </w:p>
    <w:p w14:paraId="08CDB547">
      <w:pPr>
        <w:keepNext w:val="0"/>
        <w:keepLines w:val="0"/>
        <w:pageBreakBefore w:val="0"/>
        <w:widowControl w:val="0"/>
        <w:kinsoku/>
        <w:wordWrap/>
        <w:overflowPunct/>
        <w:topLinePunct w:val="0"/>
        <w:autoSpaceDE/>
        <w:autoSpaceDN/>
        <w:bidi w:val="0"/>
        <w:snapToGrid w:val="0"/>
        <w:spacing w:line="560" w:lineRule="exact"/>
        <w:ind w:left="0" w:right="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实施方案</w:t>
      </w:r>
    </w:p>
    <w:p w14:paraId="3FDCA3FD">
      <w:pPr>
        <w:keepNext w:val="0"/>
        <w:keepLines w:val="0"/>
        <w:pageBreakBefore w:val="0"/>
        <w:widowControl w:val="0"/>
        <w:kinsoku/>
        <w:wordWrap/>
        <w:overflowPunct/>
        <w:topLinePunct w:val="0"/>
        <w:autoSpaceDE/>
        <w:autoSpaceDN/>
        <w:bidi w:val="0"/>
        <w:snapToGrid w:val="0"/>
        <w:spacing w:line="560" w:lineRule="exact"/>
        <w:ind w:left="0" w:right="0"/>
        <w:jc w:val="both"/>
        <w:textAlignment w:val="auto"/>
        <w:rPr>
          <w:rFonts w:ascii="宋体" w:hAnsi="宋体" w:eastAsia="仿宋" w:cs="仿宋"/>
          <w:color w:val="000000" w:themeColor="text1"/>
          <w:sz w:val="28"/>
          <w:szCs w:val="28"/>
          <w:highlight w:val="none"/>
          <w14:textFill>
            <w14:solidFill>
              <w14:schemeClr w14:val="tx1"/>
            </w14:solidFill>
          </w14:textFill>
        </w:rPr>
      </w:pPr>
    </w:p>
    <w:p w14:paraId="4530225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为</w:t>
      </w:r>
      <w:r>
        <w:rPr>
          <w:rFonts w:hint="eastAsia" w:ascii="仿宋" w:hAnsi="仿宋" w:eastAsia="仿宋" w:cs="仿宋"/>
          <w:color w:val="000000" w:themeColor="text1"/>
          <w:sz w:val="32"/>
          <w:szCs w:val="32"/>
          <w:highlight w:val="none"/>
          <w:lang w:val="en-US" w:eastAsia="zh-CN"/>
          <w14:textFill>
            <w14:solidFill>
              <w14:schemeClr w14:val="tx1"/>
            </w14:solidFill>
          </w14:textFill>
        </w:rPr>
        <w:t>全面贯彻党的二十大精神，认真落实习近平总书记对湖南重要讲话重要指示批示精神，坚持以人民为中心的发展思想，持续增进民生福祉，</w:t>
      </w:r>
      <w:r>
        <w:rPr>
          <w:rFonts w:hint="eastAsia" w:ascii="仿宋" w:hAnsi="仿宋" w:eastAsia="仿宋" w:cs="仿宋"/>
          <w:color w:val="000000" w:themeColor="text1"/>
          <w:sz w:val="32"/>
          <w:szCs w:val="32"/>
          <w:highlight w:val="none"/>
          <w14:textFill>
            <w14:solidFill>
              <w14:schemeClr w14:val="tx1"/>
            </w14:solidFill>
          </w14:textFill>
        </w:rPr>
        <w:t>确保全面完成20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年重点民生实事项目任务，根据《</w:t>
      </w:r>
      <w:r>
        <w:rPr>
          <w:rFonts w:hint="eastAsia" w:ascii="仿宋" w:hAnsi="仿宋" w:eastAsia="仿宋" w:cs="仿宋"/>
          <w:color w:val="000000" w:themeColor="text1"/>
          <w:sz w:val="32"/>
          <w:szCs w:val="32"/>
          <w:highlight w:val="none"/>
          <w:lang w:eastAsia="zh-CN"/>
          <w14:textFill>
            <w14:solidFill>
              <w14:schemeClr w14:val="tx1"/>
            </w14:solidFill>
          </w14:textFill>
        </w:rPr>
        <w:t>邵阳市人民政府办公室</w:t>
      </w:r>
      <w:r>
        <w:rPr>
          <w:rFonts w:hint="eastAsia" w:ascii="仿宋" w:hAnsi="仿宋" w:eastAsia="仿宋" w:cs="仿宋"/>
          <w:color w:val="000000" w:themeColor="text1"/>
          <w:sz w:val="32"/>
          <w:szCs w:val="32"/>
          <w:highlight w:val="none"/>
          <w14:textFill>
            <w14:solidFill>
              <w14:schemeClr w14:val="tx1"/>
            </w14:solidFill>
          </w14:textFill>
        </w:rPr>
        <w:t>关于印发&lt;</w:t>
      </w:r>
      <w:r>
        <w:rPr>
          <w:rFonts w:hint="eastAsia" w:ascii="仿宋" w:hAnsi="仿宋" w:eastAsia="仿宋" w:cs="仿宋"/>
          <w:color w:val="000000" w:themeColor="text1"/>
          <w:sz w:val="32"/>
          <w:szCs w:val="32"/>
          <w:highlight w:val="none"/>
          <w:lang w:eastAsia="zh-CN"/>
          <w14:textFill>
            <w14:solidFill>
              <w14:schemeClr w14:val="tx1"/>
            </w14:solidFill>
          </w14:textFill>
        </w:rPr>
        <w:t>邵阳市打好发展“六仗”总体方案</w:t>
      </w:r>
      <w:r>
        <w:rPr>
          <w:rFonts w:hint="eastAsia" w:ascii="仿宋" w:hAnsi="仿宋" w:eastAsia="仿宋" w:cs="仿宋"/>
          <w:color w:val="000000" w:themeColor="text1"/>
          <w:sz w:val="32"/>
          <w:szCs w:val="32"/>
          <w:highlight w:val="none"/>
          <w14:textFill>
            <w14:solidFill>
              <w14:schemeClr w14:val="tx1"/>
            </w14:solidFill>
          </w14:textFill>
        </w:rPr>
        <w:t>&gt;的通知》（</w:t>
      </w:r>
      <w:r>
        <w:rPr>
          <w:rFonts w:hint="eastAsia" w:ascii="仿宋" w:hAnsi="仿宋" w:eastAsia="仿宋" w:cs="仿宋"/>
          <w:color w:val="000000" w:themeColor="text1"/>
          <w:sz w:val="32"/>
          <w:szCs w:val="32"/>
          <w:highlight w:val="none"/>
          <w:lang w:eastAsia="zh-CN"/>
          <w14:textFill>
            <w14:solidFill>
              <w14:schemeClr w14:val="tx1"/>
            </w14:solidFill>
          </w14:textFill>
        </w:rPr>
        <w:t>邵市政</w:t>
      </w:r>
      <w:r>
        <w:rPr>
          <w:rFonts w:hint="eastAsia" w:ascii="仿宋" w:hAnsi="仿宋" w:eastAsia="仿宋" w:cs="仿宋"/>
          <w:color w:val="000000" w:themeColor="text1"/>
          <w:sz w:val="32"/>
          <w:szCs w:val="32"/>
          <w:highlight w:val="none"/>
          <w14:textFill>
            <w14:solidFill>
              <w14:schemeClr w14:val="tx1"/>
            </w14:solidFill>
          </w14:textFill>
        </w:rPr>
        <w:t>办发〔202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号）</w:t>
      </w:r>
      <w:r>
        <w:rPr>
          <w:rFonts w:hint="eastAsia" w:ascii="仿宋" w:hAnsi="仿宋" w:eastAsia="仿宋" w:cs="仿宋"/>
          <w:color w:val="000000" w:themeColor="text1"/>
          <w:sz w:val="32"/>
          <w:szCs w:val="32"/>
          <w:highlight w:val="none"/>
          <w:lang w:eastAsia="zh-CN"/>
          <w14:textFill>
            <w14:solidFill>
              <w14:schemeClr w14:val="tx1"/>
            </w14:solidFill>
          </w14:textFill>
        </w:rPr>
        <w:t>要求</w:t>
      </w:r>
      <w:r>
        <w:rPr>
          <w:rFonts w:hint="eastAsia" w:ascii="仿宋" w:hAnsi="仿宋" w:eastAsia="仿宋" w:cs="仿宋"/>
          <w:color w:val="000000" w:themeColor="text1"/>
          <w:sz w:val="32"/>
          <w:szCs w:val="32"/>
          <w:highlight w:val="none"/>
          <w14:textFill>
            <w14:solidFill>
              <w14:schemeClr w14:val="tx1"/>
            </w14:solidFill>
          </w14:textFill>
        </w:rPr>
        <w:t>，结合我县实际，制定本实施方案。</w:t>
      </w:r>
    </w:p>
    <w:p w14:paraId="12B51F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宋体" w:hAnsi="宋体" w:eastAsia="黑体" w:cs="黑体"/>
          <w:color w:val="000000" w:themeColor="text1"/>
          <w:sz w:val="32"/>
          <w:szCs w:val="32"/>
          <w:highlight w:val="none"/>
          <w:lang w:eastAsia="zh-CN"/>
          <w14:textFill>
            <w14:solidFill>
              <w14:schemeClr w14:val="tx1"/>
            </w14:solidFill>
          </w14:textFill>
        </w:rPr>
      </w:pPr>
      <w:r>
        <w:rPr>
          <w:rFonts w:hint="eastAsia" w:ascii="宋体" w:hAnsi="宋体" w:eastAsia="黑体" w:cs="黑体"/>
          <w:color w:val="000000" w:themeColor="text1"/>
          <w:sz w:val="32"/>
          <w:szCs w:val="32"/>
          <w:highlight w:val="none"/>
          <w:lang w:eastAsia="zh-CN"/>
          <w14:textFill>
            <w14:solidFill>
              <w14:schemeClr w14:val="tx1"/>
            </w14:solidFill>
          </w14:textFill>
        </w:rPr>
        <w:t>一、加强组织领导，成立工作专班</w:t>
      </w:r>
    </w:p>
    <w:p w14:paraId="40C7B4E5">
      <w:pPr>
        <w:pStyle w:val="12"/>
        <w:keepNext w:val="0"/>
        <w:keepLines w:val="0"/>
        <w:pageBreakBefore w:val="0"/>
        <w:widowControl w:val="0"/>
        <w:numPr>
          <w:ilvl w:val="0"/>
          <w:numId w:val="0"/>
        </w:numPr>
        <w:wordWrap/>
        <w:topLinePunct w:val="0"/>
        <w:bidi w:val="0"/>
        <w:spacing w:line="560" w:lineRule="exact"/>
        <w:ind w:firstLine="640" w:firstLineChars="200"/>
        <w:rPr>
          <w:rFonts w:hint="eastAsia" w:ascii="宋体" w:hAnsi="宋体" w:eastAsia="仿宋_GB2312" w:cs="仿宋_GB2312"/>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为了确保此项工作落到实处，成立绥宁县打好重点民生保障仗工作专班，县政府办副主任唐伯贫任召集人，县人力资源和社会保障局局长袁光平任副召集人，成员单位包括县教育局、县民政局、县财政局、县人力资源和社会保障局、市生态环境局绥宁分局、县住房和城乡建设局、县交通运输局、县公路建设养护中心、县农业农村水利局、县卫生健康局、县税务局、县统计局、县医疗保障局、县行政审批服务局、县城市管理和综合执法局、县妇联、县残联、县发展和改革局、县供电公司、县城投公司等。专班办公室设县人力资源和社会保障局，县人力资源和社会保障局党委委员、副局长袁敏洋任办公室主任，县人力资源和社会保障局办公室主任黄勇平任办公室副主任，县人力资源和社会保障局工会主席、办公室工作人员黄霁为联络员。</w:t>
      </w:r>
    </w:p>
    <w:p w14:paraId="76F186D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宋体" w:hAnsi="宋体" w:eastAsia="黑体" w:cs="黑体"/>
          <w:color w:val="000000" w:themeColor="text1"/>
          <w:sz w:val="32"/>
          <w:szCs w:val="32"/>
          <w:highlight w:val="none"/>
          <w:lang w:val="en-US" w:eastAsia="zh-CN"/>
          <w14:textFill>
            <w14:solidFill>
              <w14:schemeClr w14:val="tx1"/>
            </w14:solidFill>
          </w14:textFill>
        </w:rPr>
      </w:pPr>
      <w:r>
        <w:rPr>
          <w:rFonts w:hint="eastAsia" w:ascii="宋体" w:hAnsi="宋体" w:eastAsia="黑体" w:cs="黑体"/>
          <w:color w:val="000000" w:themeColor="text1"/>
          <w:sz w:val="32"/>
          <w:szCs w:val="32"/>
          <w:highlight w:val="none"/>
          <w:lang w:eastAsia="zh-CN"/>
          <w14:textFill>
            <w14:solidFill>
              <w14:schemeClr w14:val="tx1"/>
            </w14:solidFill>
          </w14:textFill>
        </w:rPr>
        <w:t>二</w:t>
      </w:r>
      <w:r>
        <w:rPr>
          <w:rFonts w:hint="eastAsia" w:ascii="宋体" w:hAnsi="宋体" w:eastAsia="黑体" w:cs="黑体"/>
          <w:color w:val="000000" w:themeColor="text1"/>
          <w:sz w:val="32"/>
          <w:szCs w:val="32"/>
          <w:highlight w:val="none"/>
          <w14:textFill>
            <w14:solidFill>
              <w14:schemeClr w14:val="tx1"/>
            </w14:solidFill>
          </w14:textFill>
        </w:rPr>
        <w:t>、指标任务</w:t>
      </w:r>
      <w:r>
        <w:rPr>
          <w:rFonts w:hint="eastAsia" w:ascii="宋体" w:hAnsi="宋体" w:eastAsia="黑体" w:cs="黑体"/>
          <w:color w:val="000000" w:themeColor="text1"/>
          <w:sz w:val="32"/>
          <w:szCs w:val="32"/>
          <w:highlight w:val="none"/>
          <w:lang w:val="en-US" w:eastAsia="zh-CN"/>
          <w14:textFill>
            <w14:solidFill>
              <w14:schemeClr w14:val="tx1"/>
            </w14:solidFill>
          </w14:textFill>
        </w:rPr>
        <w:t>和责任单位</w:t>
      </w:r>
    </w:p>
    <w:p w14:paraId="12D9A11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（一）</w:t>
      </w:r>
      <w:r>
        <w:rPr>
          <w:rFonts w:hint="eastAsia" w:ascii="楷体" w:hAnsi="楷体" w:eastAsia="楷体" w:cs="楷体"/>
          <w:b/>
          <w:bCs/>
          <w:color w:val="000000" w:themeColor="text1"/>
          <w:sz w:val="32"/>
          <w:szCs w:val="32"/>
          <w:highlight w:val="none"/>
          <w14:textFill>
            <w14:solidFill>
              <w14:schemeClr w14:val="tx1"/>
            </w14:solidFill>
          </w14:textFill>
        </w:rPr>
        <w:t>202</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3</w:t>
      </w:r>
      <w:r>
        <w:rPr>
          <w:rFonts w:hint="eastAsia" w:ascii="楷体" w:hAnsi="楷体" w:eastAsia="楷体" w:cs="楷体"/>
          <w:b/>
          <w:bCs/>
          <w:color w:val="000000" w:themeColor="text1"/>
          <w:sz w:val="32"/>
          <w:szCs w:val="32"/>
          <w:highlight w:val="none"/>
          <w14:textFill>
            <w14:solidFill>
              <w14:schemeClr w14:val="tx1"/>
            </w14:solidFill>
          </w14:textFill>
        </w:rPr>
        <w:t>年</w:t>
      </w:r>
      <w:r>
        <w:rPr>
          <w:rFonts w:hint="eastAsia" w:ascii="楷体" w:hAnsi="楷体" w:eastAsia="楷体" w:cs="楷体"/>
          <w:b/>
          <w:bCs/>
          <w:color w:val="000000" w:themeColor="text1"/>
          <w:sz w:val="32"/>
          <w:szCs w:val="32"/>
          <w:highlight w:val="none"/>
          <w:lang w:eastAsia="zh-CN"/>
          <w14:textFill>
            <w14:solidFill>
              <w14:schemeClr w14:val="tx1"/>
            </w14:solidFill>
          </w14:textFill>
        </w:rPr>
        <w:t>（省级）</w:t>
      </w:r>
      <w:r>
        <w:rPr>
          <w:rFonts w:hint="eastAsia" w:ascii="楷体" w:hAnsi="楷体" w:eastAsia="楷体" w:cs="楷体"/>
          <w:b/>
          <w:bCs/>
          <w:color w:val="000000" w:themeColor="text1"/>
          <w:sz w:val="32"/>
          <w:szCs w:val="32"/>
          <w:highlight w:val="none"/>
          <w14:textFill>
            <w14:solidFill>
              <w14:schemeClr w14:val="tx1"/>
            </w14:solidFill>
          </w14:textFill>
        </w:rPr>
        <w:t>全县重点民生实事项目共</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10</w:t>
      </w:r>
      <w:r>
        <w:rPr>
          <w:rFonts w:hint="eastAsia" w:ascii="楷体" w:hAnsi="楷体" w:eastAsia="楷体" w:cs="楷体"/>
          <w:b/>
          <w:bCs/>
          <w:color w:val="000000" w:themeColor="text1"/>
          <w:sz w:val="32"/>
          <w:szCs w:val="32"/>
          <w:highlight w:val="none"/>
          <w14:textFill>
            <w14:solidFill>
              <w14:schemeClr w14:val="tx1"/>
            </w14:solidFill>
          </w14:textFill>
        </w:rPr>
        <w:t>件</w:t>
      </w:r>
      <w:r>
        <w:rPr>
          <w:rFonts w:hint="eastAsia" w:ascii="楷体" w:hAnsi="楷体" w:eastAsia="楷体" w:cs="楷体"/>
          <w:b/>
          <w:bCs/>
          <w:color w:val="000000" w:themeColor="text1"/>
          <w:sz w:val="32"/>
          <w:szCs w:val="32"/>
          <w:highlight w:val="none"/>
          <w:lang w:eastAsia="zh-CN"/>
          <w14:textFill>
            <w14:solidFill>
              <w14:schemeClr w14:val="tx1"/>
            </w14:solidFill>
          </w14:textFill>
        </w:rPr>
        <w:t>。</w:t>
      </w:r>
    </w:p>
    <w:p w14:paraId="0675F9F9">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1.</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2023年争取</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启动建设县域普通高中“徐特立项目”。</w:t>
      </w:r>
      <w:r>
        <w:rPr>
          <w:rFonts w:hint="eastAsia" w:ascii="CESI仿宋-GB18030" w:hAnsi="CESI仿宋-GB18030" w:eastAsia="CESI仿宋-GB18030" w:cs="CESI仿宋-GB18030"/>
          <w:b w:val="0"/>
          <w:bCs w:val="0"/>
          <w:color w:val="000000" w:themeColor="text1"/>
          <w:spacing w:val="0"/>
          <w:kern w:val="0"/>
          <w:position w:val="0"/>
          <w:sz w:val="32"/>
          <w:szCs w:val="32"/>
          <w:highlight w:val="none"/>
          <w:shd w:val="clear" w:color="auto" w:fill="auto"/>
          <w14:textFill>
            <w14:solidFill>
              <w14:schemeClr w14:val="tx1"/>
            </w14:solidFill>
          </w14:textFill>
        </w:rPr>
        <w:t>2023</w:t>
      </w:r>
      <w:r>
        <w:rPr>
          <w:rFonts w:hint="eastAsia" w:ascii="仿宋" w:hAnsi="仿宋" w:eastAsia="仿宋" w:cs="仿宋"/>
          <w:color w:val="000000" w:themeColor="text1"/>
          <w:spacing w:val="-6"/>
          <w:kern w:val="2"/>
          <w:sz w:val="32"/>
          <w:szCs w:val="32"/>
          <w:highlight w:val="none"/>
          <w:lang w:val="en-US" w:eastAsia="zh-CN" w:bidi="ar-SA"/>
          <w14:textFill>
            <w14:solidFill>
              <w14:schemeClr w14:val="tx1"/>
            </w14:solidFill>
          </w14:textFill>
        </w:rPr>
        <w:t>年启动县域普通高中一校一栋建筑项目，计划一中新建科教楼；</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二中新建体育馆。适应生源增长，改善办学条件。具体任务数量以市里下达的文件分配数为准。(牵头单位：县教育局，责任单位：县财政局、县自</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然资源局</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、县住房和城乡建设局、县发展和改革局、县人力资源和社会保障局等)</w:t>
      </w:r>
    </w:p>
    <w:p w14:paraId="62958BD2">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eastAsia="zh-CN"/>
          <w14:textFill>
            <w14:solidFill>
              <w14:schemeClr w14:val="tx1"/>
            </w14:solidFill>
          </w14:textFill>
        </w:rPr>
        <w:t>2.完成“湘易办”超级服务端用户任务。</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确保上线服务事项达标，其中“一网通办”事项任务</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700项</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、集成可应用的电子证照种类</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60类</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和用户数</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13.4万人</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。(牵头单位：县行政审批服务局，责任单位：县财政局、各乡镇等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w:t>
      </w:r>
    </w:p>
    <w:p w14:paraId="23E377D7">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3</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.促进高质量充分就业。</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城镇新增就业</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3200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人；开展补贴</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性职业技能培</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1200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人次，创业培训</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600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人次。（牵头单位：县人力资源和社会保障局，责任单位：各乡镇）</w:t>
      </w:r>
    </w:p>
    <w:p w14:paraId="424378E1">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4.</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eastAsia="zh-CN"/>
          <w14:textFill>
            <w14:solidFill>
              <w14:schemeClr w14:val="tx1"/>
            </w14:solidFill>
          </w14:textFill>
        </w:rPr>
        <w:t>开</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展妇幼健康守护行动。</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完成</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1所</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级妇幼保健机构标准化建设(</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牵头单位：县卫生健康局，责任单位：县委组织部、县委编办、县财政局、县住房和城乡建设局等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)。农村适龄及城镇低保适龄妇</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女</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“两癌”免费检查</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6620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人。(</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妇联</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，责任单位：县财政局、县卫生健康局、县妇幼保健院等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p>
    <w:p w14:paraId="581D3BBE">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5.</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推行异地就医结算与基层医保代办服务。</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县区实现普通门诊异地结算二级以上定点医疗机构全覆盖；每个统筹区实现</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全部</w:t>
      </w:r>
      <w:r>
        <w:rPr>
          <w:rFonts w:hint="eastAsia" w:ascii="CESI仿宋-GB18030" w:hAnsi="CESI仿宋-GB18030" w:eastAsia="CESI仿宋-GB18030" w:cs="CESI仿宋-GB18030"/>
          <w:color w:val="000000" w:themeColor="text1"/>
          <w:spacing w:val="-6"/>
          <w:kern w:val="0"/>
          <w:position w:val="0"/>
          <w:sz w:val="32"/>
          <w:szCs w:val="32"/>
          <w:highlight w:val="none"/>
          <w:u w:val="none"/>
          <w:shd w:val="clear" w:color="auto" w:fill="auto"/>
          <w:lang w:val="en-US" w:eastAsia="zh-CN"/>
          <w14:textFill>
            <w14:solidFill>
              <w14:schemeClr w14:val="tx1"/>
            </w14:solidFill>
          </w14:textFill>
        </w:rPr>
        <w:t>43</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个门诊慢特病治疗费用省内异地直接结算；实现乡(镇)</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、村(社区)医保参保登记、信息查询及变更、异地就医备案等经办服务事项直办或帮代办全覆盖。(</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牵头单位：县医保局，责任单位：县卫生健康局、各医院、相关乡镇等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p>
    <w:p w14:paraId="2DA2E4B7">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6.提升基本养老服务水平。</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完成</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家庭养老床位建设任务150户。（牵头单位：县民政局，责任单位：县发展和改革局、县财政局、相关乡镇等）</w:t>
      </w:r>
    </w:p>
    <w:p w14:paraId="12D49AFC">
      <w:pPr>
        <w:keepNext w:val="0"/>
        <w:keepLines w:val="0"/>
        <w:pageBreakBefore w:val="0"/>
        <w:widowControl w:val="0"/>
        <w:tabs>
          <w:tab w:val="left" w:pos="1194"/>
        </w:tabs>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7.提高困难群体救助标准。</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提高城乡低保标准。城市低保标准从不低于600元每月提高到不低于650元/月，农村低保标准从不低于4600元/年提高到不低于5000元/年。提高残疾人“两项补贴”标准。困难残疾人生活补贴彻重度残疾人护理补贴标准分别从不低于75元/月·人提高到不低于80元/月·人。提高孤儿和事实无人抚养儿童基本生活最低保障标准。散居孤儿从950元/月提高到1100元/月，集中养育从1350元/月提高到1500</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元/月。(</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牵头单位：县民政局，责任单位：县财政局、县残联等</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w:t>
      </w:r>
    </w:p>
    <w:p w14:paraId="6D0332BA">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8.开展残疾人关爱服务</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。康复救助残疾儿童</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54</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人；完成</w:t>
      </w:r>
      <w:r>
        <w:rPr>
          <w:rFonts w:hint="eastAsia" w:ascii="CESI仿宋-GB18030" w:hAnsi="CESI仿宋-GB18030" w:eastAsia="CESI仿宋-GB18030" w:cs="CESI仿宋-GB18030"/>
          <w:color w:val="000000" w:themeColor="text1"/>
          <w:spacing w:val="0"/>
          <w:kern w:val="0"/>
          <w:position w:val="0"/>
          <w:sz w:val="32"/>
          <w:szCs w:val="32"/>
          <w:highlight w:val="none"/>
          <w:u w:val="none"/>
          <w:shd w:val="clear" w:color="auto" w:fill="auto"/>
          <w:lang w:val="en-US" w:eastAsia="zh-CN"/>
          <w14:textFill>
            <w14:solidFill>
              <w14:schemeClr w14:val="tx1"/>
            </w14:solidFill>
          </w14:textFill>
        </w:rPr>
        <w:t>100</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户困难残疾人家庭无障碍改造。(</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牵头单位：县残联，责任单位</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：县财政局、县教育局、县民政局、县医疗保障局、相关乡镇等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p>
    <w:p w14:paraId="1611082A">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9.加快城镇老旧小区改造。</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开工改造</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个城镇老旧小区。</w:t>
      </w:r>
    </w:p>
    <w:p w14:paraId="471336B2">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pP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牵头单位：县住房和城乡建设局，责任单位：县发展和改革局</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、县民政局、</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县自然资源局、</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县财政局、县移动公司、县电信公司、县联通公司、县供电公司等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实行城镇住宅小区居民“一户</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一</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表”改造接收。(牵头</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单位：县供电公司，责任单位：县财政局、相关乡镇等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p>
    <w:p w14:paraId="384A7CC9">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60" w:lineRule="exact"/>
        <w:ind w:right="0" w:rightChars="0" w:firstLine="643" w:firstLineChars="200"/>
        <w:jc w:val="both"/>
        <w:textAlignment w:val="baseline"/>
        <w:outlineLvl w:val="9"/>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10.</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14:textFill>
            <w14:solidFill>
              <w14:schemeClr w14:val="tx1"/>
            </w14:solidFill>
          </w14:textFill>
        </w:rPr>
        <w:t>加强农村“三路”、“两网”及灌溉、饮水建设。</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农村“三路”建设。农村公路提质改造</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34</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公里；建设农村公路安防设施</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50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公里；普通国省道安防精细化提升</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11</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公里。(</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牵头单位：县交通运输局、县公路建设养护中心，责任单位：县发展和改革局、县财政局、县自然资源局、县农业农村水利局、相关乡镇等。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)农村电网巩固提升工程。提升农村地区110千伏、35千伏、10千伏及以下电网供电能力。(</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牵头单位：县供电公司，责任单位：县发展和改革局、县财政局、相关乡镇等。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)乡村信息化网络建设。加快农村新型基础设施建设，推动行政村5G网</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络和千兆光纤网络覆盖</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，新增基站</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val="en-US" w:eastAsia="zh-CN"/>
          <w14:textFill>
            <w14:solidFill>
              <w14:schemeClr w14:val="tx1"/>
            </w14:solidFill>
          </w14:textFill>
        </w:rPr>
        <w:t>75个、</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千兆光纤端口</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val="en-US" w:eastAsia="zh-CN"/>
          <w14:textFill>
            <w14:solidFill>
              <w14:schemeClr w14:val="tx1"/>
            </w14:solidFill>
          </w14:textFill>
        </w:rPr>
        <w:t>9521</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个</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深化</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121个20</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户以上自然村4G网络覆盖；积极拓展农村地区宽带业务</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val="en-US" w:eastAsia="zh-CN"/>
          <w14:textFill>
            <w14:solidFill>
              <w14:schemeClr w14:val="tx1"/>
            </w14:solidFill>
          </w14:textFill>
        </w:rPr>
        <w:t>3924项</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，高效服务数字乡村信息应用。(牵头</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单位：县发展和改革局，责任单位：县财政局、县移动公司、县电信公司、县联通公司等</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14:textFill>
            <w14:solidFill>
              <w14:schemeClr w14:val="tx1"/>
            </w14:solidFill>
          </w14:textFill>
        </w:rPr>
        <w:t>农村水源保障及灌溉能力提升。</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新增蓄水能力</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val="en-US" w:eastAsia="zh-CN"/>
          <w14:textFill>
            <w14:solidFill>
              <w14:schemeClr w14:val="tx1"/>
            </w14:solidFill>
          </w14:textFill>
        </w:rPr>
        <w:t>5</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万方；恢复和改善灌溉面积</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val="en-US" w:eastAsia="zh-CN"/>
          <w14:textFill>
            <w14:solidFill>
              <w14:schemeClr w14:val="tx1"/>
            </w14:solidFill>
          </w14:textFill>
        </w:rPr>
        <w:t>3500</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14:textFill>
            <w14:solidFill>
              <w14:schemeClr w14:val="tx1"/>
            </w14:solidFill>
          </w14:textFill>
        </w:rPr>
        <w:t>亩。(</w:t>
      </w:r>
      <w:r>
        <w:rPr>
          <w:rFonts w:hint="eastAsia" w:ascii="CESI仿宋-GB18030" w:hAnsi="CESI仿宋-GB18030" w:eastAsia="CESI仿宋-GB18030" w:cs="CESI仿宋-GB18030"/>
          <w:color w:val="000000" w:themeColor="text1"/>
          <w:spacing w:val="-6"/>
          <w:kern w:val="0"/>
          <w:position w:val="0"/>
          <w:sz w:val="32"/>
          <w:szCs w:val="32"/>
          <w:highlight w:val="none"/>
          <w:shd w:val="clear" w:color="auto" w:fill="auto"/>
          <w:lang w:eastAsia="zh-CN"/>
          <w14:textFill>
            <w14:solidFill>
              <w14:schemeClr w14:val="tx1"/>
            </w14:solidFill>
          </w14:textFill>
        </w:rPr>
        <w:t>牵头单位</w:t>
      </w:r>
      <w:r>
        <w:rPr>
          <w:rFonts w:hint="eastAsia" w:ascii="CESI仿宋-GB18030" w:hAnsi="CESI仿宋-GB18030" w:eastAsia="CESI仿宋-GB18030" w:cs="CESI仿宋-GB18030"/>
          <w:color w:val="000000" w:themeColor="text1"/>
          <w:spacing w:val="0"/>
          <w:kern w:val="0"/>
          <w:position w:val="0"/>
          <w:sz w:val="32"/>
          <w:szCs w:val="32"/>
          <w:highlight w:val="none"/>
          <w:shd w:val="clear" w:color="auto" w:fill="auto"/>
          <w:lang w:eastAsia="zh-CN"/>
          <w14:textFill>
            <w14:solidFill>
              <w14:schemeClr w14:val="tx1"/>
            </w14:solidFill>
          </w14:textFill>
        </w:rPr>
        <w:t>：县农业农村水利局，责任单位</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：县财政局、县自然资源局、相关乡镇等)完成36个农村千人以上集中饮用水水源地突出环境问题整治。(牵头单位：市生态环境局绥宁分局，责任单位：县财政局、相关乡镇等)</w:t>
      </w:r>
    </w:p>
    <w:p w14:paraId="104BE7E0">
      <w:pPr>
        <w:pStyle w:val="12"/>
        <w:keepNext w:val="0"/>
        <w:keepLines w:val="0"/>
        <w:pageBreakBefore w:val="0"/>
        <w:widowControl w:val="0"/>
        <w:numPr>
          <w:ilvl w:val="0"/>
          <w:numId w:val="1"/>
        </w:numPr>
        <w:wordWrap/>
        <w:topLinePunct w:val="0"/>
        <w:bidi w:val="0"/>
        <w:spacing w:line="560" w:lineRule="exact"/>
        <w:rPr>
          <w:rFonts w:hint="eastAsia" w:ascii="楷体" w:hAnsi="楷体" w:eastAsia="楷体" w:cs="楷体"/>
          <w:b/>
          <w:bCs/>
          <w:color w:val="000000" w:themeColor="text1"/>
          <w:spacing w:val="0"/>
          <w:kern w:val="0"/>
          <w:position w:val="0"/>
          <w:sz w:val="32"/>
          <w:szCs w:val="32"/>
          <w:highlight w:val="none"/>
          <w:shd w:val="clear" w:color="auto" w:fill="auto"/>
          <w:lang w:eastAsia="zh-CN"/>
          <w14:textFill>
            <w14:solidFill>
              <w14:schemeClr w14:val="tx1"/>
            </w14:solidFill>
          </w14:textFill>
        </w:rPr>
      </w:pPr>
      <w:r>
        <w:rPr>
          <w:rFonts w:hint="eastAsia" w:ascii="楷体" w:hAnsi="楷体" w:eastAsia="楷体" w:cs="楷体"/>
          <w:b/>
          <w:bCs/>
          <w:color w:val="000000" w:themeColor="text1"/>
          <w:spacing w:val="0"/>
          <w:kern w:val="0"/>
          <w:position w:val="0"/>
          <w:sz w:val="32"/>
          <w:szCs w:val="32"/>
          <w:highlight w:val="none"/>
          <w:shd w:val="clear" w:color="auto" w:fill="auto"/>
          <w:lang w:val="en-US" w:eastAsia="zh-CN"/>
          <w14:textFill>
            <w14:solidFill>
              <w14:schemeClr w14:val="tx1"/>
            </w14:solidFill>
          </w14:textFill>
        </w:rPr>
        <w:t>2023年（</w:t>
      </w:r>
      <w:r>
        <w:rPr>
          <w:rFonts w:hint="eastAsia" w:ascii="楷体" w:hAnsi="楷体" w:eastAsia="楷体" w:cs="楷体"/>
          <w:b/>
          <w:bCs/>
          <w:color w:val="000000" w:themeColor="text1"/>
          <w:spacing w:val="0"/>
          <w:kern w:val="0"/>
          <w:position w:val="0"/>
          <w:sz w:val="32"/>
          <w:szCs w:val="32"/>
          <w:highlight w:val="none"/>
          <w:shd w:val="clear" w:color="auto" w:fill="auto"/>
          <w:lang w:eastAsia="zh-CN"/>
          <w14:textFill>
            <w14:solidFill>
              <w14:schemeClr w14:val="tx1"/>
            </w14:solidFill>
          </w14:textFill>
        </w:rPr>
        <w:t>市级）</w:t>
      </w:r>
      <w:r>
        <w:rPr>
          <w:rFonts w:hint="eastAsia" w:ascii="楷体" w:hAnsi="楷体" w:eastAsia="楷体" w:cs="楷体"/>
          <w:b/>
          <w:bCs/>
          <w:color w:val="000000" w:themeColor="text1"/>
          <w:sz w:val="32"/>
          <w:szCs w:val="32"/>
          <w:highlight w:val="none"/>
          <w14:textFill>
            <w14:solidFill>
              <w14:schemeClr w14:val="tx1"/>
            </w14:solidFill>
          </w14:textFill>
        </w:rPr>
        <w:t>全县重点民生实事项目共</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9</w:t>
      </w:r>
      <w:r>
        <w:rPr>
          <w:rFonts w:hint="eastAsia" w:ascii="楷体" w:hAnsi="楷体" w:eastAsia="楷体" w:cs="楷体"/>
          <w:b/>
          <w:bCs/>
          <w:color w:val="000000" w:themeColor="text1"/>
          <w:sz w:val="32"/>
          <w:szCs w:val="32"/>
          <w:highlight w:val="none"/>
          <w14:textFill>
            <w14:solidFill>
              <w14:schemeClr w14:val="tx1"/>
            </w14:solidFill>
          </w14:textFill>
        </w:rPr>
        <w:t>件</w:t>
      </w:r>
      <w:r>
        <w:rPr>
          <w:rFonts w:hint="eastAsia" w:ascii="楷体" w:hAnsi="楷体" w:eastAsia="楷体" w:cs="楷体"/>
          <w:b/>
          <w:bCs/>
          <w:color w:val="000000" w:themeColor="text1"/>
          <w:spacing w:val="0"/>
          <w:kern w:val="0"/>
          <w:position w:val="0"/>
          <w:sz w:val="32"/>
          <w:szCs w:val="32"/>
          <w:highlight w:val="none"/>
          <w:shd w:val="clear" w:color="auto" w:fill="auto"/>
          <w:lang w:eastAsia="zh-CN"/>
          <w14:textFill>
            <w14:solidFill>
              <w14:schemeClr w14:val="tx1"/>
            </w14:solidFill>
          </w14:textFill>
        </w:rPr>
        <w:t>。</w:t>
      </w:r>
    </w:p>
    <w:p w14:paraId="6268A5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1.建设乡镇标准化寄宿制学校4所</w:t>
      </w: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（牵头单位:县教育局，责任单位:县委编办、县财政局、县人力资源和社会保障局、县自然资源局等）</w:t>
      </w:r>
    </w:p>
    <w:p w14:paraId="16D01E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val="en-US" w:eastAsia="zh-CN"/>
          <w14:textFill>
            <w14:solidFill>
              <w14:schemeClr w14:val="tx1"/>
            </w14:solidFill>
          </w14:textFill>
        </w:rPr>
        <w:t>2.完成家庭养老床位建设任务150户。</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（牵头单位:县民政局，责任单位:县财政局等）</w:t>
      </w:r>
    </w:p>
    <w:p w14:paraId="4D67A2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3.完成残疾儿童康复救助54人，完成困难残疾人家庭无障碍改造100户。</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（牵头单位:县残联。责任单位:县财政局、县卫生健康局、县医疗保障局等）</w:t>
      </w:r>
    </w:p>
    <w:p w14:paraId="0CC64B1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4.启动城镇老旧小区改造项目</w:t>
      </w:r>
      <w:r>
        <w:rPr>
          <w:rFonts w:hint="eastAsia" w:ascii="CESI仿宋-GB18030" w:hAnsi="CESI仿宋-GB18030" w:eastAsia="CESI仿宋-GB18030" w:cs="CESI仿宋-GB18030"/>
          <w:b/>
          <w:bCs/>
          <w:color w:val="000000" w:themeColor="text1"/>
          <w:sz w:val="32"/>
          <w:szCs w:val="32"/>
          <w:highlight w:val="none"/>
          <w:u w:val="none"/>
          <w:lang w:val="en-US" w:eastAsia="zh-CN"/>
          <w14:textFill>
            <w14:solidFill>
              <w14:schemeClr w14:val="tx1"/>
            </w14:solidFill>
          </w14:textFill>
        </w:rPr>
        <w:t>10</w:t>
      </w: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个。</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(牵头单位：县住房和城乡建设局，责任单位：县城投公司、县发展和改革局、县自然资源局、县财政局等)</w:t>
      </w:r>
    </w:p>
    <w:p w14:paraId="3C04BB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5.完成农村危房改造56户。</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(牵头单位：县住房和城乡建设局，责任单位：县城投公司、县发展和改革局、县自然资源局、县财政局等)</w:t>
      </w:r>
    </w:p>
    <w:p w14:paraId="73F6DA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6.开工保障性住房建设项目，发放保障性租赁补贴400户。</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(牵头单位：县住房和城乡建设局，责任单位：县城投、县发展和改革局、县自然资源局、县财政局等)</w:t>
      </w:r>
    </w:p>
    <w:p w14:paraId="5591E2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7.完成市城区超期安置交付185套，删除实现存量清零。</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(牵头单位：县住房和城乡建设局，责任单位：县城投、县发展和改革局、县自然资源局、县财政局等)</w:t>
      </w:r>
    </w:p>
    <w:p w14:paraId="5D0FA4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8.完成污水管网改造4.8公里、新建污水管网0.5公里。</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(牵头单位：县住房和城乡建设局）</w:t>
      </w:r>
    </w:p>
    <w:p w14:paraId="533B1D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9.新建燃气管网1.5公里，</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eastAsia="zh-CN"/>
          <w14:textFill>
            <w14:solidFill>
              <w14:schemeClr w14:val="tx1"/>
            </w14:solidFill>
          </w14:textFill>
        </w:rPr>
        <w:t>具体任务数量以市里下达的文件分配数为准。</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(牵头单位：县城市管理和综合执法局)</w:t>
      </w:r>
    </w:p>
    <w:p w14:paraId="3AC3DFDA">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（三）</w:t>
      </w:r>
      <w:r>
        <w:rPr>
          <w:rFonts w:hint="eastAsia" w:ascii="楷体" w:hAnsi="楷体" w:eastAsia="楷体" w:cs="楷体"/>
          <w:b/>
          <w:bCs/>
          <w:color w:val="000000" w:themeColor="text1"/>
          <w:sz w:val="32"/>
          <w:szCs w:val="32"/>
          <w:highlight w:val="none"/>
          <w14:textFill>
            <w14:solidFill>
              <w14:schemeClr w14:val="tx1"/>
            </w14:solidFill>
          </w14:textFill>
        </w:rPr>
        <w:t>2023年</w:t>
      </w:r>
      <w:r>
        <w:rPr>
          <w:rFonts w:hint="eastAsia" w:ascii="楷体" w:hAnsi="楷体" w:eastAsia="楷体" w:cs="楷体"/>
          <w:b/>
          <w:bCs/>
          <w:color w:val="000000" w:themeColor="text1"/>
          <w:sz w:val="32"/>
          <w:szCs w:val="32"/>
          <w:highlight w:val="none"/>
          <w:lang w:eastAsia="zh-CN"/>
          <w14:textFill>
            <w14:solidFill>
              <w14:schemeClr w14:val="tx1"/>
            </w14:solidFill>
          </w14:textFill>
        </w:rPr>
        <w:t>全县</w:t>
      </w:r>
      <w:r>
        <w:rPr>
          <w:rFonts w:hint="eastAsia" w:ascii="楷体" w:hAnsi="楷体" w:eastAsia="楷体" w:cs="楷体"/>
          <w:b/>
          <w:bCs/>
          <w:color w:val="000000" w:themeColor="text1"/>
          <w:sz w:val="32"/>
          <w:szCs w:val="32"/>
          <w:highlight w:val="none"/>
          <w14:textFill>
            <w14:solidFill>
              <w14:schemeClr w14:val="tx1"/>
            </w14:solidFill>
          </w14:textFill>
        </w:rPr>
        <w:t>重点监测民生项目</w:t>
      </w:r>
    </w:p>
    <w:p w14:paraId="6CDEDEF6">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1</w:t>
      </w: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w:t>
      </w: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扩大社会保险覆盖面。</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启动实施“温暖社保”三年行动，深入推进社会保险全民覆盖。</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确保</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2023年基本养老、工伤和失业保险参保人数</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均达到或超过市定目标任务</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。继续推进企业职工基本养老保险全国统筹，稳步提升“两率”水平。</w:t>
      </w:r>
      <w:r>
        <w:rPr>
          <w:rFonts w:hint="eastAsia" w:ascii="CESI仿宋-GB18030" w:hAnsi="CESI仿宋-GB18030" w:eastAsia="CESI仿宋-GB18030" w:cs="CESI仿宋-GB18030"/>
          <w:b/>
          <w:bCs/>
          <w:color w:val="000000" w:themeColor="text1"/>
          <w:spacing w:val="0"/>
          <w:kern w:val="0"/>
          <w:position w:val="0"/>
          <w:sz w:val="32"/>
          <w:szCs w:val="32"/>
          <w:highlight w:val="none"/>
          <w:shd w:val="clear" w:color="auto" w:fill="auto"/>
          <w:lang w:eastAsia="zh-CN"/>
          <w14:textFill>
            <w14:solidFill>
              <w14:schemeClr w14:val="tx1"/>
            </w14:solidFill>
          </w14:textFill>
        </w:rPr>
        <w:t>具体任务数量以市里下达的文件分配数为准。</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牵头单位：县人力资源和社会保障局、县税务局，责任单位：各乡镇等</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p>
    <w:p w14:paraId="0A65AF39">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2.改善中职学校办学条件。</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继续推进职业教育“楚怡”行动，实施中职学校办学条件达标工程，推动中职教育高质量发展。(</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牵头单位：县教育局，责任单位：县委编办、县财政局、</w:t>
      </w:r>
      <w:r>
        <w:rPr>
          <w:rFonts w:hint="eastAsia" w:ascii="CESI仿宋-GB18030" w:hAnsi="CESI仿宋-GB18030" w:eastAsia="CESI仿宋-GB18030" w:cs="CESI仿宋-GB18030"/>
          <w:color w:val="000000" w:themeColor="text1"/>
          <w:sz w:val="32"/>
          <w:szCs w:val="32"/>
          <w:highlight w:val="none"/>
          <w:lang w:val="en-US" w:eastAsia="zh-CN"/>
          <w14:textFill>
            <w14:solidFill>
              <w14:schemeClr w14:val="tx1"/>
            </w14:solidFill>
          </w14:textFill>
        </w:rPr>
        <w:t>县自然资源局</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、县住房和城乡建设局、县人力资源和社会保障局等</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p>
    <w:p w14:paraId="47C8D2BD">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3</w:t>
      </w:r>
      <w:r>
        <w:rPr>
          <w:rFonts w:hint="eastAsia" w:ascii="CESI仿宋-GB18030" w:hAnsi="CESI仿宋-GB18030" w:eastAsia="CESI仿宋-GB18030" w:cs="CESI仿宋-GB18030"/>
          <w:b/>
          <w:bCs/>
          <w:color w:val="000000" w:themeColor="text1"/>
          <w:sz w:val="32"/>
          <w:szCs w:val="32"/>
          <w:highlight w:val="none"/>
          <w:lang w:val="en-US" w:eastAsia="zh-CN"/>
          <w14:textFill>
            <w14:solidFill>
              <w14:schemeClr w14:val="tx1"/>
            </w14:solidFill>
          </w14:textFill>
        </w:rPr>
        <w:t>.</w:t>
      </w: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提高医疗机构重症救治能力。</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争创一所</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三级综合医院</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ICU 床位和可转换ICU床位均不低于总床位的4%,确保新冠病毒感染重症患者得到积极有效救治。(</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牵头单位：县卫生健康局，责任单位：县财政局、县人民医院等</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p>
    <w:p w14:paraId="233A517F">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pPr>
      <w:r>
        <w:rPr>
          <w:rFonts w:hint="eastAsia" w:ascii="CESI仿宋-GB18030" w:hAnsi="CESI仿宋-GB18030" w:eastAsia="CESI仿宋-GB18030" w:cs="CESI仿宋-GB18030"/>
          <w:b/>
          <w:bCs/>
          <w:color w:val="000000" w:themeColor="text1"/>
          <w:sz w:val="32"/>
          <w:szCs w:val="32"/>
          <w:highlight w:val="none"/>
          <w14:textFill>
            <w14:solidFill>
              <w14:schemeClr w14:val="tx1"/>
            </w14:solidFill>
          </w14:textFill>
        </w:rPr>
        <w:t>4.改善生态环境质量。</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全</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县</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空气质量优良率在2022年</w:t>
      </w:r>
      <w:r>
        <w:rPr>
          <w:rFonts w:hint="eastAsia" w:ascii="CESI仿宋-GB18030" w:hAnsi="CESI仿宋-GB18030" w:eastAsia="CESI仿宋-GB18030" w:cs="CESI仿宋-GB18030"/>
          <w:color w:val="000000" w:themeColor="text1"/>
          <w:spacing w:val="0"/>
          <w:kern w:val="0"/>
          <w:position w:val="0"/>
          <w:sz w:val="32"/>
          <w:szCs w:val="32"/>
          <w:highlight w:val="none"/>
          <w:u w:val="none"/>
          <w:shd w:val="clear" w:color="auto" w:fill="auto"/>
          <w:lang w:val="en-US" w:eastAsia="zh-CN"/>
          <w14:textFill>
            <w14:solidFill>
              <w14:schemeClr w14:val="tx1"/>
            </w14:solidFill>
          </w14:textFill>
        </w:rPr>
        <w:t>88.2</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%的基础上，持续改善；全</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县</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国考断面水质优良率三类以上比例稳中向好，达到</w:t>
      </w:r>
      <w:r>
        <w:rPr>
          <w:rFonts w:hint="eastAsia" w:ascii="CESI仿宋-GB18030" w:hAnsi="CESI仿宋-GB18030" w:eastAsia="CESI仿宋-GB18030" w:cs="CESI仿宋-GB18030"/>
          <w:color w:val="000000" w:themeColor="text1"/>
          <w:spacing w:val="0"/>
          <w:kern w:val="0"/>
          <w:position w:val="0"/>
          <w:sz w:val="32"/>
          <w:szCs w:val="32"/>
          <w:highlight w:val="none"/>
          <w:u w:val="none"/>
          <w:shd w:val="clear" w:color="auto" w:fill="auto"/>
          <w:lang w:val="en-US" w:eastAsia="zh-CN"/>
          <w14:textFill>
            <w14:solidFill>
              <w14:schemeClr w14:val="tx1"/>
            </w14:solidFill>
          </w14:textFill>
        </w:rPr>
        <w:t>100</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r>
        <w:rPr>
          <w:rFonts w:hint="eastAsia" w:ascii="CESI仿宋-GB18030" w:hAnsi="CESI仿宋-GB18030" w:eastAsia="CESI仿宋-GB18030" w:cs="CESI仿宋-GB18030"/>
          <w:color w:val="000000" w:themeColor="text1"/>
          <w:sz w:val="32"/>
          <w:szCs w:val="32"/>
          <w:highlight w:val="none"/>
          <w:lang w:eastAsia="zh-CN"/>
          <w14:textFill>
            <w14:solidFill>
              <w14:schemeClr w14:val="tx1"/>
            </w14:solidFill>
          </w14:textFill>
        </w:rPr>
        <w:t>牵头单位：市生态环境局绥宁分局，责任单位：各乡镇等</w:t>
      </w:r>
      <w:r>
        <w:rPr>
          <w:rFonts w:hint="eastAsia" w:ascii="CESI仿宋-GB18030" w:hAnsi="CESI仿宋-GB18030" w:eastAsia="CESI仿宋-GB18030" w:cs="CESI仿宋-GB18030"/>
          <w:color w:val="000000" w:themeColor="text1"/>
          <w:sz w:val="32"/>
          <w:szCs w:val="32"/>
          <w:highlight w:val="none"/>
          <w14:textFill>
            <w14:solidFill>
              <w14:schemeClr w14:val="tx1"/>
            </w14:solidFill>
          </w14:textFill>
        </w:rPr>
        <w:t>)</w:t>
      </w:r>
    </w:p>
    <w:p w14:paraId="7909D1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宋体" w:hAnsi="宋体" w:eastAsia="黑体" w:cs="黑体"/>
          <w:color w:val="000000" w:themeColor="text1"/>
          <w:sz w:val="32"/>
          <w:szCs w:val="32"/>
          <w:highlight w:val="none"/>
          <w14:textFill>
            <w14:solidFill>
              <w14:schemeClr w14:val="tx1"/>
            </w14:solidFill>
          </w14:textFill>
        </w:rPr>
      </w:pPr>
      <w:r>
        <w:rPr>
          <w:rFonts w:hint="eastAsia" w:ascii="宋体" w:hAnsi="宋体" w:eastAsia="黑体" w:cs="黑体"/>
          <w:color w:val="000000" w:themeColor="text1"/>
          <w:sz w:val="32"/>
          <w:szCs w:val="32"/>
          <w:highlight w:val="none"/>
          <w:lang w:eastAsia="zh-CN"/>
          <w14:textFill>
            <w14:solidFill>
              <w14:schemeClr w14:val="tx1"/>
            </w14:solidFill>
          </w14:textFill>
        </w:rPr>
        <w:t>三</w:t>
      </w:r>
      <w:r>
        <w:rPr>
          <w:rFonts w:hint="eastAsia" w:ascii="宋体" w:hAnsi="宋体" w:eastAsia="黑体" w:cs="黑体"/>
          <w:color w:val="000000" w:themeColor="text1"/>
          <w:sz w:val="32"/>
          <w:szCs w:val="32"/>
          <w:highlight w:val="none"/>
          <w14:textFill>
            <w14:solidFill>
              <w14:schemeClr w14:val="tx1"/>
            </w14:solidFill>
          </w14:textFill>
        </w:rPr>
        <w:t>、</w:t>
      </w:r>
      <w:r>
        <w:rPr>
          <w:rFonts w:hint="eastAsia" w:ascii="宋体" w:hAnsi="宋体" w:eastAsia="黑体" w:cs="黑体"/>
          <w:color w:val="000000" w:themeColor="text1"/>
          <w:sz w:val="32"/>
          <w:szCs w:val="32"/>
          <w:highlight w:val="none"/>
          <w:lang w:val="en-US" w:eastAsia="zh-CN"/>
          <w14:textFill>
            <w14:solidFill>
              <w14:schemeClr w14:val="tx1"/>
            </w14:solidFill>
          </w14:textFill>
        </w:rPr>
        <w:t>加强全</w:t>
      </w:r>
      <w:r>
        <w:rPr>
          <w:rFonts w:hint="eastAsia" w:ascii="宋体" w:hAnsi="宋体" w:eastAsia="黑体" w:cs="黑体"/>
          <w:color w:val="000000" w:themeColor="text1"/>
          <w:sz w:val="32"/>
          <w:szCs w:val="32"/>
          <w:highlight w:val="none"/>
          <w14:textFill>
            <w14:solidFill>
              <w14:schemeClr w14:val="tx1"/>
            </w14:solidFill>
          </w14:textFill>
        </w:rPr>
        <w:t>过程管理</w:t>
      </w:r>
    </w:p>
    <w:p w14:paraId="723CBCA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全县各相关部门要坚持实事办实、好事办好、务求实效，把“实”、“好”的要求贯穿到实事项目各个环节，进一步强化工作举措，加强全过程管理。</w:t>
      </w:r>
    </w:p>
    <w:p w14:paraId="39B8B91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（一）提前部署谋划。</w:t>
      </w:r>
      <w:r>
        <w:rPr>
          <w:rFonts w:hint="eastAsia" w:ascii="仿宋" w:hAnsi="仿宋" w:eastAsia="仿宋" w:cs="仿宋"/>
          <w:color w:val="000000" w:themeColor="text1"/>
          <w:sz w:val="32"/>
          <w:szCs w:val="32"/>
          <w:highlight w:val="none"/>
          <w:lang w:val="en-US" w:eastAsia="zh-CN"/>
          <w14:textFill>
            <w14:solidFill>
              <w14:schemeClr w14:val="tx1"/>
            </w14:solidFill>
          </w14:textFill>
        </w:rPr>
        <w:t>各牵头单位要提前谋划布局，建立重点民生实事工作责任制。</w:t>
      </w:r>
      <w:r>
        <w:rPr>
          <w:rFonts w:hint="eastAsia" w:ascii="仿宋" w:hAnsi="仿宋" w:eastAsia="仿宋" w:cs="仿宋"/>
          <w:color w:val="000000" w:themeColor="text1"/>
          <w:sz w:val="32"/>
          <w:szCs w:val="32"/>
          <w:highlight w:val="none"/>
          <w14:textFill>
            <w14:solidFill>
              <w14:schemeClr w14:val="tx1"/>
            </w14:solidFill>
          </w14:textFill>
        </w:rPr>
        <w:t>制定工作方案，</w:t>
      </w:r>
      <w:r>
        <w:rPr>
          <w:rFonts w:hint="eastAsia" w:ascii="仿宋" w:hAnsi="仿宋" w:eastAsia="仿宋" w:cs="仿宋"/>
          <w:color w:val="000000" w:themeColor="text1"/>
          <w:sz w:val="32"/>
          <w:szCs w:val="32"/>
          <w:highlight w:val="none"/>
          <w:lang w:val="en-US" w:eastAsia="zh-CN"/>
          <w14:textFill>
            <w14:solidFill>
              <w14:schemeClr w14:val="tx1"/>
            </w14:solidFill>
          </w14:textFill>
        </w:rPr>
        <w:t>明确目标任务、实施步骤和保障措施。</w:t>
      </w:r>
      <w:r>
        <w:rPr>
          <w:rFonts w:hint="eastAsia" w:ascii="仿宋" w:hAnsi="仿宋" w:eastAsia="仿宋" w:cs="仿宋"/>
          <w:color w:val="000000" w:themeColor="text1"/>
          <w:sz w:val="32"/>
          <w:szCs w:val="32"/>
          <w:highlight w:val="none"/>
          <w14:textFill>
            <w14:solidFill>
              <w14:schemeClr w14:val="tx1"/>
            </w14:solidFill>
          </w14:textFill>
        </w:rPr>
        <w:t>组建工作班子，主要领导亲自抓，分管领导具体抓，</w:t>
      </w:r>
      <w:r>
        <w:rPr>
          <w:rFonts w:hint="eastAsia" w:ascii="仿宋" w:hAnsi="仿宋" w:eastAsia="仿宋" w:cs="仿宋"/>
          <w:color w:val="000000" w:themeColor="text1"/>
          <w:sz w:val="32"/>
          <w:szCs w:val="32"/>
          <w:highlight w:val="none"/>
          <w:lang w:val="en-US" w:eastAsia="zh-CN"/>
          <w14:textFill>
            <w14:solidFill>
              <w14:schemeClr w14:val="tx1"/>
            </w14:solidFill>
          </w14:textFill>
        </w:rPr>
        <w:t>明确</w:t>
      </w:r>
      <w:r>
        <w:rPr>
          <w:rFonts w:hint="eastAsia" w:ascii="仿宋" w:hAnsi="仿宋" w:eastAsia="仿宋" w:cs="仿宋"/>
          <w:color w:val="000000" w:themeColor="text1"/>
          <w:sz w:val="32"/>
          <w:szCs w:val="32"/>
          <w:highlight w:val="none"/>
          <w14:textFill>
            <w14:solidFill>
              <w14:schemeClr w14:val="tx1"/>
            </w14:solidFill>
          </w14:textFill>
        </w:rPr>
        <w:t>专人负责；及时分解指标任务，明确</w:t>
      </w:r>
      <w:r>
        <w:rPr>
          <w:rFonts w:hint="eastAsia" w:ascii="仿宋" w:hAnsi="仿宋" w:eastAsia="仿宋" w:cs="仿宋"/>
          <w:color w:val="000000" w:themeColor="text1"/>
          <w:sz w:val="32"/>
          <w:szCs w:val="32"/>
          <w:highlight w:val="none"/>
          <w:lang w:val="en-US" w:eastAsia="zh-CN"/>
          <w14:textFill>
            <w14:solidFill>
              <w14:schemeClr w14:val="tx1"/>
            </w14:solidFill>
          </w14:textFill>
        </w:rPr>
        <w:t>完成时限和工作要求</w:t>
      </w:r>
      <w:r>
        <w:rPr>
          <w:rFonts w:hint="eastAsia" w:ascii="仿宋" w:hAnsi="仿宋" w:eastAsia="仿宋" w:cs="仿宋"/>
          <w:color w:val="000000" w:themeColor="text1"/>
          <w:sz w:val="32"/>
          <w:szCs w:val="32"/>
          <w:highlight w:val="none"/>
          <w14:textFill>
            <w14:solidFill>
              <w14:schemeClr w14:val="tx1"/>
            </w14:solidFill>
          </w14:textFill>
        </w:rPr>
        <w:t>，按时上报项目报表及佐证材料。</w:t>
      </w:r>
      <w:r>
        <w:rPr>
          <w:rFonts w:hint="eastAsia" w:ascii="仿宋" w:hAnsi="仿宋" w:eastAsia="仿宋" w:cs="仿宋"/>
          <w:color w:val="000000" w:themeColor="text1"/>
          <w:sz w:val="32"/>
          <w:szCs w:val="32"/>
          <w:highlight w:val="none"/>
          <w:lang w:val="en-US" w:eastAsia="zh-CN"/>
          <w14:textFill>
            <w14:solidFill>
              <w14:schemeClr w14:val="tx1"/>
            </w14:solidFill>
          </w14:textFill>
        </w:rPr>
        <w:t>各责任单位</w:t>
      </w:r>
      <w:r>
        <w:rPr>
          <w:rFonts w:hint="eastAsia" w:ascii="仿宋" w:hAnsi="仿宋" w:eastAsia="仿宋" w:cs="仿宋"/>
          <w:color w:val="000000" w:themeColor="text1"/>
          <w:sz w:val="32"/>
          <w:szCs w:val="32"/>
          <w:highlight w:val="none"/>
          <w14:textFill>
            <w14:solidFill>
              <w14:schemeClr w14:val="tx1"/>
            </w14:solidFill>
          </w14:textFill>
        </w:rPr>
        <w:t>根据本单位职责职能，配合牵头单位抓好工作落实，协调处理工作中的矛盾和问题</w:t>
      </w:r>
      <w:r>
        <w:rPr>
          <w:rFonts w:hint="eastAsia" w:ascii="仿宋" w:hAnsi="仿宋" w:eastAsia="仿宋" w:cs="仿宋"/>
          <w:color w:val="000000" w:themeColor="text1"/>
          <w:sz w:val="32"/>
          <w:szCs w:val="32"/>
          <w:highlight w:val="none"/>
          <w:lang w:val="en-US" w:eastAsia="zh-CN"/>
          <w14:textFill>
            <w14:solidFill>
              <w14:schemeClr w14:val="tx1"/>
            </w14:solidFill>
          </w14:textFill>
        </w:rPr>
        <w:t>。各乡镇要按照</w:t>
      </w:r>
      <w:r>
        <w:rPr>
          <w:rFonts w:hint="eastAsia" w:ascii="仿宋" w:hAnsi="仿宋" w:eastAsia="仿宋" w:cs="仿宋"/>
          <w:color w:val="000000" w:themeColor="text1"/>
          <w:sz w:val="32"/>
          <w:szCs w:val="32"/>
          <w:highlight w:val="none"/>
          <w14:textFill>
            <w14:solidFill>
              <w14:schemeClr w14:val="tx1"/>
            </w14:solidFill>
          </w14:textFill>
        </w:rPr>
        <w:t>分解下达的指标任务，科学制定</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工作</w:t>
      </w:r>
      <w:r>
        <w:rPr>
          <w:rFonts w:hint="eastAsia" w:ascii="仿宋" w:hAnsi="仿宋" w:eastAsia="仿宋" w:cs="仿宋"/>
          <w:color w:val="000000" w:themeColor="text1"/>
          <w:sz w:val="32"/>
          <w:szCs w:val="32"/>
          <w:highlight w:val="none"/>
          <w14:textFill>
            <w14:solidFill>
              <w14:schemeClr w14:val="tx1"/>
            </w14:solidFill>
          </w14:textFill>
        </w:rPr>
        <w:t>方案，建立相应的责任体系，认真抓好落实，做到职责明确，事责统一。</w:t>
      </w:r>
    </w:p>
    <w:p w14:paraId="16EE8E1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（二）加强调度督导。</w:t>
      </w:r>
      <w:r>
        <w:rPr>
          <w:rFonts w:hint="eastAsia" w:ascii="仿宋" w:hAnsi="仿宋" w:eastAsia="仿宋" w:cs="仿宋"/>
          <w:color w:val="000000" w:themeColor="text1"/>
          <w:sz w:val="32"/>
          <w:szCs w:val="32"/>
          <w:highlight w:val="none"/>
          <w14:textFill>
            <w14:solidFill>
              <w14:schemeClr w14:val="tx1"/>
            </w14:solidFill>
          </w14:textFill>
        </w:rPr>
        <w:t>加强对项目指标任务进展的日常管理，实行一月一督查、一月一通报、一月一研究、一月一推动。县统计局年中开展一次指标任务数据现场统计监督，根据现场统计监督结果出具统计调查报告，提出完成指标任务数据的统计建议。对检查督查、暗访核验、群众建言等途径发现的问题，及时下发《问题整改通知单》进行改进，针对部分进度严重滞后的项目采取重点督查、现场督办、下发督办</w:t>
      </w:r>
      <w:r>
        <w:rPr>
          <w:rFonts w:hint="eastAsia" w:ascii="仿宋" w:hAnsi="仿宋" w:eastAsia="仿宋" w:cs="仿宋"/>
          <w:color w:val="000000" w:themeColor="text1"/>
          <w:sz w:val="32"/>
          <w:szCs w:val="32"/>
          <w:highlight w:val="none"/>
          <w:lang w:val="en-US" w:eastAsia="zh-CN"/>
          <w14:textFill>
            <w14:solidFill>
              <w14:schemeClr w14:val="tx1"/>
            </w14:solidFill>
          </w14:textFill>
        </w:rPr>
        <w:t>函（</w:t>
      </w:r>
      <w:r>
        <w:rPr>
          <w:rFonts w:hint="eastAsia" w:ascii="仿宋" w:hAnsi="仿宋" w:eastAsia="仿宋" w:cs="仿宋"/>
          <w:color w:val="000000" w:themeColor="text1"/>
          <w:sz w:val="32"/>
          <w:szCs w:val="32"/>
          <w:highlight w:val="none"/>
          <w14:textFill>
            <w14:solidFill>
              <w14:schemeClr w14:val="tx1"/>
            </w14:solidFill>
          </w14:textFill>
        </w:rPr>
        <w:t>令</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等形式督促整改落实。相关责任单位要主动配合项目牵头单位做好重点民生实事项目的相关工作，积极为项目推进扫除障碍。</w:t>
      </w:r>
    </w:p>
    <w:p w14:paraId="26C5927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（三）规范数据报送。</w:t>
      </w:r>
      <w:r>
        <w:rPr>
          <w:rFonts w:hint="eastAsia" w:ascii="仿宋" w:hAnsi="仿宋" w:eastAsia="仿宋" w:cs="仿宋"/>
          <w:b/>
          <w:bCs/>
          <w:color w:val="000000" w:themeColor="text1"/>
          <w:sz w:val="32"/>
          <w:szCs w:val="32"/>
          <w:highlight w:val="none"/>
          <w14:textFill>
            <w14:solidFill>
              <w14:schemeClr w14:val="tx1"/>
            </w14:solidFill>
          </w14:textFill>
        </w:rPr>
        <w:t>1.数据报送时间：</w:t>
      </w:r>
      <w:r>
        <w:rPr>
          <w:rFonts w:hint="eastAsia" w:ascii="仿宋" w:hAnsi="仿宋" w:eastAsia="仿宋" w:cs="仿宋"/>
          <w:color w:val="000000" w:themeColor="text1"/>
          <w:sz w:val="32"/>
          <w:szCs w:val="32"/>
          <w:highlight w:val="none"/>
          <w14:textFill>
            <w14:solidFill>
              <w14:schemeClr w14:val="tx1"/>
            </w14:solidFill>
          </w14:textFill>
        </w:rPr>
        <w:t>重点民生实事项目数据统计时间为202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月1日至202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年12月31日，每月统计数据截止时间为当月20日。</w:t>
      </w:r>
      <w:r>
        <w:rPr>
          <w:rFonts w:hint="eastAsia" w:ascii="仿宋" w:hAnsi="仿宋" w:eastAsia="仿宋" w:cs="仿宋"/>
          <w:color w:val="000000" w:themeColor="text1"/>
          <w:sz w:val="32"/>
          <w:szCs w:val="32"/>
          <w:highlight w:val="none"/>
          <w:lang w:val="en-US" w:eastAsia="zh-CN"/>
          <w14:textFill>
            <w14:solidFill>
              <w14:schemeClr w14:val="tx1"/>
            </w14:solidFill>
          </w14:textFill>
        </w:rPr>
        <w:t>各牵头</w:t>
      </w:r>
      <w:r>
        <w:rPr>
          <w:rFonts w:hint="eastAsia" w:ascii="仿宋" w:hAnsi="仿宋" w:eastAsia="仿宋" w:cs="仿宋"/>
          <w:color w:val="000000" w:themeColor="text1"/>
          <w:sz w:val="32"/>
          <w:szCs w:val="32"/>
          <w:highlight w:val="none"/>
          <w14:textFill>
            <w14:solidFill>
              <w14:schemeClr w14:val="tx1"/>
            </w14:solidFill>
          </w14:textFill>
        </w:rPr>
        <w:t>单位于每月22日前将汇总数据向县重点民生实事办和县统计局报送。县重点民生实事办和县统计局对数据严格审核认定后，于每月25日前分别向</w:t>
      </w:r>
      <w:r>
        <w:rPr>
          <w:rFonts w:hint="eastAsia" w:ascii="仿宋" w:hAnsi="仿宋" w:eastAsia="仿宋" w:cs="仿宋"/>
          <w:color w:val="000000" w:themeColor="text1"/>
          <w:sz w:val="32"/>
          <w:szCs w:val="32"/>
          <w:highlight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14:textFill>
            <w14:solidFill>
              <w14:schemeClr w14:val="tx1"/>
            </w14:solidFill>
          </w14:textFill>
        </w:rPr>
        <w:t>绩效办</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重点民生实事办</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和</w:t>
      </w:r>
      <w:r>
        <w:rPr>
          <w:rFonts w:hint="eastAsia" w:ascii="仿宋" w:hAnsi="仿宋" w:eastAsia="仿宋" w:cs="仿宋"/>
          <w:color w:val="000000" w:themeColor="text1"/>
          <w:sz w:val="32"/>
          <w:szCs w:val="32"/>
          <w:highlight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14:textFill>
            <w14:solidFill>
              <w14:schemeClr w14:val="tx1"/>
            </w14:solidFill>
          </w14:textFill>
        </w:rPr>
        <w:t>统计局报送。</w:t>
      </w:r>
      <w:r>
        <w:rPr>
          <w:rFonts w:hint="eastAsia" w:ascii="仿宋" w:hAnsi="仿宋" w:eastAsia="仿宋" w:cs="仿宋"/>
          <w:b/>
          <w:bCs/>
          <w:color w:val="000000" w:themeColor="text1"/>
          <w:sz w:val="32"/>
          <w:szCs w:val="32"/>
          <w:highlight w:val="none"/>
          <w14:textFill>
            <w14:solidFill>
              <w14:schemeClr w14:val="tx1"/>
            </w14:solidFill>
          </w14:textFill>
        </w:rPr>
        <w:t>2.数据报送内容：</w:t>
      </w:r>
      <w:r>
        <w:rPr>
          <w:rFonts w:hint="eastAsia" w:ascii="仿宋" w:hAnsi="仿宋" w:eastAsia="仿宋" w:cs="仿宋"/>
          <w:color w:val="000000" w:themeColor="text1"/>
          <w:sz w:val="32"/>
          <w:szCs w:val="32"/>
          <w:highlight w:val="none"/>
          <w14:textFill>
            <w14:solidFill>
              <w14:schemeClr w14:val="tx1"/>
            </w14:solidFill>
          </w14:textFill>
        </w:rPr>
        <w:t>各</w:t>
      </w:r>
      <w:r>
        <w:rPr>
          <w:rFonts w:hint="eastAsia" w:ascii="仿宋" w:hAnsi="仿宋" w:eastAsia="仿宋" w:cs="仿宋"/>
          <w:color w:val="000000" w:themeColor="text1"/>
          <w:sz w:val="32"/>
          <w:szCs w:val="32"/>
          <w:highlight w:val="none"/>
          <w:lang w:val="en-US" w:eastAsia="zh-CN"/>
          <w14:textFill>
            <w14:solidFill>
              <w14:schemeClr w14:val="tx1"/>
            </w14:solidFill>
          </w14:textFill>
        </w:rPr>
        <w:t>牵头单位</w:t>
      </w:r>
      <w:r>
        <w:rPr>
          <w:rFonts w:hint="eastAsia" w:ascii="仿宋" w:hAnsi="仿宋" w:eastAsia="仿宋" w:cs="仿宋"/>
          <w:color w:val="000000" w:themeColor="text1"/>
          <w:sz w:val="32"/>
          <w:szCs w:val="32"/>
          <w:highlight w:val="none"/>
          <w14:textFill>
            <w14:solidFill>
              <w14:schemeClr w14:val="tx1"/>
            </w14:solidFill>
          </w14:textFill>
        </w:rPr>
        <w:t>根据项目的进展情况认真填报《基层表一》、《基层表二》，工程建设类项目应将项目点建设与项目完成情况一一对应，非工程建设类项目应将受益对象的基本情况按月上报县重点民生实事办，不得漏报、虚报；年底按相关通知要求报送重点民生实事数据表和资金明细表。</w:t>
      </w:r>
    </w:p>
    <w:p w14:paraId="2457E48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（四）数据采集与评估。</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年重点民生实事项目已纳入县委、县政府对乡镇党委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政府和</w:t>
      </w:r>
      <w:r>
        <w:rPr>
          <w:rFonts w:hint="eastAsia" w:ascii="仿宋" w:hAnsi="仿宋" w:eastAsia="仿宋" w:cs="仿宋"/>
          <w:color w:val="000000" w:themeColor="text1"/>
          <w:sz w:val="32"/>
          <w:szCs w:val="32"/>
          <w:highlight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lang w:eastAsia="zh-CN"/>
          <w14:textFill>
            <w14:solidFill>
              <w14:schemeClr w14:val="tx1"/>
            </w14:solidFill>
          </w14:textFill>
        </w:rPr>
        <w:t>属县直</w:t>
      </w:r>
      <w:r>
        <w:rPr>
          <w:rFonts w:hint="eastAsia" w:ascii="仿宋" w:hAnsi="仿宋" w:eastAsia="仿宋" w:cs="仿宋"/>
          <w:color w:val="000000" w:themeColor="text1"/>
          <w:sz w:val="32"/>
          <w:szCs w:val="32"/>
          <w:highlight w:val="none"/>
          <w14:textFill>
            <w14:solidFill>
              <w14:schemeClr w14:val="tx1"/>
            </w14:solidFill>
          </w14:textFill>
        </w:rPr>
        <w:t>单位绩效考核评估指标体系。各乡镇全年完成指标任务的数据，由各项目的牵头单位初评后，县统计局对数据进行现场查验后评估认定，县重点民生实事办再组织核验，如评估认定不合格或未申请认定的，直接认定为未完成。牵头单位完成指标任务的数据由县统计局现场查验后评估认定，县重点民生实事办组织核验。相关责任单位配合完成指标任务情况由项目牵头单位评估后申报，县重点民生实事办负责核验认定。各单位要坚持实事求是，如实填报资金投入、项目进展等情况；县统计部门要依法对数据进行评估认定，确保真实可靠、客观公正。</w:t>
      </w:r>
    </w:p>
    <w:p w14:paraId="79F5591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（五）考核结果运用。</w:t>
      </w:r>
      <w:r>
        <w:rPr>
          <w:rFonts w:hint="eastAsia" w:ascii="仿宋" w:hAnsi="仿宋" w:eastAsia="仿宋" w:cs="仿宋"/>
          <w:color w:val="000000" w:themeColor="text1"/>
          <w:sz w:val="32"/>
          <w:szCs w:val="32"/>
          <w:highlight w:val="none"/>
          <w14:textFill>
            <w14:solidFill>
              <w14:schemeClr w14:val="tx1"/>
            </w14:solidFill>
          </w14:textFill>
        </w:rPr>
        <w:t>县委、县政府将根据各重点民生实事项目工作任务完成情况评选年度重点民生实事先进单位</w:t>
      </w:r>
      <w:r>
        <w:rPr>
          <w:rFonts w:hint="eastAsia" w:ascii="仿宋" w:hAnsi="仿宋" w:eastAsia="仿宋" w:cs="仿宋"/>
          <w:color w:val="000000" w:themeColor="text1"/>
          <w:sz w:val="32"/>
          <w:szCs w:val="32"/>
          <w:highlight w:val="none"/>
          <w:lang w:val="en-US" w:eastAsia="zh-CN"/>
          <w14:textFill>
            <w14:solidFill>
              <w14:schemeClr w14:val="tx1"/>
            </w14:solidFill>
          </w14:textFill>
        </w:rPr>
        <w:t>和先进个人，</w:t>
      </w:r>
      <w:r>
        <w:rPr>
          <w:rFonts w:hint="eastAsia" w:ascii="仿宋" w:hAnsi="仿宋" w:eastAsia="仿宋" w:cs="仿宋"/>
          <w:color w:val="000000" w:themeColor="text1"/>
          <w:sz w:val="32"/>
          <w:highlight w:val="none"/>
          <w14:textFill>
            <w14:solidFill>
              <w14:schemeClr w14:val="tx1"/>
            </w14:solidFill>
          </w14:textFill>
        </w:rPr>
        <w:t>其中乡镇评选出</w:t>
      </w:r>
      <w:r>
        <w:rPr>
          <w:rFonts w:hint="eastAsia" w:ascii="仿宋" w:hAnsi="仿宋" w:eastAsia="仿宋" w:cs="仿宋"/>
          <w:color w:val="000000" w:themeColor="text1"/>
          <w:sz w:val="32"/>
          <w:highlight w:val="none"/>
          <w:lang w:val="en-US" w:eastAsia="zh-CN"/>
          <w14:textFill>
            <w14:solidFill>
              <w14:schemeClr w14:val="tx1"/>
            </w14:solidFill>
          </w14:textFill>
        </w:rPr>
        <w:t>6</w:t>
      </w:r>
      <w:r>
        <w:rPr>
          <w:rFonts w:hint="eastAsia" w:ascii="仿宋" w:hAnsi="仿宋" w:eastAsia="仿宋" w:cs="仿宋"/>
          <w:color w:val="000000" w:themeColor="text1"/>
          <w:sz w:val="32"/>
          <w:highlight w:val="none"/>
          <w14:textFill>
            <w14:solidFill>
              <w14:schemeClr w14:val="tx1"/>
            </w14:solidFill>
          </w14:textFill>
        </w:rPr>
        <w:t>个先进单位，牵头责任单位评选出</w:t>
      </w:r>
      <w:r>
        <w:rPr>
          <w:rFonts w:hint="eastAsia" w:ascii="仿宋" w:hAnsi="仿宋" w:eastAsia="仿宋" w:cs="仿宋"/>
          <w:color w:val="000000" w:themeColor="text1"/>
          <w:sz w:val="32"/>
          <w:highlight w:val="none"/>
          <w:lang w:val="en-US" w:eastAsia="zh-CN"/>
          <w14:textFill>
            <w14:solidFill>
              <w14:schemeClr w14:val="tx1"/>
            </w14:solidFill>
          </w14:textFill>
        </w:rPr>
        <w:t>3</w:t>
      </w:r>
      <w:r>
        <w:rPr>
          <w:rFonts w:hint="eastAsia" w:ascii="仿宋" w:hAnsi="仿宋" w:eastAsia="仿宋" w:cs="仿宋"/>
          <w:color w:val="000000" w:themeColor="text1"/>
          <w:sz w:val="32"/>
          <w:highlight w:val="none"/>
          <w14:textFill>
            <w14:solidFill>
              <w14:schemeClr w14:val="tx1"/>
            </w14:solidFill>
          </w14:textFill>
        </w:rPr>
        <w:t>个先进单位，相关责任单位评选出</w:t>
      </w:r>
      <w:r>
        <w:rPr>
          <w:rFonts w:hint="eastAsia" w:ascii="仿宋" w:hAnsi="仿宋" w:eastAsia="仿宋" w:cs="仿宋"/>
          <w:color w:val="000000" w:themeColor="text1"/>
          <w:sz w:val="32"/>
          <w:highlight w:val="none"/>
          <w:lang w:val="en-US" w:eastAsia="zh-CN"/>
          <w14:textFill>
            <w14:solidFill>
              <w14:schemeClr w14:val="tx1"/>
            </w14:solidFill>
          </w14:textFill>
        </w:rPr>
        <w:t>4</w:t>
      </w:r>
      <w:r>
        <w:rPr>
          <w:rFonts w:hint="eastAsia" w:ascii="仿宋" w:hAnsi="仿宋" w:eastAsia="仿宋" w:cs="仿宋"/>
          <w:color w:val="000000" w:themeColor="text1"/>
          <w:sz w:val="32"/>
          <w:highlight w:val="none"/>
          <w14:textFill>
            <w14:solidFill>
              <w14:schemeClr w14:val="tx1"/>
            </w14:solidFill>
          </w14:textFill>
        </w:rPr>
        <w:t>个先进单位；先进个人评选30人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各</w:t>
      </w:r>
      <w:r>
        <w:rPr>
          <w:rFonts w:hint="eastAsia" w:ascii="仿宋" w:hAnsi="仿宋" w:eastAsia="仿宋" w:cs="仿宋"/>
          <w:color w:val="000000" w:themeColor="text1"/>
          <w:sz w:val="32"/>
          <w:szCs w:val="32"/>
          <w:highlight w:val="none"/>
          <w14:textFill>
            <w14:solidFill>
              <w14:schemeClr w14:val="tx1"/>
            </w14:solidFill>
          </w14:textFill>
        </w:rPr>
        <w:t>单位</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各</w:t>
      </w:r>
      <w:r>
        <w:rPr>
          <w:rFonts w:hint="eastAsia" w:ascii="仿宋" w:hAnsi="仿宋" w:eastAsia="仿宋" w:cs="仿宋"/>
          <w:color w:val="000000" w:themeColor="text1"/>
          <w:sz w:val="32"/>
          <w:szCs w:val="32"/>
          <w:highlight w:val="none"/>
          <w14:textFill>
            <w14:solidFill>
              <w14:schemeClr w14:val="tx1"/>
            </w14:solidFill>
          </w14:textFill>
        </w:rPr>
        <w:t>乡镇重点民生实事项目指标考核得分，折算后直接计入其年度绩效考核评估得分。重点民生实事项目任务未完成的单位，年度绩效考核评估不得评为优秀等次。</w:t>
      </w:r>
    </w:p>
    <w:p w14:paraId="1ED03AD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宋体" w:hAnsi="宋体" w:eastAsia="黑体" w:cs="黑体"/>
          <w:color w:val="000000" w:themeColor="text1"/>
          <w:sz w:val="32"/>
          <w:szCs w:val="32"/>
          <w:highlight w:val="none"/>
          <w14:textFill>
            <w14:solidFill>
              <w14:schemeClr w14:val="tx1"/>
            </w14:solidFill>
          </w14:textFill>
        </w:rPr>
      </w:pPr>
      <w:r>
        <w:rPr>
          <w:rFonts w:hint="eastAsia" w:ascii="宋体" w:hAnsi="宋体" w:eastAsia="黑体" w:cs="黑体"/>
          <w:color w:val="000000" w:themeColor="text1"/>
          <w:sz w:val="32"/>
          <w:szCs w:val="32"/>
          <w:highlight w:val="none"/>
          <w:lang w:eastAsia="zh-CN"/>
          <w14:textFill>
            <w14:solidFill>
              <w14:schemeClr w14:val="tx1"/>
            </w14:solidFill>
          </w14:textFill>
        </w:rPr>
        <w:t>四</w:t>
      </w:r>
      <w:r>
        <w:rPr>
          <w:rFonts w:hint="eastAsia" w:ascii="宋体" w:hAnsi="宋体" w:eastAsia="黑体" w:cs="黑体"/>
          <w:color w:val="000000" w:themeColor="text1"/>
          <w:sz w:val="32"/>
          <w:szCs w:val="32"/>
          <w:highlight w:val="none"/>
          <w14:textFill>
            <w14:solidFill>
              <w14:schemeClr w14:val="tx1"/>
            </w14:solidFill>
          </w14:textFill>
        </w:rPr>
        <w:t>、工作要求</w:t>
      </w:r>
    </w:p>
    <w:p w14:paraId="1070D84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（一）思想上要高度重视。</w:t>
      </w:r>
      <w:r>
        <w:rPr>
          <w:rFonts w:hint="eastAsia" w:ascii="仿宋" w:hAnsi="仿宋" w:eastAsia="仿宋" w:cs="仿宋"/>
          <w:color w:val="000000" w:themeColor="text1"/>
          <w:sz w:val="32"/>
          <w:szCs w:val="32"/>
          <w:highlight w:val="none"/>
          <w:lang w:val="en-US" w:eastAsia="zh-CN"/>
          <w14:textFill>
            <w14:solidFill>
              <w14:schemeClr w14:val="tx1"/>
            </w14:solidFill>
          </w14:textFill>
        </w:rPr>
        <w:t>各</w:t>
      </w:r>
      <w:r>
        <w:rPr>
          <w:rFonts w:hint="eastAsia" w:ascii="仿宋" w:hAnsi="仿宋" w:eastAsia="仿宋" w:cs="仿宋"/>
          <w:color w:val="000000" w:themeColor="text1"/>
          <w:sz w:val="32"/>
          <w:szCs w:val="32"/>
          <w:highlight w:val="none"/>
          <w14:textFill>
            <w14:solidFill>
              <w14:schemeClr w14:val="tx1"/>
            </w14:solidFill>
          </w14:textFill>
        </w:rPr>
        <w:t>单位</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各</w:t>
      </w:r>
      <w:r>
        <w:rPr>
          <w:rFonts w:hint="eastAsia" w:ascii="仿宋" w:hAnsi="仿宋" w:eastAsia="仿宋" w:cs="仿宋"/>
          <w:color w:val="000000" w:themeColor="text1"/>
          <w:sz w:val="32"/>
          <w:szCs w:val="32"/>
          <w:highlight w:val="none"/>
          <w14:textFill>
            <w14:solidFill>
              <w14:schemeClr w14:val="tx1"/>
            </w14:solidFill>
          </w14:textFill>
        </w:rPr>
        <w:t>乡镇要始终按照党中央、国务院</w:t>
      </w:r>
      <w:r>
        <w:rPr>
          <w:rFonts w:hint="eastAsia" w:ascii="仿宋" w:hAnsi="仿宋" w:eastAsia="仿宋" w:cs="仿宋"/>
          <w:color w:val="000000" w:themeColor="text1"/>
          <w:sz w:val="32"/>
          <w:szCs w:val="32"/>
          <w:highlight w:val="none"/>
          <w:lang w:eastAsia="zh-CN"/>
          <w14:textFill>
            <w14:solidFill>
              <w14:schemeClr w14:val="tx1"/>
            </w14:solidFill>
          </w14:textFill>
        </w:rPr>
        <w:t>和省、</w:t>
      </w:r>
      <w:r>
        <w:rPr>
          <w:rFonts w:hint="eastAsia" w:ascii="仿宋" w:hAnsi="仿宋" w:eastAsia="仿宋" w:cs="仿宋"/>
          <w:color w:val="000000" w:themeColor="text1"/>
          <w:sz w:val="32"/>
          <w:szCs w:val="32"/>
          <w:highlight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lang w:eastAsia="zh-CN"/>
          <w14:textFill>
            <w14:solidFill>
              <w14:schemeClr w14:val="tx1"/>
            </w14:solidFill>
          </w14:textFill>
        </w:rPr>
        <w:t>的决策部署，进一步提高政治站位</w:t>
      </w:r>
      <w:r>
        <w:rPr>
          <w:rFonts w:hint="eastAsia" w:ascii="仿宋" w:hAnsi="仿宋" w:eastAsia="仿宋" w:cs="仿宋"/>
          <w:color w:val="000000" w:themeColor="text1"/>
          <w:sz w:val="32"/>
          <w:szCs w:val="32"/>
          <w:highlight w:val="none"/>
          <w14:textFill>
            <w14:solidFill>
              <w14:schemeClr w14:val="tx1"/>
            </w14:solidFill>
          </w14:textFill>
        </w:rPr>
        <w:t>，把重点民生实事工作作为本部门、本乡镇的重中之重，层层压实责任，责任落实到人。各单位、各乡镇更要以实际行动谋民生之利，解民生之忧，不断增强群众的获得感、幸福感、安全感。</w:t>
      </w:r>
    </w:p>
    <w:p w14:paraId="63CA604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pacing w:val="-6"/>
          <w:sz w:val="32"/>
          <w:szCs w:val="32"/>
          <w:highlight w:val="none"/>
          <w14:textFill>
            <w14:solidFill>
              <w14:schemeClr w14:val="tx1"/>
            </w14:solidFill>
          </w14:textFill>
        </w:r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（二）行动上要形成合力。</w:t>
      </w:r>
      <w:r>
        <w:rPr>
          <w:rFonts w:hint="eastAsia" w:ascii="仿宋" w:hAnsi="仿宋" w:eastAsia="仿宋" w:cs="仿宋"/>
          <w:color w:val="000000" w:themeColor="text1"/>
          <w:sz w:val="32"/>
          <w:szCs w:val="32"/>
          <w:highlight w:val="none"/>
          <w14:textFill>
            <w14:solidFill>
              <w14:schemeClr w14:val="tx1"/>
            </w14:solidFill>
          </w14:textFill>
        </w:rPr>
        <w:t>各</w:t>
      </w:r>
      <w:r>
        <w:rPr>
          <w:rFonts w:hint="eastAsia" w:ascii="仿宋" w:hAnsi="仿宋" w:eastAsia="仿宋" w:cs="仿宋"/>
          <w:color w:val="000000" w:themeColor="text1"/>
          <w:sz w:val="32"/>
          <w:szCs w:val="32"/>
          <w:highlight w:val="none"/>
          <w:lang w:val="en-US" w:eastAsia="zh-CN"/>
          <w14:textFill>
            <w14:solidFill>
              <w14:schemeClr w14:val="tx1"/>
            </w14:solidFill>
          </w14:textFill>
        </w:rPr>
        <w:t>相关</w:t>
      </w:r>
      <w:r>
        <w:rPr>
          <w:rFonts w:hint="eastAsia" w:ascii="仿宋" w:hAnsi="仿宋" w:eastAsia="仿宋" w:cs="仿宋"/>
          <w:color w:val="000000" w:themeColor="text1"/>
          <w:sz w:val="32"/>
          <w:szCs w:val="32"/>
          <w:highlight w:val="none"/>
          <w14:textFill>
            <w14:solidFill>
              <w14:schemeClr w14:val="tx1"/>
            </w14:solidFill>
          </w14:textFill>
        </w:rPr>
        <w:t>单位要通力合作，上下联动，真抓实干，不断提高工作效率和水平。各</w:t>
      </w:r>
      <w:r>
        <w:rPr>
          <w:rFonts w:hint="eastAsia" w:ascii="仿宋" w:hAnsi="仿宋" w:eastAsia="仿宋" w:cs="仿宋"/>
          <w:color w:val="000000" w:themeColor="text1"/>
          <w:sz w:val="32"/>
          <w:szCs w:val="32"/>
          <w:highlight w:val="none"/>
          <w:lang w:val="en-US" w:eastAsia="zh-CN"/>
          <w14:textFill>
            <w14:solidFill>
              <w14:schemeClr w14:val="tx1"/>
            </w14:solidFill>
          </w14:textFill>
        </w:rPr>
        <w:t>牵头单位</w:t>
      </w:r>
      <w:r>
        <w:rPr>
          <w:rFonts w:hint="eastAsia" w:ascii="仿宋" w:hAnsi="仿宋" w:eastAsia="仿宋" w:cs="仿宋"/>
          <w:color w:val="000000" w:themeColor="text1"/>
          <w:sz w:val="32"/>
          <w:szCs w:val="32"/>
          <w:highlight w:val="none"/>
          <w14:textFill>
            <w14:solidFill>
              <w14:schemeClr w14:val="tx1"/>
            </w14:solidFill>
          </w14:textFill>
        </w:rPr>
        <w:t>要科学制定实施方案，合理划分工作任务，简化项目审批手续，尤其对重点民生实事项目建设资金重点倾斜，优先安排，根据项目实施进度及时拨付。各责任单位要深入一线，及时发现和解决基层项目实施中出现的矛盾和问题，为重点民生实事项目的完成提供优质服务。要</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加强宣传引导</w:t>
      </w:r>
      <w:r>
        <w:rPr>
          <w:rFonts w:hint="eastAsia" w:ascii="仿宋" w:hAnsi="仿宋" w:eastAsia="仿宋" w:cs="仿宋"/>
          <w:color w:val="000000" w:themeColor="text1"/>
          <w:sz w:val="32"/>
          <w:szCs w:val="32"/>
          <w:highlight w:val="none"/>
          <w14:textFill>
            <w14:solidFill>
              <w14:schemeClr w14:val="tx1"/>
            </w14:solidFill>
          </w14:textFill>
        </w:rPr>
        <w:t>，扩大重点民生实事的</w:t>
      </w:r>
      <w:r>
        <w:rPr>
          <w:rFonts w:hint="eastAsia" w:ascii="仿宋" w:hAnsi="仿宋" w:eastAsia="仿宋" w:cs="仿宋"/>
          <w:color w:val="000000" w:themeColor="text1"/>
          <w:sz w:val="32"/>
          <w:szCs w:val="32"/>
          <w:highlight w:val="none"/>
          <w:lang w:val="en-US" w:eastAsia="zh-CN"/>
          <w14:textFill>
            <w14:solidFill>
              <w14:schemeClr w14:val="tx1"/>
            </w14:solidFill>
          </w14:textFill>
        </w:rPr>
        <w:t>品牌影响力</w:t>
      </w:r>
      <w:r>
        <w:rPr>
          <w:rFonts w:hint="eastAsia" w:ascii="仿宋" w:hAnsi="仿宋" w:eastAsia="仿宋" w:cs="仿宋"/>
          <w:color w:val="000000" w:themeColor="text1"/>
          <w:sz w:val="32"/>
          <w:szCs w:val="32"/>
          <w:highlight w:val="none"/>
          <w14:textFill>
            <w14:solidFill>
              <w14:schemeClr w14:val="tx1"/>
            </w14:solidFill>
          </w14:textFill>
        </w:rPr>
        <w:t>，引导</w:t>
      </w:r>
      <w:r>
        <w:rPr>
          <w:rFonts w:hint="eastAsia" w:ascii="仿宋" w:hAnsi="仿宋" w:eastAsia="仿宋" w:cs="仿宋"/>
          <w:color w:val="000000" w:themeColor="text1"/>
          <w:sz w:val="32"/>
          <w:szCs w:val="32"/>
          <w:highlight w:val="none"/>
          <w:lang w:val="en-US" w:eastAsia="zh-CN"/>
          <w14:textFill>
            <w14:solidFill>
              <w14:schemeClr w14:val="tx1"/>
            </w14:solidFill>
          </w14:textFill>
        </w:rPr>
        <w:t>人民群众全程关注和广泛参与，形成人人参与、共建共享的良好局面。开展民意调查，了解收益群众或关联群</w:t>
      </w:r>
      <w:r>
        <w:rPr>
          <w:rFonts w:hint="eastAsia" w:ascii="仿宋" w:hAnsi="仿宋" w:eastAsia="仿宋" w:cs="仿宋"/>
          <w:color w:val="000000" w:themeColor="text1"/>
          <w:spacing w:val="-6"/>
          <w:sz w:val="32"/>
          <w:szCs w:val="32"/>
          <w:highlight w:val="none"/>
          <w:lang w:val="en-US" w:eastAsia="zh-CN"/>
          <w14:textFill>
            <w14:solidFill>
              <w14:schemeClr w14:val="tx1"/>
            </w14:solidFill>
          </w14:textFill>
        </w:rPr>
        <w:t>众对重点民生实事项目实施成效的满意度，更好地反映群众期盼</w:t>
      </w:r>
      <w:r>
        <w:rPr>
          <w:rFonts w:hint="eastAsia" w:ascii="仿宋" w:hAnsi="仿宋" w:eastAsia="仿宋" w:cs="仿宋"/>
          <w:color w:val="000000" w:themeColor="text1"/>
          <w:spacing w:val="-6"/>
          <w:sz w:val="32"/>
          <w:szCs w:val="32"/>
          <w:highlight w:val="none"/>
          <w14:textFill>
            <w14:solidFill>
              <w14:schemeClr w14:val="tx1"/>
            </w14:solidFill>
          </w14:textFill>
        </w:rPr>
        <w:t>。</w:t>
      </w:r>
    </w:p>
    <w:p w14:paraId="5299DA4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sectPr>
          <w:footerReference r:id="rId7" w:type="default"/>
          <w:pgSz w:w="11906" w:h="16838"/>
          <w:pgMar w:top="1531" w:right="1531" w:bottom="1440" w:left="1701" w:header="851" w:footer="992" w:gutter="0"/>
          <w:cols w:space="425" w:num="1"/>
          <w:docGrid w:type="lines" w:linePitch="312" w:charSpace="0"/>
        </w:sectPr>
      </w:pPr>
      <w:r>
        <w:rPr>
          <w:rFonts w:hint="eastAsia" w:ascii="宋体" w:hAnsi="宋体" w:eastAsia="楷体_GB2312" w:cs="楷体_GB2312"/>
          <w:b/>
          <w:bCs/>
          <w:color w:val="000000" w:themeColor="text1"/>
          <w:kern w:val="2"/>
          <w:sz w:val="32"/>
          <w:szCs w:val="32"/>
          <w:highlight w:val="none"/>
          <w:lang w:val="en-US" w:eastAsia="zh-CN" w:bidi="ar-SA"/>
          <w14:textFill>
            <w14:solidFill>
              <w14:schemeClr w14:val="tx1"/>
            </w14:solidFill>
          </w14:textFill>
        </w:rPr>
        <w:t>（三）管理上要确保长效。</w:t>
      </w:r>
      <w:r>
        <w:rPr>
          <w:rFonts w:hint="eastAsia" w:ascii="仿宋" w:hAnsi="仿宋" w:eastAsia="仿宋" w:cs="仿宋"/>
          <w:color w:val="000000" w:themeColor="text1"/>
          <w:sz w:val="32"/>
          <w:szCs w:val="32"/>
          <w:highlight w:val="none"/>
          <w14:textFill>
            <w14:solidFill>
              <w14:schemeClr w14:val="tx1"/>
            </w14:solidFill>
          </w14:textFill>
        </w:rPr>
        <w:t>各</w:t>
      </w:r>
      <w:r>
        <w:rPr>
          <w:rFonts w:hint="eastAsia" w:ascii="仿宋" w:hAnsi="仿宋" w:eastAsia="仿宋" w:cs="仿宋"/>
          <w:color w:val="000000" w:themeColor="text1"/>
          <w:sz w:val="32"/>
          <w:szCs w:val="32"/>
          <w:highlight w:val="none"/>
          <w:lang w:val="en-US" w:eastAsia="zh-CN"/>
          <w14:textFill>
            <w14:solidFill>
              <w14:schemeClr w14:val="tx1"/>
            </w14:solidFill>
          </w14:textFill>
        </w:rPr>
        <w:t>相关</w:t>
      </w:r>
      <w:r>
        <w:rPr>
          <w:rFonts w:hint="eastAsia" w:ascii="仿宋" w:hAnsi="仿宋" w:eastAsia="仿宋" w:cs="仿宋"/>
          <w:color w:val="000000" w:themeColor="text1"/>
          <w:sz w:val="32"/>
          <w:szCs w:val="32"/>
          <w:highlight w:val="none"/>
          <w14:textFill>
            <w14:solidFill>
              <w14:schemeClr w14:val="tx1"/>
            </w14:solidFill>
          </w14:textFill>
        </w:rPr>
        <w:t>单位要积极探索重点民生实事工作的长效管理机制，不断健全和完善</w:t>
      </w:r>
      <w:r>
        <w:rPr>
          <w:rFonts w:hint="eastAsia" w:ascii="仿宋" w:hAnsi="仿宋" w:eastAsia="仿宋" w:cs="仿宋"/>
          <w:color w:val="000000" w:themeColor="text1"/>
          <w:sz w:val="32"/>
          <w:szCs w:val="32"/>
          <w:highlight w:val="none"/>
          <w:lang w:val="en-US" w:eastAsia="zh-CN"/>
          <w14:textFill>
            <w14:solidFill>
              <w14:schemeClr w14:val="tx1"/>
            </w14:solidFill>
          </w14:textFill>
        </w:rPr>
        <w:t>重点民生</w:t>
      </w:r>
      <w:r>
        <w:rPr>
          <w:rFonts w:hint="eastAsia" w:ascii="仿宋" w:hAnsi="仿宋" w:eastAsia="仿宋" w:cs="仿宋"/>
          <w:color w:val="000000" w:themeColor="text1"/>
          <w:sz w:val="32"/>
          <w:szCs w:val="32"/>
          <w:highlight w:val="none"/>
          <w14:textFill>
            <w14:solidFill>
              <w14:schemeClr w14:val="tx1"/>
            </w14:solidFill>
          </w14:textFill>
        </w:rPr>
        <w:t>实事项目后续管理办法，做到“建管用”一体化</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全面提升管养水平和质量；各单位</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各乡镇要组织开展重点民生实事工作“回头看”，对群众在项目建设、质量监督、验收评价、后续管理等各个环节反映强烈的问题要及时解决，本级不能解决的，要逐级上报，真正把重点民生实事项目办成长远的暖心工程。</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p>
    <w:p w14:paraId="353F85BD">
      <w:pPr>
        <w:spacing w:before="94" w:line="223" w:lineRule="auto"/>
        <w:rPr>
          <w:rFonts w:ascii="黑体" w:hAnsi="黑体" w:eastAsia="黑体" w:cs="黑体"/>
          <w:b w:val="0"/>
          <w:bCs w:val="0"/>
          <w:color w:val="000000" w:themeColor="text1"/>
          <w:sz w:val="29"/>
          <w:szCs w:val="29"/>
          <w14:textFill>
            <w14:solidFill>
              <w14:schemeClr w14:val="tx1"/>
            </w14:solidFill>
          </w14:textFill>
        </w:rPr>
      </w:pPr>
      <w:r>
        <w:rPr>
          <w:rFonts w:ascii="黑体" w:hAnsi="黑体" w:eastAsia="黑体" w:cs="黑体"/>
          <w:b w:val="0"/>
          <w:bCs w:val="0"/>
          <w:color w:val="000000" w:themeColor="text1"/>
          <w:spacing w:val="-10"/>
          <w:sz w:val="29"/>
          <w:szCs w:val="29"/>
          <w14:textFill>
            <w14:solidFill>
              <w14:schemeClr w14:val="tx1"/>
            </w14:solidFill>
          </w14:textFill>
        </w:rPr>
        <w:t>附表</w:t>
      </w:r>
    </w:p>
    <w:p w14:paraId="627D0DE5">
      <w:pPr>
        <w:spacing w:before="332" w:line="219" w:lineRule="auto"/>
        <w:ind w:left="1431"/>
        <w:rPr>
          <w:rFonts w:hint="eastAsia" w:ascii="方正小标宋简体" w:hAnsi="方正小标宋简体" w:eastAsia="方正小标宋简体" w:cs="方正小标宋简体"/>
          <w:b w:val="0"/>
          <w:bCs w:val="0"/>
          <w:color w:val="000000" w:themeColor="text1"/>
          <w:sz w:val="43"/>
          <w:szCs w:val="43"/>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1"/>
          <w:sz w:val="43"/>
          <w:szCs w:val="43"/>
          <w:lang w:eastAsia="zh-CN"/>
          <w14:textFill>
            <w14:solidFill>
              <w14:schemeClr w14:val="tx1"/>
            </w14:solidFill>
          </w14:textFill>
        </w:rPr>
        <w:t>绥宁县</w:t>
      </w:r>
      <w:r>
        <w:rPr>
          <w:rFonts w:hint="eastAsia" w:ascii="方正小标宋简体" w:hAnsi="方正小标宋简体" w:eastAsia="方正小标宋简体" w:cs="方正小标宋简体"/>
          <w:b w:val="0"/>
          <w:bCs w:val="0"/>
          <w:color w:val="000000" w:themeColor="text1"/>
          <w:spacing w:val="-11"/>
          <w:sz w:val="43"/>
          <w:szCs w:val="43"/>
          <w14:textFill>
            <w14:solidFill>
              <w14:schemeClr w14:val="tx1"/>
            </w14:solidFill>
          </w14:textFill>
        </w:rPr>
        <w:t>打好“重点民生保障仗”重点工作任务责</w:t>
      </w:r>
      <w:r>
        <w:rPr>
          <w:rFonts w:hint="eastAsia" w:ascii="方正小标宋简体" w:hAnsi="方正小标宋简体" w:eastAsia="方正小标宋简体" w:cs="方正小标宋简体"/>
          <w:b w:val="0"/>
          <w:bCs w:val="0"/>
          <w:color w:val="000000" w:themeColor="text1"/>
          <w:spacing w:val="-12"/>
          <w:sz w:val="43"/>
          <w:szCs w:val="43"/>
          <w14:textFill>
            <w14:solidFill>
              <w14:schemeClr w14:val="tx1"/>
            </w14:solidFill>
          </w14:textFill>
        </w:rPr>
        <w:t>任分解表</w:t>
      </w:r>
    </w:p>
    <w:p w14:paraId="3F58922F">
      <w:pPr>
        <w:spacing w:line="193" w:lineRule="exact"/>
        <w:rPr>
          <w:color w:val="000000" w:themeColor="text1"/>
          <w14:textFill>
            <w14:solidFill>
              <w14:schemeClr w14:val="tx1"/>
            </w14:solidFill>
          </w14:textFill>
        </w:rPr>
      </w:pPr>
    </w:p>
    <w:tbl>
      <w:tblPr>
        <w:tblStyle w:val="17"/>
        <w:tblW w:w="14790" w:type="dxa"/>
        <w:tblInd w:w="-4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540"/>
        <w:gridCol w:w="1905"/>
        <w:gridCol w:w="6225"/>
        <w:gridCol w:w="2760"/>
        <w:gridCol w:w="1635"/>
        <w:gridCol w:w="1155"/>
      </w:tblGrid>
      <w:tr w14:paraId="67A4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0" w:type="dxa"/>
            <w:vAlign w:val="center"/>
          </w:tcPr>
          <w:p w14:paraId="0E3669A3">
            <w:pPr>
              <w:keepNext w:val="0"/>
              <w:keepLines w:val="0"/>
              <w:pageBreakBefore w:val="0"/>
              <w:widowControl w:val="0"/>
              <w:kinsoku/>
              <w:wordWrap/>
              <w:overflowPunct/>
              <w:topLinePunct w:val="0"/>
              <w:autoSpaceDE/>
              <w:autoSpaceDN/>
              <w:bidi w:val="0"/>
              <w:adjustRightInd/>
              <w:snapToGrid/>
              <w:spacing w:line="300" w:lineRule="exact"/>
              <w:ind w:left="65"/>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2"/>
                <w:sz w:val="24"/>
                <w:szCs w:val="24"/>
                <w14:textFill>
                  <w14:solidFill>
                    <w14:schemeClr w14:val="tx1"/>
                  </w14:solidFill>
                </w14:textFill>
              </w:rPr>
              <w:t>序号</w:t>
            </w:r>
          </w:p>
        </w:tc>
        <w:tc>
          <w:tcPr>
            <w:tcW w:w="8670" w:type="dxa"/>
            <w:gridSpan w:val="3"/>
            <w:vAlign w:val="center"/>
          </w:tcPr>
          <w:p w14:paraId="41478C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重点工作任务</w:t>
            </w:r>
          </w:p>
        </w:tc>
        <w:tc>
          <w:tcPr>
            <w:tcW w:w="2760" w:type="dxa"/>
            <w:vAlign w:val="center"/>
          </w:tcPr>
          <w:p w14:paraId="64C274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主要责任单位</w:t>
            </w:r>
          </w:p>
        </w:tc>
        <w:tc>
          <w:tcPr>
            <w:tcW w:w="1635" w:type="dxa"/>
            <w:vAlign w:val="center"/>
          </w:tcPr>
          <w:p w14:paraId="667FFA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6"/>
                <w:sz w:val="24"/>
                <w:szCs w:val="24"/>
                <w14:textFill>
                  <w14:solidFill>
                    <w14:schemeClr w14:val="tx1"/>
                  </w14:solidFill>
                </w14:textFill>
              </w:rPr>
              <w:t>责任人</w:t>
            </w:r>
          </w:p>
        </w:tc>
        <w:tc>
          <w:tcPr>
            <w:tcW w:w="1155" w:type="dxa"/>
            <w:vAlign w:val="center"/>
          </w:tcPr>
          <w:p w14:paraId="3490A0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县级责</w:t>
            </w:r>
          </w:p>
          <w:p w14:paraId="57D9E3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任领导</w:t>
            </w:r>
          </w:p>
        </w:tc>
      </w:tr>
      <w:tr w14:paraId="59D8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0" w:type="dxa"/>
            <w:vMerge w:val="restart"/>
            <w:tcBorders>
              <w:bottom w:val="nil"/>
            </w:tcBorders>
            <w:vAlign w:val="top"/>
          </w:tcPr>
          <w:p w14:paraId="782F2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185F40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31E8C7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0D9548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50640C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6EE00F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6C234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1FAC3E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25FD1A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51FDFC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6D6864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649050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p w14:paraId="4AD3EE2B">
            <w:pPr>
              <w:keepNext w:val="0"/>
              <w:keepLines w:val="0"/>
              <w:pageBreakBefore w:val="0"/>
              <w:widowControl w:val="0"/>
              <w:kinsoku/>
              <w:wordWrap/>
              <w:overflowPunct/>
              <w:topLinePunct w:val="0"/>
              <w:autoSpaceDE/>
              <w:autoSpaceDN/>
              <w:bidi w:val="0"/>
              <w:adjustRightInd/>
              <w:snapToGrid/>
              <w:spacing w:line="300" w:lineRule="exact"/>
              <w:ind w:left="65"/>
              <w:jc w:val="center"/>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540" w:type="dxa"/>
            <w:vMerge w:val="restart"/>
            <w:tcBorders>
              <w:bottom w:val="nil"/>
            </w:tcBorders>
            <w:vAlign w:val="top"/>
          </w:tcPr>
          <w:p w14:paraId="4BFB13BF">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22B94AB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74F29FA0">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11B37868">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60EA5133">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11B2C96F">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5594E6B4">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19816600">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3DC3375F">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7E33B3CC">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p w14:paraId="3EA55A59">
            <w:pPr>
              <w:keepNext w:val="0"/>
              <w:keepLines w:val="0"/>
              <w:pageBreakBefore w:val="0"/>
              <w:widowControl w:val="0"/>
              <w:kinsoku/>
              <w:wordWrap/>
              <w:overflowPunct/>
              <w:topLinePunct w:val="0"/>
              <w:autoSpaceDE/>
              <w:autoSpaceDN/>
              <w:bidi w:val="0"/>
              <w:adjustRightInd/>
              <w:snapToGrid/>
              <w:spacing w:line="30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position w:val="6"/>
                <w:sz w:val="24"/>
                <w:szCs w:val="24"/>
                <w14:textFill>
                  <w14:solidFill>
                    <w14:schemeClr w14:val="tx1"/>
                  </w14:solidFill>
                </w14:textFill>
              </w:rPr>
              <w:t>省定</w:t>
            </w:r>
          </w:p>
          <w:p w14:paraId="7102CB72">
            <w:pPr>
              <w:keepNext w:val="0"/>
              <w:keepLines w:val="0"/>
              <w:pageBreakBefore w:val="0"/>
              <w:widowControl w:val="0"/>
              <w:kinsoku/>
              <w:wordWrap/>
              <w:overflowPunct/>
              <w:topLinePunct w:val="0"/>
              <w:autoSpaceDE/>
              <w:autoSpaceDN/>
              <w:bidi w:val="0"/>
              <w:adjustRightInd/>
              <w:snapToGrid/>
              <w:spacing w:line="30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民生</w:t>
            </w:r>
          </w:p>
          <w:p w14:paraId="06875565">
            <w:pPr>
              <w:keepNext w:val="0"/>
              <w:keepLines w:val="0"/>
              <w:pageBreakBefore w:val="0"/>
              <w:widowControl w:val="0"/>
              <w:kinsoku/>
              <w:wordWrap/>
              <w:overflowPunct/>
              <w:topLinePunct w:val="0"/>
              <w:autoSpaceDE/>
              <w:autoSpaceDN/>
              <w:bidi w:val="0"/>
              <w:adjustRightInd/>
              <w:snapToGrid/>
              <w:spacing w:line="30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实事</w:t>
            </w:r>
          </w:p>
        </w:tc>
        <w:tc>
          <w:tcPr>
            <w:tcW w:w="8130" w:type="dxa"/>
            <w:gridSpan w:val="2"/>
            <w:vAlign w:val="center"/>
          </w:tcPr>
          <w:p w14:paraId="6E8BD55C">
            <w:pPr>
              <w:keepNext w:val="0"/>
              <w:keepLines w:val="0"/>
              <w:pageBreakBefore w:val="0"/>
              <w:widowControl w:val="0"/>
              <w:kinsoku/>
              <w:wordWrap/>
              <w:overflowPunct/>
              <w:topLinePunct w:val="0"/>
              <w:autoSpaceDE/>
              <w:autoSpaceDN/>
              <w:bidi w:val="0"/>
              <w:adjustRightInd/>
              <w:snapToGrid/>
              <w:spacing w:line="300" w:lineRule="exact"/>
              <w:ind w:left="71" w:right="104"/>
              <w:jc w:val="both"/>
              <w:textAlignment w:val="auto"/>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1.启动建设县域普通高中“徐特立项目”。(</w:t>
            </w:r>
            <w:r>
              <w:rPr>
                <w:rFonts w:hint="eastAsia" w:ascii="宋体" w:hAnsi="宋体" w:eastAsia="宋体" w:cs="宋体"/>
                <w:color w:val="000000" w:themeColor="text1"/>
                <w:spacing w:val="-1"/>
                <w:sz w:val="24"/>
                <w:szCs w:val="24"/>
                <w:lang w:eastAsia="zh-CN"/>
                <w14:textFill>
                  <w14:solidFill>
                    <w14:schemeClr w14:val="tx1"/>
                  </w14:solidFill>
                </w14:textFill>
              </w:rPr>
              <w:t>计划一中新建科教楼；二中新建体育馆</w:t>
            </w:r>
            <w:r>
              <w:rPr>
                <w:rFonts w:ascii="宋体" w:hAnsi="宋体" w:eastAsia="宋体" w:cs="宋体"/>
                <w:color w:val="000000" w:themeColor="text1"/>
                <w:spacing w:val="-1"/>
                <w:sz w:val="24"/>
                <w:szCs w:val="24"/>
                <w14:textFill>
                  <w14:solidFill>
                    <w14:schemeClr w14:val="tx1"/>
                  </w14:solidFill>
                </w14:textFill>
              </w:rPr>
              <w:t>)</w:t>
            </w:r>
          </w:p>
        </w:tc>
        <w:tc>
          <w:tcPr>
            <w:tcW w:w="2760" w:type="dxa"/>
            <w:vAlign w:val="center"/>
          </w:tcPr>
          <w:p w14:paraId="04AEFB56">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教育局</w:t>
            </w:r>
          </w:p>
        </w:tc>
        <w:tc>
          <w:tcPr>
            <w:tcW w:w="1635" w:type="dxa"/>
            <w:vAlign w:val="center"/>
          </w:tcPr>
          <w:p w14:paraId="7CDDE0DF">
            <w:pPr>
              <w:keepNext w:val="0"/>
              <w:keepLines w:val="0"/>
              <w:pageBreakBefore w:val="0"/>
              <w:widowControl w:val="0"/>
              <w:kinsoku/>
              <w:wordWrap/>
              <w:overflowPunct/>
              <w:topLinePunct w:val="0"/>
              <w:autoSpaceDE/>
              <w:autoSpaceDN/>
              <w:bidi w:val="0"/>
              <w:adjustRightInd/>
              <w:snapToGrid/>
              <w:spacing w:line="300" w:lineRule="exact"/>
              <w:ind w:right="231"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龙景星</w:t>
            </w:r>
          </w:p>
        </w:tc>
        <w:tc>
          <w:tcPr>
            <w:tcW w:w="1155" w:type="dxa"/>
            <w:vAlign w:val="center"/>
          </w:tcPr>
          <w:p w14:paraId="5066F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7B43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570" w:type="dxa"/>
            <w:vMerge w:val="continue"/>
            <w:tcBorders>
              <w:top w:val="nil"/>
              <w:bottom w:val="nil"/>
            </w:tcBorders>
            <w:vAlign w:val="top"/>
          </w:tcPr>
          <w:p w14:paraId="1D73BAD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1BCF4A4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8130" w:type="dxa"/>
            <w:gridSpan w:val="2"/>
            <w:vAlign w:val="center"/>
          </w:tcPr>
          <w:p w14:paraId="2C791535">
            <w:pPr>
              <w:keepNext w:val="0"/>
              <w:keepLines w:val="0"/>
              <w:pageBreakBefore w:val="0"/>
              <w:widowControl w:val="0"/>
              <w:kinsoku/>
              <w:wordWrap/>
              <w:overflowPunct/>
              <w:topLinePunct w:val="0"/>
              <w:autoSpaceDE/>
              <w:autoSpaceDN/>
              <w:bidi w:val="0"/>
              <w:adjustRightInd/>
              <w:snapToGrid/>
              <w:spacing w:line="300" w:lineRule="exact"/>
              <w:ind w:left="71" w:right="104"/>
              <w:jc w:val="both"/>
              <w:textAlignment w:val="auto"/>
              <w:rPr>
                <w:rFonts w:hint="eastAsia"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 “湘易办”便民利企服务平台建设推广。</w:t>
            </w:r>
            <w:r>
              <w:rPr>
                <w:rFonts w:hint="eastAsia" w:ascii="宋体" w:hAnsi="宋体" w:eastAsia="宋体" w:cs="宋体"/>
                <w:color w:val="000000" w:themeColor="text1"/>
                <w:spacing w:val="-1"/>
                <w:sz w:val="24"/>
                <w:szCs w:val="24"/>
                <w:lang w:eastAsia="zh-CN"/>
                <w14:textFill>
                  <w14:solidFill>
                    <w14:schemeClr w14:val="tx1"/>
                  </w14:solidFill>
                </w14:textFill>
              </w:rPr>
              <w:t>其中</w:t>
            </w:r>
            <w:r>
              <w:rPr>
                <w:rFonts w:hint="eastAsia" w:ascii="宋体" w:hAnsi="宋体" w:eastAsia="宋体" w:cs="宋体"/>
                <w:color w:val="000000" w:themeColor="text1"/>
                <w:spacing w:val="-1"/>
                <w:sz w:val="24"/>
                <w:szCs w:val="24"/>
                <w14:textFill>
                  <w14:solidFill>
                    <w14:schemeClr w14:val="tx1"/>
                  </w14:solidFill>
                </w14:textFill>
              </w:rPr>
              <w:t>“一网通办”事项</w:t>
            </w:r>
            <w:r>
              <w:rPr>
                <w:rFonts w:hint="eastAsia" w:ascii="宋体" w:hAnsi="宋体" w:eastAsia="宋体" w:cs="宋体"/>
                <w:color w:val="000000" w:themeColor="text1"/>
                <w:spacing w:val="-1"/>
                <w:sz w:val="24"/>
                <w:szCs w:val="24"/>
                <w:lang w:eastAsia="zh-CN"/>
                <w14:textFill>
                  <w14:solidFill>
                    <w14:schemeClr w14:val="tx1"/>
                  </w14:solidFill>
                </w14:textFill>
              </w:rPr>
              <w:t>任务</w:t>
            </w:r>
            <w:r>
              <w:rPr>
                <w:rFonts w:hint="eastAsia" w:ascii="宋体" w:hAnsi="宋体" w:eastAsia="宋体" w:cs="宋体"/>
                <w:color w:val="000000" w:themeColor="text1"/>
                <w:spacing w:val="-1"/>
                <w:sz w:val="24"/>
                <w:szCs w:val="24"/>
                <w:lang w:val="en-US" w:eastAsia="zh-CN"/>
                <w14:textFill>
                  <w14:solidFill>
                    <w14:schemeClr w14:val="tx1"/>
                  </w14:solidFill>
                </w14:textFill>
              </w:rPr>
              <w:t>700项</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集成可应用的电子证照种</w:t>
            </w:r>
            <w:r>
              <w:rPr>
                <w:rFonts w:hint="eastAsia" w:ascii="宋体" w:hAnsi="宋体" w:eastAsia="宋体" w:cs="宋体"/>
                <w:color w:val="000000" w:themeColor="text1"/>
                <w:spacing w:val="-1"/>
                <w:sz w:val="24"/>
                <w:szCs w:val="24"/>
                <w:lang w:eastAsia="zh-CN"/>
                <w14:textFill>
                  <w14:solidFill>
                    <w14:schemeClr w14:val="tx1"/>
                  </w14:solidFill>
                </w14:textFill>
              </w:rPr>
              <w:t>类</w:t>
            </w:r>
            <w:r>
              <w:rPr>
                <w:rFonts w:hint="eastAsia" w:ascii="宋体" w:hAnsi="宋体" w:eastAsia="宋体" w:cs="宋体"/>
                <w:color w:val="000000" w:themeColor="text1"/>
                <w:spacing w:val="-1"/>
                <w:sz w:val="24"/>
                <w:szCs w:val="24"/>
                <w:lang w:val="en-US" w:eastAsia="zh-CN"/>
                <w14:textFill>
                  <w14:solidFill>
                    <w14:schemeClr w14:val="tx1"/>
                  </w14:solidFill>
                </w14:textFill>
              </w:rPr>
              <w:t>60类</w:t>
            </w:r>
            <w:r>
              <w:rPr>
                <w:rFonts w:hint="eastAsia" w:ascii="宋体" w:hAnsi="宋体" w:eastAsia="宋体" w:cs="宋体"/>
                <w:color w:val="000000" w:themeColor="text1"/>
                <w:spacing w:val="-1"/>
                <w:sz w:val="24"/>
                <w:szCs w:val="24"/>
                <w:lang w:eastAsia="zh-CN"/>
                <w14:textFill>
                  <w14:solidFill>
                    <w14:schemeClr w14:val="tx1"/>
                  </w14:solidFill>
                </w14:textFill>
              </w:rPr>
              <w:t>和</w:t>
            </w:r>
            <w:r>
              <w:rPr>
                <w:rFonts w:hint="eastAsia" w:ascii="宋体" w:hAnsi="宋体" w:eastAsia="宋体" w:cs="宋体"/>
                <w:color w:val="000000" w:themeColor="text1"/>
                <w:spacing w:val="-1"/>
                <w:sz w:val="24"/>
                <w:szCs w:val="24"/>
                <w14:textFill>
                  <w14:solidFill>
                    <w14:schemeClr w14:val="tx1"/>
                  </w14:solidFill>
                </w14:textFill>
              </w:rPr>
              <w:t>用户数</w:t>
            </w:r>
            <w:r>
              <w:rPr>
                <w:rFonts w:hint="eastAsia" w:ascii="宋体" w:hAnsi="宋体" w:eastAsia="宋体" w:cs="宋体"/>
                <w:color w:val="000000" w:themeColor="text1"/>
                <w:spacing w:val="-1"/>
                <w:sz w:val="24"/>
                <w:szCs w:val="24"/>
                <w:lang w:val="en-US" w:eastAsia="zh-CN"/>
                <w14:textFill>
                  <w14:solidFill>
                    <w14:schemeClr w14:val="tx1"/>
                  </w14:solidFill>
                </w14:textFill>
              </w:rPr>
              <w:t>13.4万人</w:t>
            </w:r>
          </w:p>
        </w:tc>
        <w:tc>
          <w:tcPr>
            <w:tcW w:w="2760" w:type="dxa"/>
            <w:vAlign w:val="center"/>
          </w:tcPr>
          <w:p w14:paraId="0ED16AB6">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行政审批服务局牵头，</w:t>
            </w:r>
            <w:r>
              <w:rPr>
                <w:rFonts w:hint="eastAsia" w:ascii="宋体" w:hAnsi="宋体" w:eastAsia="宋体" w:cs="宋体"/>
                <w:color w:val="000000" w:themeColor="text1"/>
                <w:sz w:val="24"/>
                <w:szCs w:val="24"/>
                <w:lang w:eastAsia="zh-CN"/>
                <w14:textFill>
                  <w14:solidFill>
                    <w14:schemeClr w14:val="tx1"/>
                  </w14:solidFill>
                </w14:textFill>
              </w:rPr>
              <w:t>相关乡镇</w:t>
            </w:r>
            <w:r>
              <w:rPr>
                <w:rFonts w:hint="eastAsia" w:ascii="宋体" w:hAnsi="宋体" w:eastAsia="宋体" w:cs="宋体"/>
                <w:color w:val="000000" w:themeColor="text1"/>
                <w:sz w:val="24"/>
                <w:szCs w:val="24"/>
                <w14:textFill>
                  <w14:solidFill>
                    <w14:schemeClr w14:val="tx1"/>
                  </w14:solidFill>
                </w14:textFill>
              </w:rPr>
              <w:t>负责</w:t>
            </w:r>
          </w:p>
        </w:tc>
        <w:tc>
          <w:tcPr>
            <w:tcW w:w="1635" w:type="dxa"/>
            <w:vAlign w:val="center"/>
          </w:tcPr>
          <w:p w14:paraId="1FC8842F">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兰</w:t>
            </w:r>
            <w:r>
              <w:rPr>
                <w:rFonts w:hint="eastAsia" w:ascii="宋体" w:hAnsi="宋体" w:eastAsia="宋体" w:cs="宋体"/>
                <w:color w:val="000000" w:themeColor="text1"/>
                <w:spacing w:val="4"/>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eastAsia="zh-CN"/>
                <w14:textFill>
                  <w14:solidFill>
                    <w14:schemeClr w14:val="tx1"/>
                  </w14:solidFill>
                </w14:textFill>
              </w:rPr>
              <w:t>慧</w:t>
            </w:r>
          </w:p>
          <w:p w14:paraId="06F2060B">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各乡镇长</w:t>
            </w:r>
          </w:p>
        </w:tc>
        <w:tc>
          <w:tcPr>
            <w:tcW w:w="1155" w:type="dxa"/>
            <w:vAlign w:val="center"/>
          </w:tcPr>
          <w:p w14:paraId="73876B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陵建华</w:t>
            </w:r>
          </w:p>
        </w:tc>
      </w:tr>
      <w:tr w14:paraId="26BB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tcBorders>
              <w:top w:val="nil"/>
              <w:bottom w:val="nil"/>
            </w:tcBorders>
            <w:vAlign w:val="top"/>
          </w:tcPr>
          <w:p w14:paraId="5177C29C">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3163B578">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8130" w:type="dxa"/>
            <w:gridSpan w:val="2"/>
            <w:vAlign w:val="center"/>
          </w:tcPr>
          <w:p w14:paraId="12500D4E">
            <w:pPr>
              <w:keepNext w:val="0"/>
              <w:keepLines w:val="0"/>
              <w:pageBreakBefore w:val="0"/>
              <w:widowControl w:val="0"/>
              <w:kinsoku/>
              <w:wordWrap/>
              <w:overflowPunct/>
              <w:topLinePunct w:val="0"/>
              <w:autoSpaceDE/>
              <w:autoSpaceDN/>
              <w:bidi w:val="0"/>
              <w:adjustRightInd/>
              <w:snapToGrid/>
              <w:spacing w:line="300" w:lineRule="exact"/>
              <w:ind w:left="71" w:right="151"/>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3.促进高质量充分就业。城镇新增就业</w:t>
            </w:r>
            <w:r>
              <w:rPr>
                <w:rFonts w:hint="eastAsia" w:ascii="宋体" w:hAnsi="宋体" w:eastAsia="宋体" w:cs="宋体"/>
                <w:color w:val="000000" w:themeColor="text1"/>
                <w:spacing w:val="2"/>
                <w:sz w:val="24"/>
                <w:szCs w:val="24"/>
                <w:lang w:val="en-US" w:eastAsia="zh-CN"/>
                <w14:textFill>
                  <w14:solidFill>
                    <w14:schemeClr w14:val="tx1"/>
                  </w14:solidFill>
                </w14:textFill>
              </w:rPr>
              <w:t>3200</w:t>
            </w:r>
            <w:r>
              <w:rPr>
                <w:rFonts w:ascii="宋体" w:hAnsi="宋体" w:eastAsia="宋体" w:cs="宋体"/>
                <w:color w:val="000000" w:themeColor="text1"/>
                <w:spacing w:val="2"/>
                <w:sz w:val="24"/>
                <w:szCs w:val="24"/>
                <w14:textFill>
                  <w14:solidFill>
                    <w14:schemeClr w14:val="tx1"/>
                  </w14:solidFill>
                </w14:textFill>
              </w:rPr>
              <w:t>人；开展补贴性职业技能培训</w:t>
            </w:r>
            <w:r>
              <w:rPr>
                <w:rFonts w:hint="eastAsia" w:ascii="宋体" w:hAnsi="宋体" w:eastAsia="宋体" w:cs="宋体"/>
                <w:color w:val="000000" w:themeColor="text1"/>
                <w:spacing w:val="11"/>
                <w:sz w:val="24"/>
                <w:szCs w:val="24"/>
                <w:lang w:val="en-US" w:eastAsia="zh-CN"/>
                <w14:textFill>
                  <w14:solidFill>
                    <w14:schemeClr w14:val="tx1"/>
                  </w14:solidFill>
                </w14:textFill>
              </w:rPr>
              <w:t>1200</w:t>
            </w:r>
            <w:r>
              <w:rPr>
                <w:rFonts w:ascii="宋体" w:hAnsi="宋体" w:eastAsia="宋体" w:cs="宋体"/>
                <w:color w:val="000000" w:themeColor="text1"/>
                <w:spacing w:val="11"/>
                <w:sz w:val="24"/>
                <w:szCs w:val="24"/>
                <w14:textFill>
                  <w14:solidFill>
                    <w14:schemeClr w14:val="tx1"/>
                  </w14:solidFill>
                </w14:textFill>
              </w:rPr>
              <w:t>人次(其中创业培训</w:t>
            </w:r>
            <w:r>
              <w:rPr>
                <w:rFonts w:hint="eastAsia" w:ascii="宋体" w:hAnsi="宋体" w:eastAsia="宋体" w:cs="宋体"/>
                <w:color w:val="000000" w:themeColor="text1"/>
                <w:spacing w:val="11"/>
                <w:sz w:val="24"/>
                <w:szCs w:val="24"/>
                <w:lang w:val="en-US" w:eastAsia="zh-CN"/>
                <w14:textFill>
                  <w14:solidFill>
                    <w14:schemeClr w14:val="tx1"/>
                  </w14:solidFill>
                </w14:textFill>
              </w:rPr>
              <w:t>600</w:t>
            </w:r>
            <w:r>
              <w:rPr>
                <w:rFonts w:ascii="宋体" w:hAnsi="宋体" w:eastAsia="宋体" w:cs="宋体"/>
                <w:color w:val="000000" w:themeColor="text1"/>
                <w:spacing w:val="11"/>
                <w:sz w:val="24"/>
                <w:szCs w:val="24"/>
                <w14:textFill>
                  <w14:solidFill>
                    <w14:schemeClr w14:val="tx1"/>
                  </w14:solidFill>
                </w14:textFill>
              </w:rPr>
              <w:t>人次)。</w:t>
            </w:r>
          </w:p>
        </w:tc>
        <w:tc>
          <w:tcPr>
            <w:tcW w:w="2760" w:type="dxa"/>
            <w:vAlign w:val="center"/>
          </w:tcPr>
          <w:p w14:paraId="3CBFEA0D">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县人力资源和社会保障局</w:t>
            </w:r>
            <w:r>
              <w:rPr>
                <w:rFonts w:hint="eastAsia" w:ascii="宋体" w:hAnsi="宋体" w:eastAsia="宋体" w:cs="宋体"/>
                <w:color w:val="000000" w:themeColor="text1"/>
                <w:sz w:val="24"/>
                <w:szCs w:val="24"/>
                <w14:textFill>
                  <w14:solidFill>
                    <w14:schemeClr w14:val="tx1"/>
                  </w14:solidFill>
                </w14:textFill>
              </w:rPr>
              <w:t>牵头，</w:t>
            </w:r>
            <w:r>
              <w:rPr>
                <w:rFonts w:hint="eastAsia" w:ascii="宋体" w:hAnsi="宋体" w:eastAsia="宋体" w:cs="宋体"/>
                <w:color w:val="000000" w:themeColor="text1"/>
                <w:sz w:val="24"/>
                <w:szCs w:val="24"/>
                <w:lang w:eastAsia="zh-CN"/>
                <w14:textFill>
                  <w14:solidFill>
                    <w14:schemeClr w14:val="tx1"/>
                  </w14:solidFill>
                </w14:textFill>
              </w:rPr>
              <w:t>相关乡镇</w:t>
            </w:r>
            <w:r>
              <w:rPr>
                <w:rFonts w:hint="eastAsia" w:ascii="宋体" w:hAnsi="宋体" w:eastAsia="宋体" w:cs="宋体"/>
                <w:color w:val="000000" w:themeColor="text1"/>
                <w:sz w:val="24"/>
                <w:szCs w:val="24"/>
                <w14:textFill>
                  <w14:solidFill>
                    <w14:schemeClr w14:val="tx1"/>
                  </w14:solidFill>
                </w14:textFill>
              </w:rPr>
              <w:t>负责</w:t>
            </w:r>
          </w:p>
        </w:tc>
        <w:tc>
          <w:tcPr>
            <w:tcW w:w="1635" w:type="dxa"/>
            <w:vAlign w:val="center"/>
          </w:tcPr>
          <w:p w14:paraId="520AD8D8">
            <w:pPr>
              <w:keepNext w:val="0"/>
              <w:keepLines w:val="0"/>
              <w:pageBreakBefore w:val="0"/>
              <w:widowControl w:val="0"/>
              <w:kinsoku/>
              <w:wordWrap/>
              <w:overflowPunct/>
              <w:topLinePunct w:val="0"/>
              <w:autoSpaceDE/>
              <w:autoSpaceDN/>
              <w:bidi w:val="0"/>
              <w:adjustRightInd/>
              <w:snapToGrid/>
              <w:spacing w:line="300" w:lineRule="exact"/>
              <w:ind w:right="231"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袁光平</w:t>
            </w:r>
          </w:p>
          <w:p w14:paraId="18A449C0">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w:t>
            </w:r>
            <w:r>
              <w:rPr>
                <w:rFonts w:hint="eastAsia" w:ascii="宋体" w:hAnsi="宋体" w:eastAsia="宋体" w:cs="宋体"/>
                <w:color w:val="000000" w:themeColor="text1"/>
                <w:spacing w:val="4"/>
                <w:sz w:val="24"/>
                <w:szCs w:val="24"/>
                <w:lang w:eastAsia="zh-CN"/>
                <w14:textFill>
                  <w14:solidFill>
                    <w14:schemeClr w14:val="tx1"/>
                  </w14:solidFill>
                </w14:textFill>
              </w:rPr>
              <w:t>乡镇长</w:t>
            </w:r>
          </w:p>
        </w:tc>
        <w:tc>
          <w:tcPr>
            <w:tcW w:w="1155" w:type="dxa"/>
            <w:vAlign w:val="center"/>
          </w:tcPr>
          <w:p w14:paraId="0DD064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陵建华</w:t>
            </w:r>
          </w:p>
        </w:tc>
      </w:tr>
      <w:tr w14:paraId="30FD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70" w:type="dxa"/>
            <w:vMerge w:val="continue"/>
            <w:tcBorders>
              <w:top w:val="nil"/>
              <w:bottom w:val="nil"/>
            </w:tcBorders>
            <w:vAlign w:val="top"/>
          </w:tcPr>
          <w:p w14:paraId="21FA196B">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4FC5FCB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905" w:type="dxa"/>
            <w:vMerge w:val="restart"/>
            <w:tcBorders>
              <w:bottom w:val="nil"/>
            </w:tcBorders>
            <w:vAlign w:val="center"/>
          </w:tcPr>
          <w:p w14:paraId="1DA9A4BC">
            <w:pPr>
              <w:keepNext w:val="0"/>
              <w:keepLines w:val="0"/>
              <w:pageBreakBefore w:val="0"/>
              <w:widowControl w:val="0"/>
              <w:kinsoku/>
              <w:wordWrap/>
              <w:overflowPunct/>
              <w:topLinePunct w:val="0"/>
              <w:autoSpaceDE/>
              <w:autoSpaceDN/>
              <w:bidi w:val="0"/>
              <w:adjustRightInd/>
              <w:snapToGrid/>
              <w:spacing w:line="300" w:lineRule="exact"/>
              <w:ind w:left="91" w:right="37"/>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4.妇幼健康</w:t>
            </w:r>
            <w:r>
              <w:rPr>
                <w:rFonts w:ascii="宋体" w:hAnsi="宋体" w:eastAsia="宋体" w:cs="宋体"/>
                <w:color w:val="000000" w:themeColor="text1"/>
                <w:spacing w:val="19"/>
                <w:sz w:val="24"/>
                <w:szCs w:val="24"/>
                <w14:textFill>
                  <w14:solidFill>
                    <w14:schemeClr w14:val="tx1"/>
                  </w14:solidFill>
                </w14:textFill>
              </w:rPr>
              <w:t>守护行动。</w:t>
            </w:r>
          </w:p>
        </w:tc>
        <w:tc>
          <w:tcPr>
            <w:tcW w:w="6225" w:type="dxa"/>
            <w:vAlign w:val="center"/>
          </w:tcPr>
          <w:p w14:paraId="112C847B">
            <w:pPr>
              <w:keepNext w:val="0"/>
              <w:keepLines w:val="0"/>
              <w:pageBreakBefore w:val="0"/>
              <w:widowControl w:val="0"/>
              <w:kinsoku/>
              <w:wordWrap/>
              <w:overflowPunct/>
              <w:topLinePunct w:val="0"/>
              <w:autoSpaceDE/>
              <w:autoSpaceDN/>
              <w:bidi w:val="0"/>
              <w:adjustRightInd/>
              <w:snapToGrid/>
              <w:spacing w:line="300" w:lineRule="exact"/>
              <w:ind w:left="62"/>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完成</w:t>
            </w:r>
            <w:r>
              <w:rPr>
                <w:rFonts w:hint="eastAsia" w:ascii="宋体" w:hAnsi="宋体" w:eastAsia="宋体" w:cs="宋体"/>
                <w:color w:val="000000" w:themeColor="text1"/>
                <w:spacing w:val="-1"/>
                <w:sz w:val="24"/>
                <w:szCs w:val="24"/>
                <w:lang w:val="en-US" w:eastAsia="zh-CN"/>
                <w14:textFill>
                  <w14:solidFill>
                    <w14:schemeClr w14:val="tx1"/>
                  </w14:solidFill>
                </w14:textFill>
              </w:rPr>
              <w:t>1</w:t>
            </w:r>
            <w:r>
              <w:rPr>
                <w:rFonts w:ascii="宋体" w:hAnsi="宋体" w:eastAsia="宋体" w:cs="宋体"/>
                <w:color w:val="000000" w:themeColor="text1"/>
                <w:spacing w:val="-1"/>
                <w:sz w:val="24"/>
                <w:szCs w:val="24"/>
                <w14:textFill>
                  <w14:solidFill>
                    <w14:schemeClr w14:val="tx1"/>
                  </w14:solidFill>
                </w14:textFill>
              </w:rPr>
              <w:t>个县级妇幼保健机构标准化建设</w:t>
            </w:r>
          </w:p>
        </w:tc>
        <w:tc>
          <w:tcPr>
            <w:tcW w:w="2760" w:type="dxa"/>
            <w:vAlign w:val="center"/>
          </w:tcPr>
          <w:p w14:paraId="5297580D">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县卫生健康局</w:t>
            </w:r>
            <w:r>
              <w:rPr>
                <w:rFonts w:hint="eastAsia" w:ascii="宋体" w:hAnsi="宋体" w:eastAsia="宋体" w:cs="宋体"/>
                <w:color w:val="000000" w:themeColor="text1"/>
                <w:sz w:val="24"/>
                <w:szCs w:val="24"/>
                <w14:textFill>
                  <w14:solidFill>
                    <w14:schemeClr w14:val="tx1"/>
                  </w14:solidFill>
                </w14:textFill>
              </w:rPr>
              <w:t>牵头，县委组织部、县委编办、县财政局、</w:t>
            </w:r>
            <w:r>
              <w:rPr>
                <w:rFonts w:hint="eastAsia" w:ascii="宋体" w:hAnsi="宋体" w:eastAsia="宋体" w:cs="宋体"/>
                <w:color w:val="000000" w:themeColor="text1"/>
                <w:sz w:val="24"/>
                <w:szCs w:val="24"/>
                <w:lang w:eastAsia="zh-CN"/>
                <w14:textFill>
                  <w14:solidFill>
                    <w14:schemeClr w14:val="tx1"/>
                  </w14:solidFill>
                </w14:textFill>
              </w:rPr>
              <w:t>县住房和城乡建设局</w:t>
            </w:r>
            <w:r>
              <w:rPr>
                <w:rFonts w:hint="eastAsia" w:ascii="宋体" w:hAnsi="宋体" w:eastAsia="宋体" w:cs="宋体"/>
                <w:color w:val="000000" w:themeColor="text1"/>
                <w:sz w:val="24"/>
                <w:szCs w:val="24"/>
                <w14:textFill>
                  <w14:solidFill>
                    <w14:schemeClr w14:val="tx1"/>
                  </w14:solidFill>
                </w14:textFill>
              </w:rPr>
              <w:t>负责</w:t>
            </w:r>
          </w:p>
        </w:tc>
        <w:tc>
          <w:tcPr>
            <w:tcW w:w="1635" w:type="dxa"/>
            <w:vAlign w:val="center"/>
          </w:tcPr>
          <w:p w14:paraId="368058D4">
            <w:pPr>
              <w:keepNext w:val="0"/>
              <w:keepLines w:val="0"/>
              <w:pageBreakBefore w:val="0"/>
              <w:widowControl w:val="0"/>
              <w:kinsoku/>
              <w:wordWrap/>
              <w:overflowPunct/>
              <w:topLinePunct w:val="0"/>
              <w:autoSpaceDE/>
              <w:autoSpaceDN/>
              <w:bidi w:val="0"/>
              <w:adjustRightInd/>
              <w:snapToGrid/>
              <w:spacing w:line="300" w:lineRule="exact"/>
              <w:ind w:right="232"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莫从英</w:t>
            </w:r>
          </w:p>
          <w:p w14:paraId="6B5ED5EF">
            <w:pPr>
              <w:keepNext w:val="0"/>
              <w:keepLines w:val="0"/>
              <w:pageBreakBefore w:val="0"/>
              <w:widowControl w:val="0"/>
              <w:kinsoku/>
              <w:wordWrap/>
              <w:overflowPunct/>
              <w:topLinePunct w:val="0"/>
              <w:autoSpaceDE/>
              <w:autoSpaceDN/>
              <w:bidi w:val="0"/>
              <w:adjustRightInd/>
              <w:snapToGrid/>
              <w:spacing w:line="300" w:lineRule="exact"/>
              <w:ind w:right="232"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戴立山</w:t>
            </w:r>
          </w:p>
          <w:p w14:paraId="556702A6">
            <w:pPr>
              <w:keepNext w:val="0"/>
              <w:keepLines w:val="0"/>
              <w:pageBreakBefore w:val="0"/>
              <w:widowControl w:val="0"/>
              <w:kinsoku/>
              <w:wordWrap/>
              <w:overflowPunct/>
              <w:topLinePunct w:val="0"/>
              <w:autoSpaceDE/>
              <w:autoSpaceDN/>
              <w:bidi w:val="0"/>
              <w:adjustRightInd/>
              <w:snapToGrid/>
              <w:spacing w:line="300" w:lineRule="exact"/>
              <w:ind w:right="232"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赖文建</w:t>
            </w:r>
          </w:p>
          <w:p w14:paraId="697B02E0">
            <w:pPr>
              <w:keepNext w:val="0"/>
              <w:keepLines w:val="0"/>
              <w:pageBreakBefore w:val="0"/>
              <w:widowControl w:val="0"/>
              <w:kinsoku/>
              <w:wordWrap/>
              <w:overflowPunct/>
              <w:topLinePunct w:val="0"/>
              <w:autoSpaceDE/>
              <w:autoSpaceDN/>
              <w:bidi w:val="0"/>
              <w:adjustRightInd/>
              <w:snapToGrid/>
              <w:spacing w:line="300" w:lineRule="exact"/>
              <w:ind w:right="232"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罗</w:t>
            </w:r>
            <w:r>
              <w:rPr>
                <w:rFonts w:hint="eastAsia" w:ascii="宋体" w:hAnsi="宋体" w:eastAsia="宋体" w:cs="宋体"/>
                <w:color w:val="000000" w:themeColor="text1"/>
                <w:spacing w:val="4"/>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eastAsia="zh-CN"/>
                <w14:textFill>
                  <w14:solidFill>
                    <w14:schemeClr w14:val="tx1"/>
                  </w14:solidFill>
                </w14:textFill>
              </w:rPr>
              <w:t>兴</w:t>
            </w:r>
          </w:p>
          <w:p w14:paraId="121D7064">
            <w:pPr>
              <w:keepNext w:val="0"/>
              <w:keepLines w:val="0"/>
              <w:pageBreakBefore w:val="0"/>
              <w:widowControl w:val="0"/>
              <w:kinsoku/>
              <w:wordWrap/>
              <w:overflowPunct/>
              <w:topLinePunct w:val="0"/>
              <w:autoSpaceDE/>
              <w:autoSpaceDN/>
              <w:bidi w:val="0"/>
              <w:adjustRightInd/>
              <w:snapToGrid/>
              <w:spacing w:line="300" w:lineRule="exact"/>
              <w:ind w:right="232"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黄始伟</w:t>
            </w:r>
          </w:p>
        </w:tc>
        <w:tc>
          <w:tcPr>
            <w:tcW w:w="1155" w:type="dxa"/>
            <w:vAlign w:val="center"/>
          </w:tcPr>
          <w:p w14:paraId="62A5AD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17BF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70" w:type="dxa"/>
            <w:vMerge w:val="continue"/>
            <w:tcBorders>
              <w:top w:val="nil"/>
              <w:bottom w:val="nil"/>
            </w:tcBorders>
            <w:vAlign w:val="top"/>
          </w:tcPr>
          <w:p w14:paraId="46065AF9">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67E53F0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905" w:type="dxa"/>
            <w:vMerge w:val="continue"/>
            <w:tcBorders>
              <w:top w:val="nil"/>
            </w:tcBorders>
            <w:vAlign w:val="center"/>
          </w:tcPr>
          <w:p w14:paraId="3EED10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000000" w:themeColor="text1"/>
                <w:sz w:val="24"/>
                <w:szCs w:val="24"/>
                <w14:textFill>
                  <w14:solidFill>
                    <w14:schemeClr w14:val="tx1"/>
                  </w14:solidFill>
                </w14:textFill>
              </w:rPr>
            </w:pPr>
          </w:p>
        </w:tc>
        <w:tc>
          <w:tcPr>
            <w:tcW w:w="6225" w:type="dxa"/>
            <w:vAlign w:val="center"/>
          </w:tcPr>
          <w:p w14:paraId="1FB0123C">
            <w:pPr>
              <w:keepNext w:val="0"/>
              <w:keepLines w:val="0"/>
              <w:pageBreakBefore w:val="0"/>
              <w:widowControl w:val="0"/>
              <w:kinsoku/>
              <w:wordWrap/>
              <w:overflowPunct/>
              <w:topLinePunct w:val="0"/>
              <w:autoSpaceDE/>
              <w:autoSpaceDN/>
              <w:bidi w:val="0"/>
              <w:adjustRightInd/>
              <w:snapToGrid/>
              <w:spacing w:line="300" w:lineRule="exact"/>
              <w:ind w:left="62"/>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农村适龄及城镇低保适龄妇女“两癌”免费检</w:t>
            </w:r>
            <w:r>
              <w:rPr>
                <w:rFonts w:ascii="宋体" w:hAnsi="宋体" w:eastAsia="宋体" w:cs="宋体"/>
                <w:color w:val="000000" w:themeColor="text1"/>
                <w:spacing w:val="-1"/>
                <w:sz w:val="24"/>
                <w:szCs w:val="24"/>
                <w14:textFill>
                  <w14:solidFill>
                    <w14:schemeClr w14:val="tx1"/>
                  </w14:solidFill>
                </w14:textFill>
              </w:rPr>
              <w:t>查</w:t>
            </w:r>
            <w:r>
              <w:rPr>
                <w:rFonts w:hint="eastAsia" w:ascii="宋体" w:hAnsi="宋体" w:eastAsia="宋体" w:cs="宋体"/>
                <w:color w:val="000000" w:themeColor="text1"/>
                <w:spacing w:val="-1"/>
                <w:sz w:val="24"/>
                <w:szCs w:val="24"/>
                <w:lang w:val="en-US" w:eastAsia="zh-CN"/>
                <w14:textFill>
                  <w14:solidFill>
                    <w14:schemeClr w14:val="tx1"/>
                  </w14:solidFill>
                </w14:textFill>
              </w:rPr>
              <w:t>6620</w:t>
            </w:r>
            <w:r>
              <w:rPr>
                <w:rFonts w:ascii="宋体" w:hAnsi="宋体" w:eastAsia="宋体" w:cs="宋体"/>
                <w:color w:val="000000" w:themeColor="text1"/>
                <w:spacing w:val="-1"/>
                <w:sz w:val="24"/>
                <w:szCs w:val="24"/>
                <w14:textFill>
                  <w14:solidFill>
                    <w14:schemeClr w14:val="tx1"/>
                  </w14:solidFill>
                </w14:textFill>
              </w:rPr>
              <w:t>人</w:t>
            </w:r>
          </w:p>
        </w:tc>
        <w:tc>
          <w:tcPr>
            <w:tcW w:w="2760" w:type="dxa"/>
            <w:vAlign w:val="center"/>
          </w:tcPr>
          <w:p w14:paraId="2F30BFF6">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妇联牵头，</w:t>
            </w:r>
            <w:r>
              <w:rPr>
                <w:rFonts w:hint="eastAsia" w:ascii="宋体" w:hAnsi="宋体" w:eastAsia="宋体" w:cs="宋体"/>
                <w:color w:val="000000" w:themeColor="text1"/>
                <w:sz w:val="24"/>
                <w:szCs w:val="24"/>
                <w:lang w:eastAsia="zh-CN"/>
                <w14:textFill>
                  <w14:solidFill>
                    <w14:schemeClr w14:val="tx1"/>
                  </w14:solidFill>
                </w14:textFill>
              </w:rPr>
              <w:t>各乡镇</w:t>
            </w:r>
            <w:r>
              <w:rPr>
                <w:rFonts w:hint="eastAsia" w:ascii="宋体" w:hAnsi="宋体" w:eastAsia="宋体" w:cs="宋体"/>
                <w:color w:val="000000" w:themeColor="text1"/>
                <w:sz w:val="24"/>
                <w:szCs w:val="24"/>
                <w14:textFill>
                  <w14:solidFill>
                    <w14:schemeClr w14:val="tx1"/>
                  </w14:solidFill>
                </w14:textFill>
              </w:rPr>
              <w:t>负责</w:t>
            </w:r>
          </w:p>
        </w:tc>
        <w:tc>
          <w:tcPr>
            <w:tcW w:w="1635" w:type="dxa"/>
            <w:vAlign w:val="center"/>
          </w:tcPr>
          <w:p w14:paraId="7D96A80C">
            <w:pPr>
              <w:keepNext w:val="0"/>
              <w:keepLines w:val="0"/>
              <w:pageBreakBefore w:val="0"/>
              <w:widowControl w:val="0"/>
              <w:kinsoku/>
              <w:wordWrap/>
              <w:overflowPunct/>
              <w:topLinePunct w:val="0"/>
              <w:autoSpaceDE/>
              <w:autoSpaceDN/>
              <w:bidi w:val="0"/>
              <w:adjustRightInd/>
              <w:snapToGrid/>
              <w:spacing w:line="300" w:lineRule="exact"/>
              <w:ind w:right="231" w:firstLine="248" w:firstLineChars="100"/>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肖菊荣</w:t>
            </w:r>
          </w:p>
          <w:p w14:paraId="2FBA26F2">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lang w:eastAsia="zh-CN"/>
                <w14:textFill>
                  <w14:solidFill>
                    <w14:schemeClr w14:val="tx1"/>
                  </w14:solidFill>
                </w14:textFill>
              </w:rPr>
              <w:t>各乡镇长</w:t>
            </w:r>
          </w:p>
        </w:tc>
        <w:tc>
          <w:tcPr>
            <w:tcW w:w="1155" w:type="dxa"/>
            <w:vAlign w:val="center"/>
          </w:tcPr>
          <w:p w14:paraId="1D0B5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3B0C8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570" w:type="dxa"/>
            <w:vMerge w:val="continue"/>
            <w:tcBorders>
              <w:top w:val="nil"/>
              <w:bottom w:val="nil"/>
            </w:tcBorders>
            <w:vAlign w:val="top"/>
          </w:tcPr>
          <w:p w14:paraId="786F9C25">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6EA5752F">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8130" w:type="dxa"/>
            <w:gridSpan w:val="2"/>
            <w:vAlign w:val="center"/>
          </w:tcPr>
          <w:p w14:paraId="1D79C9C2">
            <w:pPr>
              <w:keepNext w:val="0"/>
              <w:keepLines w:val="0"/>
              <w:pageBreakBefore w:val="0"/>
              <w:widowControl w:val="0"/>
              <w:kinsoku/>
              <w:wordWrap/>
              <w:overflowPunct/>
              <w:topLinePunct w:val="0"/>
              <w:autoSpaceDE/>
              <w:autoSpaceDN/>
              <w:bidi w:val="0"/>
              <w:adjustRightInd/>
              <w:snapToGrid/>
              <w:spacing w:line="300" w:lineRule="exact"/>
              <w:ind w:left="71" w:right="103"/>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5.异地就医结算与基层医保代办服务。县区实现普通门诊异地结算二级</w:t>
            </w:r>
            <w:r>
              <w:rPr>
                <w:rFonts w:ascii="宋体" w:hAnsi="宋体" w:eastAsia="宋体" w:cs="宋体"/>
                <w:color w:val="000000" w:themeColor="text1"/>
                <w:spacing w:val="4"/>
                <w:sz w:val="24"/>
                <w:szCs w:val="24"/>
                <w14:textFill>
                  <w14:solidFill>
                    <w14:schemeClr w14:val="tx1"/>
                  </w14:solidFill>
                </w14:textFill>
              </w:rPr>
              <w:t>以上定点医疗机构全覆盖；统筹区实现全部43个门诊慢特病治疗费用</w:t>
            </w:r>
            <w:r>
              <w:rPr>
                <w:rFonts w:ascii="宋体" w:hAnsi="宋体" w:eastAsia="宋体" w:cs="宋体"/>
                <w:color w:val="000000" w:themeColor="text1"/>
                <w:spacing w:val="13"/>
                <w:sz w:val="24"/>
                <w:szCs w:val="24"/>
                <w14:textFill>
                  <w14:solidFill>
                    <w14:schemeClr w14:val="tx1"/>
                  </w14:solidFill>
                </w14:textFill>
              </w:rPr>
              <w:t>省内异地直接结算；实现乡(镇)、村(社区)医保参保登记、信息查询及</w:t>
            </w:r>
            <w:r>
              <w:rPr>
                <w:rFonts w:ascii="宋体" w:hAnsi="宋体" w:eastAsia="宋体" w:cs="宋体"/>
                <w:color w:val="000000" w:themeColor="text1"/>
                <w:spacing w:val="4"/>
                <w:sz w:val="24"/>
                <w:szCs w:val="24"/>
                <w14:textFill>
                  <w14:solidFill>
                    <w14:schemeClr w14:val="tx1"/>
                  </w14:solidFill>
                </w14:textFill>
              </w:rPr>
              <w:t>变更、异地就医备案等经办服务事项直办或帮代办</w:t>
            </w:r>
            <w:r>
              <w:rPr>
                <w:rFonts w:ascii="宋体" w:hAnsi="宋体" w:eastAsia="宋体" w:cs="宋体"/>
                <w:color w:val="000000" w:themeColor="text1"/>
                <w:spacing w:val="3"/>
                <w:sz w:val="24"/>
                <w:szCs w:val="24"/>
                <w14:textFill>
                  <w14:solidFill>
                    <w14:schemeClr w14:val="tx1"/>
                  </w14:solidFill>
                </w14:textFill>
              </w:rPr>
              <w:t>全覆盖。</w:t>
            </w:r>
          </w:p>
        </w:tc>
        <w:tc>
          <w:tcPr>
            <w:tcW w:w="2760" w:type="dxa"/>
            <w:vAlign w:val="center"/>
          </w:tcPr>
          <w:p w14:paraId="18E85D90">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医疗保障局牵头，</w:t>
            </w:r>
            <w:r>
              <w:rPr>
                <w:rFonts w:hint="eastAsia" w:ascii="宋体" w:hAnsi="宋体" w:eastAsia="宋体" w:cs="宋体"/>
                <w:color w:val="000000" w:themeColor="text1"/>
                <w:sz w:val="24"/>
                <w:szCs w:val="24"/>
                <w:lang w:eastAsia="zh-CN"/>
                <w14:textFill>
                  <w14:solidFill>
                    <w14:schemeClr w14:val="tx1"/>
                  </w14:solidFill>
                </w14:textFill>
              </w:rPr>
              <w:t>各乡镇</w:t>
            </w:r>
            <w:r>
              <w:rPr>
                <w:rFonts w:hint="eastAsia" w:ascii="宋体" w:hAnsi="宋体" w:eastAsia="宋体" w:cs="宋体"/>
                <w:color w:val="000000" w:themeColor="text1"/>
                <w:sz w:val="24"/>
                <w:szCs w:val="24"/>
                <w14:textFill>
                  <w14:solidFill>
                    <w14:schemeClr w14:val="tx1"/>
                  </w14:solidFill>
                </w14:textFill>
              </w:rPr>
              <w:t>负责</w:t>
            </w:r>
          </w:p>
        </w:tc>
        <w:tc>
          <w:tcPr>
            <w:tcW w:w="1635" w:type="dxa"/>
            <w:vAlign w:val="center"/>
          </w:tcPr>
          <w:p w14:paraId="0B69A5AF">
            <w:pPr>
              <w:keepNext w:val="0"/>
              <w:keepLines w:val="0"/>
              <w:pageBreakBefore w:val="0"/>
              <w:widowControl w:val="0"/>
              <w:kinsoku/>
              <w:wordWrap/>
              <w:overflowPunct/>
              <w:topLinePunct w:val="0"/>
              <w:autoSpaceDE/>
              <w:autoSpaceDN/>
              <w:bidi w:val="0"/>
              <w:adjustRightInd/>
              <w:snapToGrid/>
              <w:spacing w:line="300" w:lineRule="exact"/>
              <w:ind w:right="231" w:firstLine="248" w:firstLineChars="100"/>
              <w:jc w:val="center"/>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黄秋元</w:t>
            </w:r>
          </w:p>
          <w:p w14:paraId="530DCAD1">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 xml:space="preserve">  各乡镇长</w:t>
            </w:r>
          </w:p>
        </w:tc>
        <w:tc>
          <w:tcPr>
            <w:tcW w:w="1155" w:type="dxa"/>
            <w:vAlign w:val="center"/>
          </w:tcPr>
          <w:p w14:paraId="2353E9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周元彪</w:t>
            </w:r>
          </w:p>
        </w:tc>
      </w:tr>
      <w:tr w14:paraId="070C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0" w:type="dxa"/>
            <w:vMerge w:val="continue"/>
            <w:tcBorders>
              <w:top w:val="nil"/>
              <w:bottom w:val="nil"/>
            </w:tcBorders>
            <w:vAlign w:val="top"/>
          </w:tcPr>
          <w:p w14:paraId="240EDC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bottom w:val="nil"/>
            </w:tcBorders>
            <w:vAlign w:val="top"/>
          </w:tcPr>
          <w:p w14:paraId="2AA5F851">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905" w:type="dxa"/>
            <w:vMerge w:val="restart"/>
            <w:tcBorders>
              <w:bottom w:val="nil"/>
            </w:tcBorders>
            <w:vAlign w:val="center"/>
          </w:tcPr>
          <w:p w14:paraId="35EEE939">
            <w:pPr>
              <w:keepNext w:val="0"/>
              <w:keepLines w:val="0"/>
              <w:pageBreakBefore w:val="0"/>
              <w:widowControl w:val="0"/>
              <w:kinsoku/>
              <w:wordWrap/>
              <w:overflowPunct/>
              <w:topLinePunct w:val="0"/>
              <w:autoSpaceDE/>
              <w:autoSpaceDN/>
              <w:bidi w:val="0"/>
              <w:adjustRightInd/>
              <w:snapToGrid/>
              <w:spacing w:line="300" w:lineRule="exact"/>
              <w:ind w:left="91" w:right="146"/>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6.提升基本养老服务水</w:t>
            </w:r>
            <w:r>
              <w:rPr>
                <w:rFonts w:ascii="宋体" w:hAnsi="宋体" w:eastAsia="宋体" w:cs="宋体"/>
                <w:color w:val="000000" w:themeColor="text1"/>
                <w:spacing w:val="-4"/>
                <w:sz w:val="24"/>
                <w:szCs w:val="24"/>
                <w14:textFill>
                  <w14:solidFill>
                    <w14:schemeClr w14:val="tx1"/>
                  </w14:solidFill>
                </w14:textFill>
              </w:rPr>
              <w:t>平</w:t>
            </w:r>
          </w:p>
        </w:tc>
        <w:tc>
          <w:tcPr>
            <w:tcW w:w="6225" w:type="dxa"/>
            <w:vAlign w:val="center"/>
          </w:tcPr>
          <w:p w14:paraId="58D451B2">
            <w:pPr>
              <w:keepNext w:val="0"/>
              <w:keepLines w:val="0"/>
              <w:pageBreakBefore w:val="0"/>
              <w:widowControl w:val="0"/>
              <w:kinsoku/>
              <w:wordWrap/>
              <w:overflowPunct/>
              <w:topLinePunct w:val="0"/>
              <w:autoSpaceDE/>
              <w:autoSpaceDN/>
              <w:bidi w:val="0"/>
              <w:adjustRightInd/>
              <w:snapToGrid/>
              <w:spacing w:line="300" w:lineRule="exact"/>
              <w:ind w:left="62"/>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新增养老机构护理型床位</w:t>
            </w:r>
            <w:r>
              <w:rPr>
                <w:rFonts w:hint="eastAsia" w:ascii="宋体" w:hAnsi="宋体" w:eastAsia="宋体" w:cs="宋体"/>
                <w:color w:val="000000" w:themeColor="text1"/>
                <w:spacing w:val="11"/>
                <w:sz w:val="24"/>
                <w:szCs w:val="24"/>
                <w:lang w:val="en-US" w:eastAsia="zh-CN"/>
                <w14:textFill>
                  <w14:solidFill>
                    <w14:schemeClr w14:val="tx1"/>
                  </w14:solidFill>
                </w14:textFill>
              </w:rPr>
              <w:t>150户</w:t>
            </w:r>
          </w:p>
        </w:tc>
        <w:tc>
          <w:tcPr>
            <w:tcW w:w="2760" w:type="dxa"/>
            <w:vMerge w:val="restart"/>
            <w:tcBorders>
              <w:bottom w:val="nil"/>
            </w:tcBorders>
            <w:vAlign w:val="center"/>
          </w:tcPr>
          <w:p w14:paraId="51DEE70E">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w:t>
            </w:r>
            <w:r>
              <w:rPr>
                <w:rFonts w:hint="eastAsia" w:ascii="宋体" w:hAnsi="宋体" w:eastAsia="宋体" w:cs="宋体"/>
                <w:color w:val="000000" w:themeColor="text1"/>
                <w:sz w:val="24"/>
                <w:szCs w:val="24"/>
                <w14:textFill>
                  <w14:solidFill>
                    <w14:schemeClr w14:val="tx1"/>
                  </w14:solidFill>
                </w14:textFill>
              </w:rPr>
              <w:t>民政局牵头，</w:t>
            </w:r>
            <w:r>
              <w:rPr>
                <w:rFonts w:hint="eastAsia" w:ascii="宋体" w:hAnsi="宋体" w:eastAsia="宋体" w:cs="宋体"/>
                <w:color w:val="000000" w:themeColor="text1"/>
                <w:sz w:val="24"/>
                <w:szCs w:val="24"/>
                <w:lang w:eastAsia="zh-CN"/>
                <w14:textFill>
                  <w14:solidFill>
                    <w14:schemeClr w14:val="tx1"/>
                  </w14:solidFill>
                </w14:textFill>
              </w:rPr>
              <w:t>相关乡镇</w:t>
            </w:r>
            <w:r>
              <w:rPr>
                <w:rFonts w:hint="eastAsia" w:ascii="宋体" w:hAnsi="宋体" w:eastAsia="宋体" w:cs="宋体"/>
                <w:color w:val="000000" w:themeColor="text1"/>
                <w:sz w:val="24"/>
                <w:szCs w:val="24"/>
                <w14:textFill>
                  <w14:solidFill>
                    <w14:schemeClr w14:val="tx1"/>
                  </w14:solidFill>
                </w14:textFill>
              </w:rPr>
              <w:t>负责</w:t>
            </w:r>
          </w:p>
        </w:tc>
        <w:tc>
          <w:tcPr>
            <w:tcW w:w="1635" w:type="dxa"/>
            <w:vMerge w:val="restart"/>
            <w:tcBorders>
              <w:bottom w:val="nil"/>
            </w:tcBorders>
            <w:vAlign w:val="center"/>
          </w:tcPr>
          <w:p w14:paraId="237C83F3">
            <w:pPr>
              <w:keepNext w:val="0"/>
              <w:keepLines w:val="0"/>
              <w:pageBreakBefore w:val="0"/>
              <w:widowControl w:val="0"/>
              <w:kinsoku/>
              <w:wordWrap/>
              <w:overflowPunct/>
              <w:topLinePunct w:val="0"/>
              <w:autoSpaceDE/>
              <w:autoSpaceDN/>
              <w:bidi w:val="0"/>
              <w:adjustRightInd/>
              <w:snapToGrid/>
              <w:spacing w:line="300" w:lineRule="exact"/>
              <w:ind w:right="231" w:firstLine="496" w:firstLineChars="200"/>
              <w:jc w:val="both"/>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吴  娟</w:t>
            </w:r>
          </w:p>
          <w:p w14:paraId="13A89C2E">
            <w:pPr>
              <w:keepNext w:val="0"/>
              <w:keepLines w:val="0"/>
              <w:pageBreakBefore w:val="0"/>
              <w:widowControl w:val="0"/>
              <w:kinsoku/>
              <w:wordWrap/>
              <w:overflowPunct/>
              <w:topLinePunct w:val="0"/>
              <w:autoSpaceDE/>
              <w:autoSpaceDN/>
              <w:bidi w:val="0"/>
              <w:adjustRightInd/>
              <w:snapToGrid/>
              <w:spacing w:line="300" w:lineRule="exact"/>
              <w:ind w:right="231"/>
              <w:jc w:val="center"/>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相关</w:t>
            </w:r>
            <w:r>
              <w:rPr>
                <w:rFonts w:hint="eastAsia" w:ascii="宋体" w:hAnsi="宋体" w:eastAsia="宋体" w:cs="宋体"/>
                <w:color w:val="000000" w:themeColor="text1"/>
                <w:spacing w:val="4"/>
                <w:sz w:val="24"/>
                <w:szCs w:val="24"/>
                <w:lang w:val="en-US" w:eastAsia="zh-CN"/>
                <w14:textFill>
                  <w14:solidFill>
                    <w14:schemeClr w14:val="tx1"/>
                  </w14:solidFill>
                </w14:textFill>
              </w:rPr>
              <w:t>乡镇长</w:t>
            </w:r>
          </w:p>
        </w:tc>
        <w:tc>
          <w:tcPr>
            <w:tcW w:w="1155" w:type="dxa"/>
            <w:vMerge w:val="restart"/>
            <w:tcBorders>
              <w:bottom w:val="nil"/>
            </w:tcBorders>
            <w:vAlign w:val="center"/>
          </w:tcPr>
          <w:p w14:paraId="0E7CEB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黄文勇</w:t>
            </w:r>
          </w:p>
        </w:tc>
      </w:tr>
      <w:tr w14:paraId="19D5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70" w:type="dxa"/>
            <w:vMerge w:val="continue"/>
            <w:tcBorders>
              <w:top w:val="nil"/>
            </w:tcBorders>
            <w:vAlign w:val="top"/>
          </w:tcPr>
          <w:p w14:paraId="24E6926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540" w:type="dxa"/>
            <w:vMerge w:val="continue"/>
            <w:tcBorders>
              <w:top w:val="nil"/>
            </w:tcBorders>
            <w:vAlign w:val="top"/>
          </w:tcPr>
          <w:p w14:paraId="531A3DDB">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905" w:type="dxa"/>
            <w:vMerge w:val="continue"/>
            <w:tcBorders>
              <w:top w:val="nil"/>
            </w:tcBorders>
            <w:vAlign w:val="center"/>
          </w:tcPr>
          <w:p w14:paraId="495851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000000" w:themeColor="text1"/>
                <w:sz w:val="24"/>
                <w:szCs w:val="24"/>
                <w14:textFill>
                  <w14:solidFill>
                    <w14:schemeClr w14:val="tx1"/>
                  </w14:solidFill>
                </w14:textFill>
              </w:rPr>
            </w:pPr>
          </w:p>
        </w:tc>
        <w:tc>
          <w:tcPr>
            <w:tcW w:w="6225" w:type="dxa"/>
            <w:vAlign w:val="center"/>
          </w:tcPr>
          <w:p w14:paraId="2C62C0B7">
            <w:pPr>
              <w:keepNext w:val="0"/>
              <w:keepLines w:val="0"/>
              <w:pageBreakBefore w:val="0"/>
              <w:widowControl w:val="0"/>
              <w:kinsoku/>
              <w:wordWrap/>
              <w:overflowPunct/>
              <w:topLinePunct w:val="0"/>
              <w:autoSpaceDE/>
              <w:autoSpaceDN/>
              <w:bidi w:val="0"/>
              <w:adjustRightInd/>
              <w:snapToGrid/>
              <w:spacing w:line="300" w:lineRule="exact"/>
              <w:ind w:left="62"/>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开展困难老年人居家适老化改造</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无任务</w:t>
            </w:r>
            <w:r>
              <w:rPr>
                <w:rFonts w:hint="eastAsia" w:ascii="宋体" w:hAnsi="宋体" w:eastAsia="宋体" w:cs="宋体"/>
                <w:color w:val="000000" w:themeColor="text1"/>
                <w:spacing w:val="-1"/>
                <w:sz w:val="24"/>
                <w:szCs w:val="24"/>
                <w:lang w:eastAsia="zh-CN"/>
                <w14:textFill>
                  <w14:solidFill>
                    <w14:schemeClr w14:val="tx1"/>
                  </w14:solidFill>
                </w14:textFill>
              </w:rPr>
              <w:t>）</w:t>
            </w:r>
          </w:p>
        </w:tc>
        <w:tc>
          <w:tcPr>
            <w:tcW w:w="2760" w:type="dxa"/>
            <w:vMerge w:val="continue"/>
            <w:tcBorders>
              <w:top w:val="nil"/>
            </w:tcBorders>
            <w:vAlign w:val="top"/>
          </w:tcPr>
          <w:p w14:paraId="7E7AC097">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635" w:type="dxa"/>
            <w:vMerge w:val="continue"/>
            <w:tcBorders>
              <w:top w:val="nil"/>
            </w:tcBorders>
            <w:vAlign w:val="top"/>
          </w:tcPr>
          <w:p w14:paraId="5DB9C0B9">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color w:val="000000" w:themeColor="text1"/>
                <w:sz w:val="24"/>
                <w:szCs w:val="24"/>
                <w14:textFill>
                  <w14:solidFill>
                    <w14:schemeClr w14:val="tx1"/>
                  </w14:solidFill>
                </w14:textFill>
              </w:rPr>
            </w:pPr>
          </w:p>
        </w:tc>
        <w:tc>
          <w:tcPr>
            <w:tcW w:w="1155" w:type="dxa"/>
            <w:vMerge w:val="continue"/>
            <w:tcBorders>
              <w:top w:val="nil"/>
            </w:tcBorders>
            <w:vAlign w:val="top"/>
          </w:tcPr>
          <w:p w14:paraId="2ED620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color w:val="000000" w:themeColor="text1"/>
                <w:sz w:val="24"/>
                <w:szCs w:val="24"/>
                <w14:textFill>
                  <w14:solidFill>
                    <w14:schemeClr w14:val="tx1"/>
                  </w14:solidFill>
                </w14:textFill>
              </w:rPr>
            </w:pPr>
          </w:p>
        </w:tc>
      </w:tr>
    </w:tbl>
    <w:p w14:paraId="3679DEE9">
      <w:pPr>
        <w:rPr>
          <w:color w:val="000000" w:themeColor="text1"/>
          <w14:textFill>
            <w14:solidFill>
              <w14:schemeClr w14:val="tx1"/>
            </w14:solidFill>
          </w14:textFill>
        </w:rPr>
        <w:sectPr>
          <w:footerReference r:id="rId8" w:type="default"/>
          <w:pgSz w:w="16830" w:h="11920"/>
          <w:pgMar w:top="1417" w:right="1417" w:bottom="1363" w:left="1417" w:header="0" w:footer="1174" w:gutter="0"/>
          <w:cols w:space="720" w:num="1"/>
        </w:sectPr>
      </w:pPr>
    </w:p>
    <w:p w14:paraId="7003982F">
      <w:pPr>
        <w:rPr>
          <w:color w:val="000000" w:themeColor="text1"/>
          <w14:textFill>
            <w14:solidFill>
              <w14:schemeClr w14:val="tx1"/>
            </w14:solidFill>
          </w14:textFill>
        </w:rPr>
      </w:pPr>
    </w:p>
    <w:tbl>
      <w:tblPr>
        <w:tblStyle w:val="17"/>
        <w:tblpPr w:leftFromText="180" w:rightFromText="180" w:vertAnchor="text" w:horzAnchor="page" w:tblpX="898" w:tblpY="17"/>
        <w:tblOverlap w:val="never"/>
        <w:tblW w:w="14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555"/>
        <w:gridCol w:w="1530"/>
        <w:gridCol w:w="6810"/>
        <w:gridCol w:w="2891"/>
        <w:gridCol w:w="1300"/>
        <w:gridCol w:w="1248"/>
      </w:tblGrid>
      <w:tr w14:paraId="238D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50" w:type="dxa"/>
            <w:vAlign w:val="center"/>
          </w:tcPr>
          <w:p w14:paraId="72B333EA">
            <w:pPr>
              <w:keepNext w:val="0"/>
              <w:keepLines w:val="0"/>
              <w:pageBreakBefore w:val="0"/>
              <w:widowControl w:val="0"/>
              <w:kinsoku/>
              <w:wordWrap/>
              <w:overflowPunct/>
              <w:topLinePunct w:val="0"/>
              <w:autoSpaceDE/>
              <w:autoSpaceDN/>
              <w:bidi w:val="0"/>
              <w:adjustRightInd/>
              <w:snapToGrid/>
              <w:spacing w:line="221" w:lineRule="auto"/>
              <w:ind w:left="107"/>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序号</w:t>
            </w:r>
          </w:p>
        </w:tc>
        <w:tc>
          <w:tcPr>
            <w:tcW w:w="8895" w:type="dxa"/>
            <w:gridSpan w:val="3"/>
            <w:vAlign w:val="center"/>
          </w:tcPr>
          <w:p w14:paraId="7BCF3F25">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重点工作任务</w:t>
            </w:r>
          </w:p>
        </w:tc>
        <w:tc>
          <w:tcPr>
            <w:tcW w:w="2891" w:type="dxa"/>
            <w:vAlign w:val="center"/>
          </w:tcPr>
          <w:p w14:paraId="66F0B4B1">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主要责任单位</w:t>
            </w:r>
          </w:p>
        </w:tc>
        <w:tc>
          <w:tcPr>
            <w:tcW w:w="1300" w:type="dxa"/>
            <w:vAlign w:val="center"/>
          </w:tcPr>
          <w:p w14:paraId="778C715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6"/>
                <w:sz w:val="24"/>
                <w:szCs w:val="24"/>
                <w14:textFill>
                  <w14:solidFill>
                    <w14:schemeClr w14:val="tx1"/>
                  </w14:solidFill>
                </w14:textFill>
              </w:rPr>
              <w:t>责任人</w:t>
            </w:r>
          </w:p>
        </w:tc>
        <w:tc>
          <w:tcPr>
            <w:tcW w:w="1248" w:type="dxa"/>
            <w:vAlign w:val="center"/>
          </w:tcPr>
          <w:p w14:paraId="21549E18">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县级责</w:t>
            </w:r>
          </w:p>
          <w:p w14:paraId="370D7363">
            <w:pPr>
              <w:keepNext w:val="0"/>
              <w:keepLines w:val="0"/>
              <w:pageBreakBefore w:val="0"/>
              <w:widowControl w:val="0"/>
              <w:kinsoku/>
              <w:wordWrap/>
              <w:overflowPunct/>
              <w:topLinePunct w:val="0"/>
              <w:autoSpaceDE/>
              <w:autoSpaceDN/>
              <w:bidi w:val="0"/>
              <w:adjustRightInd/>
              <w:snapToGrid/>
              <w:spacing w:line="244" w:lineRule="auto"/>
              <w:ind w:right="215"/>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任领导</w:t>
            </w:r>
          </w:p>
        </w:tc>
      </w:tr>
      <w:tr w14:paraId="23B5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50" w:type="dxa"/>
            <w:vMerge w:val="restart"/>
            <w:vAlign w:val="top"/>
          </w:tcPr>
          <w:p w14:paraId="058E11CB">
            <w:pPr>
              <w:spacing w:line="243" w:lineRule="auto"/>
              <w:rPr>
                <w:rFonts w:ascii="Arial"/>
                <w:color w:val="000000" w:themeColor="text1"/>
                <w:sz w:val="24"/>
                <w:szCs w:val="24"/>
                <w14:textFill>
                  <w14:solidFill>
                    <w14:schemeClr w14:val="tx1"/>
                  </w14:solidFill>
                </w14:textFill>
              </w:rPr>
            </w:pPr>
          </w:p>
          <w:p w14:paraId="2A5BE8ED">
            <w:pPr>
              <w:spacing w:line="243" w:lineRule="auto"/>
              <w:rPr>
                <w:rFonts w:ascii="Arial"/>
                <w:color w:val="000000" w:themeColor="text1"/>
                <w:sz w:val="24"/>
                <w:szCs w:val="24"/>
                <w14:textFill>
                  <w14:solidFill>
                    <w14:schemeClr w14:val="tx1"/>
                  </w14:solidFill>
                </w14:textFill>
              </w:rPr>
            </w:pPr>
          </w:p>
          <w:p w14:paraId="4F433A0A">
            <w:pPr>
              <w:spacing w:line="243" w:lineRule="auto"/>
              <w:rPr>
                <w:rFonts w:ascii="Arial"/>
                <w:color w:val="000000" w:themeColor="text1"/>
                <w:sz w:val="24"/>
                <w:szCs w:val="24"/>
                <w14:textFill>
                  <w14:solidFill>
                    <w14:schemeClr w14:val="tx1"/>
                  </w14:solidFill>
                </w14:textFill>
              </w:rPr>
            </w:pPr>
          </w:p>
          <w:p w14:paraId="6080E4B2">
            <w:pPr>
              <w:spacing w:line="243" w:lineRule="auto"/>
              <w:rPr>
                <w:rFonts w:ascii="Arial"/>
                <w:color w:val="000000" w:themeColor="text1"/>
                <w:sz w:val="24"/>
                <w:szCs w:val="24"/>
                <w14:textFill>
                  <w14:solidFill>
                    <w14:schemeClr w14:val="tx1"/>
                  </w14:solidFill>
                </w14:textFill>
              </w:rPr>
            </w:pPr>
          </w:p>
          <w:p w14:paraId="7FB82AEE">
            <w:pPr>
              <w:spacing w:line="244" w:lineRule="auto"/>
              <w:rPr>
                <w:rFonts w:ascii="Arial"/>
                <w:color w:val="000000" w:themeColor="text1"/>
                <w:sz w:val="24"/>
                <w:szCs w:val="24"/>
                <w14:textFill>
                  <w14:solidFill>
                    <w14:schemeClr w14:val="tx1"/>
                  </w14:solidFill>
                </w14:textFill>
              </w:rPr>
            </w:pPr>
          </w:p>
          <w:p w14:paraId="24802C68">
            <w:pPr>
              <w:spacing w:line="244" w:lineRule="auto"/>
              <w:rPr>
                <w:rFonts w:ascii="Arial"/>
                <w:color w:val="000000" w:themeColor="text1"/>
                <w:sz w:val="24"/>
                <w:szCs w:val="24"/>
                <w14:textFill>
                  <w14:solidFill>
                    <w14:schemeClr w14:val="tx1"/>
                  </w14:solidFill>
                </w14:textFill>
              </w:rPr>
            </w:pPr>
          </w:p>
          <w:p w14:paraId="36C4F8B8">
            <w:pPr>
              <w:spacing w:line="244" w:lineRule="auto"/>
              <w:rPr>
                <w:rFonts w:ascii="Arial"/>
                <w:color w:val="000000" w:themeColor="text1"/>
                <w:sz w:val="24"/>
                <w:szCs w:val="24"/>
                <w14:textFill>
                  <w14:solidFill>
                    <w14:schemeClr w14:val="tx1"/>
                  </w14:solidFill>
                </w14:textFill>
              </w:rPr>
            </w:pPr>
          </w:p>
          <w:p w14:paraId="69949A8E">
            <w:pPr>
              <w:spacing w:line="244" w:lineRule="auto"/>
              <w:rPr>
                <w:rFonts w:ascii="Arial"/>
                <w:color w:val="000000" w:themeColor="text1"/>
                <w:sz w:val="24"/>
                <w:szCs w:val="24"/>
                <w14:textFill>
                  <w14:solidFill>
                    <w14:schemeClr w14:val="tx1"/>
                  </w14:solidFill>
                </w14:textFill>
              </w:rPr>
            </w:pPr>
          </w:p>
          <w:p w14:paraId="5050732C">
            <w:pPr>
              <w:spacing w:line="244" w:lineRule="auto"/>
              <w:rPr>
                <w:rFonts w:ascii="Arial"/>
                <w:color w:val="000000" w:themeColor="text1"/>
                <w:sz w:val="24"/>
                <w:szCs w:val="24"/>
                <w14:textFill>
                  <w14:solidFill>
                    <w14:schemeClr w14:val="tx1"/>
                  </w14:solidFill>
                </w14:textFill>
              </w:rPr>
            </w:pPr>
          </w:p>
          <w:p w14:paraId="17C12E3A">
            <w:pPr>
              <w:spacing w:before="65" w:line="184" w:lineRule="auto"/>
              <w:ind w:left="25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555" w:type="dxa"/>
            <w:vMerge w:val="restart"/>
            <w:vAlign w:val="top"/>
          </w:tcPr>
          <w:p w14:paraId="69DA95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692D524E">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55BC45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425E8387">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5EB10D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6275992F">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5C4BCC7D">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2BC34DDF">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p w14:paraId="1D71D3CF">
            <w:pPr>
              <w:keepNext w:val="0"/>
              <w:keepLines w:val="0"/>
              <w:pageBreakBefore w:val="0"/>
              <w:widowControl w:val="0"/>
              <w:kinsoku/>
              <w:wordWrap/>
              <w:overflowPunct/>
              <w:topLinePunct w:val="0"/>
              <w:autoSpaceDE/>
              <w:autoSpaceDN/>
              <w:bidi w:val="0"/>
              <w:adjustRightInd/>
              <w:snapToGrid/>
              <w:spacing w:line="32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position w:val="7"/>
                <w:sz w:val="24"/>
                <w:szCs w:val="24"/>
                <w14:textFill>
                  <w14:solidFill>
                    <w14:schemeClr w14:val="tx1"/>
                  </w14:solidFill>
                </w14:textFill>
              </w:rPr>
              <w:t>省定</w:t>
            </w:r>
          </w:p>
          <w:p w14:paraId="7499696D">
            <w:pPr>
              <w:keepNext w:val="0"/>
              <w:keepLines w:val="0"/>
              <w:pageBreakBefore w:val="0"/>
              <w:widowControl w:val="0"/>
              <w:kinsoku/>
              <w:wordWrap/>
              <w:overflowPunct/>
              <w:topLinePunct w:val="0"/>
              <w:autoSpaceDE/>
              <w:autoSpaceDN/>
              <w:bidi w:val="0"/>
              <w:adjustRightInd/>
              <w:snapToGrid/>
              <w:spacing w:line="32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民生</w:t>
            </w:r>
          </w:p>
          <w:p w14:paraId="3AB82FB1">
            <w:pPr>
              <w:keepNext w:val="0"/>
              <w:keepLines w:val="0"/>
              <w:pageBreakBefore w:val="0"/>
              <w:widowControl w:val="0"/>
              <w:kinsoku/>
              <w:wordWrap/>
              <w:overflowPunct/>
              <w:topLinePunct w:val="0"/>
              <w:autoSpaceDE/>
              <w:autoSpaceDN/>
              <w:bidi w:val="0"/>
              <w:adjustRightInd/>
              <w:snapToGrid/>
              <w:spacing w:line="320" w:lineRule="exact"/>
              <w:ind w:left="17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实事</w:t>
            </w:r>
          </w:p>
        </w:tc>
        <w:tc>
          <w:tcPr>
            <w:tcW w:w="1530" w:type="dxa"/>
            <w:vMerge w:val="restart"/>
            <w:tcBorders>
              <w:bottom w:val="nil"/>
            </w:tcBorders>
            <w:vAlign w:val="top"/>
          </w:tcPr>
          <w:p w14:paraId="6815A8C6">
            <w:pPr>
              <w:keepNext w:val="0"/>
              <w:keepLines w:val="0"/>
              <w:pageBreakBefore w:val="0"/>
              <w:widowControl w:val="0"/>
              <w:kinsoku/>
              <w:wordWrap/>
              <w:overflowPunct/>
              <w:topLinePunct w:val="0"/>
              <w:autoSpaceDE/>
              <w:autoSpaceDN/>
              <w:bidi w:val="0"/>
              <w:adjustRightInd/>
              <w:snapToGrid/>
              <w:spacing w:line="32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p>
          <w:p w14:paraId="0DFBFB64">
            <w:pPr>
              <w:pStyle w:val="12"/>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sz w:val="24"/>
                <w:szCs w:val="24"/>
                <w14:textFill>
                  <w14:solidFill>
                    <w14:schemeClr w14:val="tx1"/>
                  </w14:solidFill>
                </w14:textFill>
              </w:rPr>
            </w:pPr>
          </w:p>
          <w:p w14:paraId="75FCCD50">
            <w:pPr>
              <w:keepNext w:val="0"/>
              <w:keepLines w:val="0"/>
              <w:pageBreakBefore w:val="0"/>
              <w:widowControl w:val="0"/>
              <w:kinsoku/>
              <w:wordWrap/>
              <w:overflowPunct/>
              <w:topLinePunct w:val="0"/>
              <w:autoSpaceDE/>
              <w:autoSpaceDN/>
              <w:bidi w:val="0"/>
              <w:adjustRightInd/>
              <w:snapToGrid/>
              <w:spacing w:line="32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7.提高困难群体救助标 准</w:t>
            </w:r>
          </w:p>
        </w:tc>
        <w:tc>
          <w:tcPr>
            <w:tcW w:w="6810" w:type="dxa"/>
            <w:vAlign w:val="center"/>
          </w:tcPr>
          <w:p w14:paraId="50393C04">
            <w:pPr>
              <w:keepNext w:val="0"/>
              <w:keepLines w:val="0"/>
              <w:pageBreakBefore w:val="0"/>
              <w:widowControl w:val="0"/>
              <w:kinsoku/>
              <w:wordWrap/>
              <w:overflowPunct/>
              <w:topLinePunct w:val="0"/>
              <w:autoSpaceDE/>
              <w:autoSpaceDN/>
              <w:bidi w:val="0"/>
              <w:adjustRightInd/>
              <w:snapToGrid/>
              <w:spacing w:line="26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提高城乡低保标准。城市低保标准从不低于600元每月提高到不低于650元/月，农村低保标准从不低于4600元/年提高到不低于5000元/年</w:t>
            </w:r>
          </w:p>
        </w:tc>
        <w:tc>
          <w:tcPr>
            <w:tcW w:w="2891" w:type="dxa"/>
            <w:vMerge w:val="restart"/>
            <w:tcBorders>
              <w:bottom w:val="nil"/>
            </w:tcBorders>
            <w:vAlign w:val="center"/>
          </w:tcPr>
          <w:p w14:paraId="2CD84040">
            <w:pPr>
              <w:keepNext w:val="0"/>
              <w:keepLines w:val="0"/>
              <w:pageBreakBefore w:val="0"/>
              <w:widowControl w:val="0"/>
              <w:kinsoku/>
              <w:wordWrap/>
              <w:overflowPunct/>
              <w:topLinePunct w:val="0"/>
              <w:autoSpaceDE/>
              <w:autoSpaceDN/>
              <w:bidi w:val="0"/>
              <w:adjustRightInd/>
              <w:snapToGrid/>
              <w:spacing w:line="229" w:lineRule="auto"/>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县民政局</w:t>
            </w:r>
          </w:p>
        </w:tc>
        <w:tc>
          <w:tcPr>
            <w:tcW w:w="1300" w:type="dxa"/>
            <w:vMerge w:val="restart"/>
            <w:tcBorders>
              <w:bottom w:val="nil"/>
            </w:tcBorders>
            <w:vAlign w:val="center"/>
          </w:tcPr>
          <w:p w14:paraId="5EC8272B">
            <w:pPr>
              <w:spacing w:before="66" w:line="219" w:lineRule="auto"/>
              <w:jc w:val="center"/>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吴</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娟</w:t>
            </w:r>
          </w:p>
        </w:tc>
        <w:tc>
          <w:tcPr>
            <w:tcW w:w="1248" w:type="dxa"/>
            <w:vMerge w:val="restart"/>
            <w:tcBorders>
              <w:bottom w:val="nil"/>
            </w:tcBorders>
            <w:vAlign w:val="center"/>
          </w:tcPr>
          <w:p w14:paraId="70A12B13">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黄文勇</w:t>
            </w:r>
          </w:p>
        </w:tc>
      </w:tr>
      <w:tr w14:paraId="21B5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450" w:type="dxa"/>
            <w:vMerge w:val="continue"/>
            <w:vAlign w:val="top"/>
          </w:tcPr>
          <w:p w14:paraId="0933DC77">
            <w:pPr>
              <w:rPr>
                <w:rFonts w:ascii="Arial"/>
                <w:color w:val="000000" w:themeColor="text1"/>
                <w:sz w:val="24"/>
                <w:szCs w:val="24"/>
                <w14:textFill>
                  <w14:solidFill>
                    <w14:schemeClr w14:val="tx1"/>
                  </w14:solidFill>
                </w14:textFill>
              </w:rPr>
            </w:pPr>
          </w:p>
        </w:tc>
        <w:tc>
          <w:tcPr>
            <w:tcW w:w="555" w:type="dxa"/>
            <w:vMerge w:val="continue"/>
            <w:vAlign w:val="top"/>
          </w:tcPr>
          <w:p w14:paraId="162FB37F">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tc>
        <w:tc>
          <w:tcPr>
            <w:tcW w:w="1530" w:type="dxa"/>
            <w:vMerge w:val="continue"/>
            <w:tcBorders>
              <w:top w:val="nil"/>
              <w:bottom w:val="nil"/>
            </w:tcBorders>
            <w:vAlign w:val="top"/>
          </w:tcPr>
          <w:p w14:paraId="0D4E1864">
            <w:pPr>
              <w:keepNext w:val="0"/>
              <w:keepLines w:val="0"/>
              <w:pageBreakBefore w:val="0"/>
              <w:widowControl w:val="0"/>
              <w:kinsoku/>
              <w:wordWrap/>
              <w:overflowPunct/>
              <w:topLinePunct w:val="0"/>
              <w:autoSpaceDE/>
              <w:autoSpaceDN/>
              <w:bidi w:val="0"/>
              <w:adjustRightInd/>
              <w:snapToGrid/>
              <w:spacing w:line="32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p>
        </w:tc>
        <w:tc>
          <w:tcPr>
            <w:tcW w:w="6810" w:type="dxa"/>
            <w:vAlign w:val="center"/>
          </w:tcPr>
          <w:p w14:paraId="69B06E2A">
            <w:pPr>
              <w:keepNext w:val="0"/>
              <w:keepLines w:val="0"/>
              <w:pageBreakBefore w:val="0"/>
              <w:widowControl w:val="0"/>
              <w:kinsoku/>
              <w:wordWrap/>
              <w:overflowPunct/>
              <w:topLinePunct w:val="0"/>
              <w:autoSpaceDE/>
              <w:autoSpaceDN/>
              <w:bidi w:val="0"/>
              <w:adjustRightInd/>
              <w:snapToGrid/>
              <w:spacing w:line="26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提高残疾人“两项补贴”标准。困难残疾人生活补贴和重度残疾人护理补贴标准分别从不低于75元/月·人提高到不低于80元/月·人</w:t>
            </w:r>
          </w:p>
        </w:tc>
        <w:tc>
          <w:tcPr>
            <w:tcW w:w="2891" w:type="dxa"/>
            <w:vMerge w:val="continue"/>
            <w:tcBorders>
              <w:top w:val="nil"/>
              <w:bottom w:val="nil"/>
            </w:tcBorders>
            <w:vAlign w:val="center"/>
          </w:tcPr>
          <w:p w14:paraId="63736C07">
            <w:pPr>
              <w:keepNext w:val="0"/>
              <w:keepLines w:val="0"/>
              <w:pageBreakBefore w:val="0"/>
              <w:widowControl w:val="0"/>
              <w:kinsoku/>
              <w:wordWrap/>
              <w:overflowPunct/>
              <w:topLinePunct w:val="0"/>
              <w:autoSpaceDE/>
              <w:autoSpaceDN/>
              <w:bidi w:val="0"/>
              <w:adjustRightInd/>
              <w:snapToGrid/>
              <w:spacing w:line="229" w:lineRule="auto"/>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300" w:type="dxa"/>
            <w:vMerge w:val="continue"/>
            <w:tcBorders>
              <w:top w:val="nil"/>
              <w:bottom w:val="nil"/>
            </w:tcBorders>
            <w:vAlign w:val="center"/>
          </w:tcPr>
          <w:p w14:paraId="41E38FBA">
            <w:pPr>
              <w:spacing w:before="66" w:line="219" w:lineRule="auto"/>
              <w:ind w:firstLine="246" w:firstLineChars="100"/>
              <w:jc w:val="center"/>
              <w:rPr>
                <w:rFonts w:hint="eastAsia" w:ascii="宋体" w:hAnsi="宋体" w:eastAsia="宋体" w:cs="宋体"/>
                <w:color w:val="000000" w:themeColor="text1"/>
                <w:spacing w:val="3"/>
                <w:sz w:val="24"/>
                <w:szCs w:val="24"/>
                <w:lang w:eastAsia="zh-CN"/>
                <w14:textFill>
                  <w14:solidFill>
                    <w14:schemeClr w14:val="tx1"/>
                  </w14:solidFill>
                </w14:textFill>
              </w:rPr>
            </w:pPr>
          </w:p>
        </w:tc>
        <w:tc>
          <w:tcPr>
            <w:tcW w:w="1248" w:type="dxa"/>
            <w:vMerge w:val="continue"/>
            <w:tcBorders>
              <w:top w:val="nil"/>
              <w:bottom w:val="nil"/>
            </w:tcBorders>
            <w:vAlign w:val="center"/>
          </w:tcPr>
          <w:p w14:paraId="79862DEB">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04F3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0" w:type="dxa"/>
            <w:vMerge w:val="continue"/>
            <w:vAlign w:val="top"/>
          </w:tcPr>
          <w:p w14:paraId="01A0A870">
            <w:pPr>
              <w:rPr>
                <w:rFonts w:ascii="Arial"/>
                <w:color w:val="000000" w:themeColor="text1"/>
                <w:sz w:val="24"/>
                <w:szCs w:val="24"/>
                <w14:textFill>
                  <w14:solidFill>
                    <w14:schemeClr w14:val="tx1"/>
                  </w14:solidFill>
                </w14:textFill>
              </w:rPr>
            </w:pPr>
          </w:p>
        </w:tc>
        <w:tc>
          <w:tcPr>
            <w:tcW w:w="555" w:type="dxa"/>
            <w:vMerge w:val="continue"/>
            <w:vAlign w:val="top"/>
          </w:tcPr>
          <w:p w14:paraId="0F528078">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tc>
        <w:tc>
          <w:tcPr>
            <w:tcW w:w="1530" w:type="dxa"/>
            <w:vMerge w:val="continue"/>
            <w:tcBorders>
              <w:top w:val="nil"/>
            </w:tcBorders>
            <w:vAlign w:val="top"/>
          </w:tcPr>
          <w:p w14:paraId="570A563D">
            <w:pPr>
              <w:keepNext w:val="0"/>
              <w:keepLines w:val="0"/>
              <w:pageBreakBefore w:val="0"/>
              <w:widowControl w:val="0"/>
              <w:kinsoku/>
              <w:wordWrap/>
              <w:overflowPunct/>
              <w:topLinePunct w:val="0"/>
              <w:autoSpaceDE/>
              <w:autoSpaceDN/>
              <w:bidi w:val="0"/>
              <w:adjustRightInd/>
              <w:snapToGrid/>
              <w:spacing w:line="32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p>
        </w:tc>
        <w:tc>
          <w:tcPr>
            <w:tcW w:w="6810" w:type="dxa"/>
            <w:vAlign w:val="center"/>
          </w:tcPr>
          <w:p w14:paraId="18B7A202">
            <w:pPr>
              <w:keepNext w:val="0"/>
              <w:keepLines w:val="0"/>
              <w:pageBreakBefore w:val="0"/>
              <w:widowControl w:val="0"/>
              <w:kinsoku/>
              <w:wordWrap/>
              <w:overflowPunct/>
              <w:topLinePunct w:val="0"/>
              <w:autoSpaceDE/>
              <w:autoSpaceDN/>
              <w:bidi w:val="0"/>
              <w:adjustRightInd/>
              <w:snapToGrid/>
              <w:spacing w:line="26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提高孤儿和事实无人抚养儿童基本生活最低保障标准。散居孤儿从950元/月提高到1100元/月，集中养育从1350元/月提高到1500元/月</w:t>
            </w:r>
          </w:p>
        </w:tc>
        <w:tc>
          <w:tcPr>
            <w:tcW w:w="2891" w:type="dxa"/>
            <w:vMerge w:val="continue"/>
            <w:tcBorders>
              <w:top w:val="nil"/>
            </w:tcBorders>
            <w:vAlign w:val="center"/>
          </w:tcPr>
          <w:p w14:paraId="7171A623">
            <w:pPr>
              <w:keepNext w:val="0"/>
              <w:keepLines w:val="0"/>
              <w:pageBreakBefore w:val="0"/>
              <w:widowControl w:val="0"/>
              <w:kinsoku/>
              <w:wordWrap/>
              <w:overflowPunct/>
              <w:topLinePunct w:val="0"/>
              <w:autoSpaceDE/>
              <w:autoSpaceDN/>
              <w:bidi w:val="0"/>
              <w:adjustRightInd/>
              <w:snapToGrid/>
              <w:spacing w:line="229" w:lineRule="auto"/>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300" w:type="dxa"/>
            <w:vMerge w:val="continue"/>
            <w:tcBorders>
              <w:top w:val="nil"/>
            </w:tcBorders>
            <w:vAlign w:val="center"/>
          </w:tcPr>
          <w:p w14:paraId="0CE46BE3">
            <w:pPr>
              <w:spacing w:before="66" w:line="219" w:lineRule="auto"/>
              <w:ind w:firstLine="246" w:firstLineChars="100"/>
              <w:jc w:val="center"/>
              <w:rPr>
                <w:rFonts w:hint="eastAsia" w:ascii="宋体" w:hAnsi="宋体" w:eastAsia="宋体" w:cs="宋体"/>
                <w:color w:val="000000" w:themeColor="text1"/>
                <w:spacing w:val="3"/>
                <w:sz w:val="24"/>
                <w:szCs w:val="24"/>
                <w:lang w:eastAsia="zh-CN"/>
                <w14:textFill>
                  <w14:solidFill>
                    <w14:schemeClr w14:val="tx1"/>
                  </w14:solidFill>
                </w14:textFill>
              </w:rPr>
            </w:pPr>
          </w:p>
        </w:tc>
        <w:tc>
          <w:tcPr>
            <w:tcW w:w="1248" w:type="dxa"/>
            <w:vMerge w:val="continue"/>
            <w:tcBorders>
              <w:top w:val="nil"/>
            </w:tcBorders>
            <w:vAlign w:val="center"/>
          </w:tcPr>
          <w:p w14:paraId="0B17221B">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50915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50" w:type="dxa"/>
            <w:vMerge w:val="continue"/>
            <w:vAlign w:val="top"/>
          </w:tcPr>
          <w:p w14:paraId="2866E5B7">
            <w:pPr>
              <w:rPr>
                <w:rFonts w:ascii="Arial"/>
                <w:color w:val="000000" w:themeColor="text1"/>
                <w:sz w:val="24"/>
                <w:szCs w:val="24"/>
                <w14:textFill>
                  <w14:solidFill>
                    <w14:schemeClr w14:val="tx1"/>
                  </w14:solidFill>
                </w14:textFill>
              </w:rPr>
            </w:pPr>
          </w:p>
        </w:tc>
        <w:tc>
          <w:tcPr>
            <w:tcW w:w="555" w:type="dxa"/>
            <w:vMerge w:val="continue"/>
            <w:vAlign w:val="top"/>
          </w:tcPr>
          <w:p w14:paraId="5089FC7A">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tc>
        <w:tc>
          <w:tcPr>
            <w:tcW w:w="1530" w:type="dxa"/>
            <w:vMerge w:val="restart"/>
            <w:tcBorders>
              <w:bottom w:val="nil"/>
            </w:tcBorders>
            <w:vAlign w:val="center"/>
          </w:tcPr>
          <w:p w14:paraId="2AE6E261">
            <w:pPr>
              <w:keepNext w:val="0"/>
              <w:keepLines w:val="0"/>
              <w:pageBreakBefore w:val="0"/>
              <w:widowControl w:val="0"/>
              <w:kinsoku/>
              <w:wordWrap/>
              <w:overflowPunct/>
              <w:topLinePunct w:val="0"/>
              <w:autoSpaceDE/>
              <w:autoSpaceDN/>
              <w:bidi w:val="0"/>
              <w:adjustRightInd/>
              <w:snapToGrid/>
              <w:spacing w:line="30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8.残疾人关爱服务</w:t>
            </w:r>
          </w:p>
        </w:tc>
        <w:tc>
          <w:tcPr>
            <w:tcW w:w="6810" w:type="dxa"/>
            <w:vAlign w:val="center"/>
          </w:tcPr>
          <w:p w14:paraId="355F4BDE">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康复救助残疾儿童</w:t>
            </w:r>
            <w:r>
              <w:rPr>
                <w:rFonts w:hint="eastAsia" w:ascii="宋体" w:hAnsi="宋体" w:eastAsia="宋体" w:cs="宋体"/>
                <w:color w:val="000000" w:themeColor="text1"/>
                <w:spacing w:val="6"/>
                <w:sz w:val="24"/>
                <w:szCs w:val="24"/>
                <w:lang w:val="en-US" w:eastAsia="zh-CN"/>
                <w14:textFill>
                  <w14:solidFill>
                    <w14:schemeClr w14:val="tx1"/>
                  </w14:solidFill>
                </w14:textFill>
              </w:rPr>
              <w:t>54</w:t>
            </w:r>
            <w:r>
              <w:rPr>
                <w:rFonts w:ascii="宋体" w:hAnsi="宋体" w:eastAsia="宋体" w:cs="宋体"/>
                <w:color w:val="000000" w:themeColor="text1"/>
                <w:spacing w:val="6"/>
                <w:sz w:val="24"/>
                <w:szCs w:val="24"/>
                <w14:textFill>
                  <w14:solidFill>
                    <w14:schemeClr w14:val="tx1"/>
                  </w14:solidFill>
                </w14:textFill>
              </w:rPr>
              <w:t>人</w:t>
            </w:r>
          </w:p>
        </w:tc>
        <w:tc>
          <w:tcPr>
            <w:tcW w:w="2891" w:type="dxa"/>
            <w:vMerge w:val="restart"/>
            <w:tcBorders>
              <w:bottom w:val="nil"/>
            </w:tcBorders>
            <w:vAlign w:val="center"/>
          </w:tcPr>
          <w:p w14:paraId="4F8BAB1C">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县残联牵头，相关乡镇负责</w:t>
            </w:r>
          </w:p>
        </w:tc>
        <w:tc>
          <w:tcPr>
            <w:tcW w:w="1300" w:type="dxa"/>
            <w:vMerge w:val="restart"/>
            <w:tcBorders>
              <w:bottom w:val="nil"/>
            </w:tcBorders>
            <w:vAlign w:val="center"/>
          </w:tcPr>
          <w:p w14:paraId="386669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沈乾明</w:t>
            </w:r>
          </w:p>
          <w:p w14:paraId="020835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48" w:type="dxa"/>
            <w:vMerge w:val="restart"/>
            <w:tcBorders>
              <w:bottom w:val="nil"/>
            </w:tcBorders>
            <w:vAlign w:val="center"/>
          </w:tcPr>
          <w:p w14:paraId="4CF9545B">
            <w:pPr>
              <w:keepNext w:val="0"/>
              <w:keepLines w:val="0"/>
              <w:pageBreakBefore w:val="0"/>
              <w:widowControl w:val="0"/>
              <w:kinsoku/>
              <w:wordWrap/>
              <w:overflowPunct/>
              <w:topLinePunct w:val="0"/>
              <w:autoSpaceDE/>
              <w:autoSpaceDN/>
              <w:bidi w:val="0"/>
              <w:adjustRightInd/>
              <w:snapToGrid/>
              <w:spacing w:line="300" w:lineRule="exact"/>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梁恩雄</w:t>
            </w:r>
          </w:p>
        </w:tc>
      </w:tr>
      <w:tr w14:paraId="6BF7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0" w:type="dxa"/>
            <w:vMerge w:val="continue"/>
            <w:vAlign w:val="top"/>
          </w:tcPr>
          <w:p w14:paraId="19582DE7">
            <w:pPr>
              <w:rPr>
                <w:rFonts w:ascii="Arial"/>
                <w:color w:val="000000" w:themeColor="text1"/>
                <w:sz w:val="24"/>
                <w:szCs w:val="24"/>
                <w14:textFill>
                  <w14:solidFill>
                    <w14:schemeClr w14:val="tx1"/>
                  </w14:solidFill>
                </w14:textFill>
              </w:rPr>
            </w:pPr>
          </w:p>
        </w:tc>
        <w:tc>
          <w:tcPr>
            <w:tcW w:w="555" w:type="dxa"/>
            <w:vMerge w:val="continue"/>
            <w:vAlign w:val="top"/>
          </w:tcPr>
          <w:p w14:paraId="27DB7291">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tc>
        <w:tc>
          <w:tcPr>
            <w:tcW w:w="1530" w:type="dxa"/>
            <w:vMerge w:val="continue"/>
            <w:tcBorders>
              <w:top w:val="nil"/>
            </w:tcBorders>
            <w:vAlign w:val="center"/>
          </w:tcPr>
          <w:p w14:paraId="601EE2D6">
            <w:pPr>
              <w:keepNext w:val="0"/>
              <w:keepLines w:val="0"/>
              <w:pageBreakBefore w:val="0"/>
              <w:widowControl w:val="0"/>
              <w:kinsoku/>
              <w:wordWrap/>
              <w:overflowPunct/>
              <w:topLinePunct w:val="0"/>
              <w:autoSpaceDE/>
              <w:autoSpaceDN/>
              <w:bidi w:val="0"/>
              <w:adjustRightInd/>
              <w:snapToGrid/>
              <w:spacing w:line="30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p>
        </w:tc>
        <w:tc>
          <w:tcPr>
            <w:tcW w:w="6810" w:type="dxa"/>
            <w:vAlign w:val="center"/>
          </w:tcPr>
          <w:p w14:paraId="56D11DCE">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完成100户困难残疾人家庭无障碍改造</w:t>
            </w:r>
          </w:p>
        </w:tc>
        <w:tc>
          <w:tcPr>
            <w:tcW w:w="2891" w:type="dxa"/>
            <w:vMerge w:val="continue"/>
            <w:tcBorders>
              <w:top w:val="nil"/>
            </w:tcBorders>
            <w:vAlign w:val="center"/>
          </w:tcPr>
          <w:p w14:paraId="4D7A9C0D">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300" w:type="dxa"/>
            <w:vMerge w:val="continue"/>
            <w:tcBorders>
              <w:top w:val="nil"/>
            </w:tcBorders>
            <w:vAlign w:val="center"/>
          </w:tcPr>
          <w:p w14:paraId="5986C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p>
        </w:tc>
        <w:tc>
          <w:tcPr>
            <w:tcW w:w="1248" w:type="dxa"/>
            <w:vMerge w:val="continue"/>
            <w:tcBorders>
              <w:top w:val="nil"/>
            </w:tcBorders>
            <w:vAlign w:val="center"/>
          </w:tcPr>
          <w:p w14:paraId="4304DC84">
            <w:pPr>
              <w:keepNext w:val="0"/>
              <w:keepLines w:val="0"/>
              <w:pageBreakBefore w:val="0"/>
              <w:widowControl w:val="0"/>
              <w:kinsoku/>
              <w:wordWrap/>
              <w:overflowPunct/>
              <w:topLinePunct w:val="0"/>
              <w:autoSpaceDE/>
              <w:autoSpaceDN/>
              <w:bidi w:val="0"/>
              <w:adjustRightInd/>
              <w:snapToGrid/>
              <w:spacing w:line="300" w:lineRule="exact"/>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0DBD8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50" w:type="dxa"/>
            <w:vMerge w:val="continue"/>
            <w:vAlign w:val="top"/>
          </w:tcPr>
          <w:p w14:paraId="6B92051A">
            <w:pPr>
              <w:rPr>
                <w:rFonts w:ascii="Arial"/>
                <w:color w:val="000000" w:themeColor="text1"/>
                <w:sz w:val="24"/>
                <w:szCs w:val="24"/>
                <w14:textFill>
                  <w14:solidFill>
                    <w14:schemeClr w14:val="tx1"/>
                  </w14:solidFill>
                </w14:textFill>
              </w:rPr>
            </w:pPr>
          </w:p>
        </w:tc>
        <w:tc>
          <w:tcPr>
            <w:tcW w:w="555" w:type="dxa"/>
            <w:vMerge w:val="continue"/>
            <w:vAlign w:val="top"/>
          </w:tcPr>
          <w:p w14:paraId="75F09D6A">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color w:val="000000" w:themeColor="text1"/>
                <w:sz w:val="24"/>
                <w:szCs w:val="24"/>
                <w14:textFill>
                  <w14:solidFill>
                    <w14:schemeClr w14:val="tx1"/>
                  </w14:solidFill>
                </w14:textFill>
              </w:rPr>
            </w:pPr>
          </w:p>
        </w:tc>
        <w:tc>
          <w:tcPr>
            <w:tcW w:w="1530" w:type="dxa"/>
            <w:vMerge w:val="restart"/>
            <w:tcBorders>
              <w:bottom w:val="nil"/>
            </w:tcBorders>
            <w:vAlign w:val="center"/>
          </w:tcPr>
          <w:p w14:paraId="34CB6E42">
            <w:pPr>
              <w:keepNext w:val="0"/>
              <w:keepLines w:val="0"/>
              <w:pageBreakBefore w:val="0"/>
              <w:widowControl w:val="0"/>
              <w:kinsoku/>
              <w:wordWrap/>
              <w:overflowPunct/>
              <w:topLinePunct w:val="0"/>
              <w:autoSpaceDE/>
              <w:autoSpaceDN/>
              <w:bidi w:val="0"/>
              <w:adjustRightInd/>
              <w:snapToGrid/>
              <w:spacing w:line="300" w:lineRule="exact"/>
              <w:ind w:left="90" w:right="28"/>
              <w:jc w:val="left"/>
              <w:textAlignment w:val="auto"/>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9.城镇老旧小区改造</w:t>
            </w:r>
          </w:p>
        </w:tc>
        <w:tc>
          <w:tcPr>
            <w:tcW w:w="6810" w:type="dxa"/>
            <w:vAlign w:val="center"/>
          </w:tcPr>
          <w:p w14:paraId="244A85D3">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开工改造</w:t>
            </w:r>
            <w:r>
              <w:rPr>
                <w:rFonts w:hint="eastAsia" w:ascii="宋体" w:hAnsi="宋体" w:eastAsia="宋体" w:cs="宋体"/>
                <w:color w:val="000000" w:themeColor="text1"/>
                <w:spacing w:val="6"/>
                <w:sz w:val="24"/>
                <w:szCs w:val="24"/>
                <w:lang w:val="en-US" w:eastAsia="zh-CN"/>
                <w14:textFill>
                  <w14:solidFill>
                    <w14:schemeClr w14:val="tx1"/>
                  </w14:solidFill>
                </w14:textFill>
              </w:rPr>
              <w:t>10</w:t>
            </w:r>
            <w:r>
              <w:rPr>
                <w:rFonts w:ascii="宋体" w:hAnsi="宋体" w:eastAsia="宋体" w:cs="宋体"/>
                <w:color w:val="000000" w:themeColor="text1"/>
                <w:spacing w:val="6"/>
                <w:sz w:val="24"/>
                <w:szCs w:val="24"/>
                <w14:textFill>
                  <w14:solidFill>
                    <w14:schemeClr w14:val="tx1"/>
                  </w14:solidFill>
                </w14:textFill>
              </w:rPr>
              <w:t>个城镇老旧小区</w:t>
            </w:r>
          </w:p>
        </w:tc>
        <w:tc>
          <w:tcPr>
            <w:tcW w:w="2891" w:type="dxa"/>
            <w:vAlign w:val="center"/>
          </w:tcPr>
          <w:p w14:paraId="19C63B32">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县住房和城乡建设局</w:t>
            </w:r>
          </w:p>
        </w:tc>
        <w:tc>
          <w:tcPr>
            <w:tcW w:w="1300" w:type="dxa"/>
            <w:vAlign w:val="center"/>
          </w:tcPr>
          <w:p w14:paraId="49B4F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黄始伟</w:t>
            </w:r>
          </w:p>
        </w:tc>
        <w:tc>
          <w:tcPr>
            <w:tcW w:w="1248" w:type="dxa"/>
            <w:vAlign w:val="center"/>
          </w:tcPr>
          <w:p w14:paraId="349AAAB4">
            <w:pPr>
              <w:keepNext w:val="0"/>
              <w:keepLines w:val="0"/>
              <w:pageBreakBefore w:val="0"/>
              <w:widowControl w:val="0"/>
              <w:kinsoku/>
              <w:wordWrap/>
              <w:overflowPunct/>
              <w:topLinePunct w:val="0"/>
              <w:autoSpaceDE/>
              <w:autoSpaceDN/>
              <w:bidi w:val="0"/>
              <w:adjustRightInd/>
              <w:snapToGrid/>
              <w:spacing w:line="300" w:lineRule="exact"/>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杨昌盛</w:t>
            </w:r>
          </w:p>
        </w:tc>
      </w:tr>
      <w:tr w14:paraId="2E50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50" w:type="dxa"/>
            <w:vMerge w:val="continue"/>
            <w:vAlign w:val="top"/>
          </w:tcPr>
          <w:p w14:paraId="6F5A95AB">
            <w:pPr>
              <w:rPr>
                <w:rFonts w:ascii="Arial"/>
                <w:color w:val="000000" w:themeColor="text1"/>
                <w:sz w:val="24"/>
                <w:szCs w:val="24"/>
                <w14:textFill>
                  <w14:solidFill>
                    <w14:schemeClr w14:val="tx1"/>
                  </w14:solidFill>
                </w14:textFill>
              </w:rPr>
            </w:pPr>
          </w:p>
        </w:tc>
        <w:tc>
          <w:tcPr>
            <w:tcW w:w="555" w:type="dxa"/>
            <w:vMerge w:val="continue"/>
            <w:vAlign w:val="top"/>
          </w:tcPr>
          <w:p w14:paraId="4EB04C0A">
            <w:pPr>
              <w:rPr>
                <w:rFonts w:ascii="Arial"/>
                <w:color w:val="000000" w:themeColor="text1"/>
                <w:sz w:val="24"/>
                <w:szCs w:val="24"/>
                <w14:textFill>
                  <w14:solidFill>
                    <w14:schemeClr w14:val="tx1"/>
                  </w14:solidFill>
                </w14:textFill>
              </w:rPr>
            </w:pPr>
          </w:p>
        </w:tc>
        <w:tc>
          <w:tcPr>
            <w:tcW w:w="1530" w:type="dxa"/>
            <w:vMerge w:val="continue"/>
            <w:tcBorders>
              <w:top w:val="nil"/>
            </w:tcBorders>
            <w:vAlign w:val="top"/>
          </w:tcPr>
          <w:p w14:paraId="42E51983">
            <w:pPr>
              <w:spacing w:before="65" w:line="234" w:lineRule="auto"/>
              <w:ind w:left="90" w:right="28"/>
              <w:jc w:val="left"/>
              <w:rPr>
                <w:rFonts w:ascii="宋体" w:hAnsi="宋体" w:eastAsia="宋体" w:cs="宋体"/>
                <w:color w:val="000000" w:themeColor="text1"/>
                <w:spacing w:val="3"/>
                <w:sz w:val="24"/>
                <w:szCs w:val="24"/>
                <w14:textFill>
                  <w14:solidFill>
                    <w14:schemeClr w14:val="tx1"/>
                  </w14:solidFill>
                </w14:textFill>
              </w:rPr>
            </w:pPr>
          </w:p>
        </w:tc>
        <w:tc>
          <w:tcPr>
            <w:tcW w:w="6810" w:type="dxa"/>
            <w:vAlign w:val="center"/>
          </w:tcPr>
          <w:p w14:paraId="31A3410D">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hint="eastAsia" w:ascii="宋体" w:hAnsi="宋体" w:eastAsia="宋体" w:cs="宋体"/>
                <w:color w:val="000000" w:themeColor="text1"/>
                <w:spacing w:val="6"/>
                <w:sz w:val="24"/>
                <w:szCs w:val="24"/>
                <w:lang w:eastAsia="zh-CN"/>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城镇住宅小区居民“一户一表”改造接收</w:t>
            </w:r>
            <w:r>
              <w:rPr>
                <w:rFonts w:hint="eastAsia" w:ascii="宋体" w:hAnsi="宋体" w:eastAsia="宋体" w:cs="宋体"/>
                <w:color w:val="000000" w:themeColor="text1"/>
                <w:spacing w:val="6"/>
                <w:sz w:val="24"/>
                <w:szCs w:val="24"/>
                <w:lang w:eastAsia="zh-CN"/>
                <w14:textFill>
                  <w14:solidFill>
                    <w14:schemeClr w14:val="tx1"/>
                  </w14:solidFill>
                </w14:textFill>
              </w:rPr>
              <w:t>，具</w:t>
            </w:r>
            <w:r>
              <w:rPr>
                <w:rFonts w:hint="eastAsia" w:ascii="宋体" w:hAnsi="宋体" w:eastAsia="宋体" w:cs="宋体"/>
                <w:color w:val="000000" w:themeColor="text1"/>
                <w:spacing w:val="6"/>
                <w:sz w:val="24"/>
                <w:szCs w:val="24"/>
                <w:lang w:val="en-US" w:eastAsia="zh-CN"/>
                <w14:textFill>
                  <w14:solidFill>
                    <w14:schemeClr w14:val="tx1"/>
                  </w14:solidFill>
                </w14:textFill>
              </w:rPr>
              <w:t>体任务数量以市里下达的文件分配数为准</w:t>
            </w:r>
          </w:p>
        </w:tc>
        <w:tc>
          <w:tcPr>
            <w:tcW w:w="2891" w:type="dxa"/>
            <w:vAlign w:val="center"/>
          </w:tcPr>
          <w:p w14:paraId="057BEB6A">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县供电公司牵头，相关乡镇负责</w:t>
            </w:r>
          </w:p>
        </w:tc>
        <w:tc>
          <w:tcPr>
            <w:tcW w:w="1300" w:type="dxa"/>
            <w:vAlign w:val="center"/>
          </w:tcPr>
          <w:p w14:paraId="1719C9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张</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伟</w:t>
            </w:r>
          </w:p>
          <w:p w14:paraId="5D7989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48" w:type="dxa"/>
            <w:vAlign w:val="center"/>
          </w:tcPr>
          <w:p w14:paraId="58F41D9D">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黄先伟</w:t>
            </w:r>
          </w:p>
        </w:tc>
      </w:tr>
      <w:tr w14:paraId="232EA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50" w:type="dxa"/>
            <w:vMerge w:val="continue"/>
            <w:vAlign w:val="top"/>
          </w:tcPr>
          <w:p w14:paraId="6B9D89D9">
            <w:pPr>
              <w:rPr>
                <w:rFonts w:ascii="Arial"/>
                <w:color w:val="000000" w:themeColor="text1"/>
                <w:sz w:val="24"/>
                <w:szCs w:val="24"/>
                <w14:textFill>
                  <w14:solidFill>
                    <w14:schemeClr w14:val="tx1"/>
                  </w14:solidFill>
                </w14:textFill>
              </w:rPr>
            </w:pPr>
          </w:p>
        </w:tc>
        <w:tc>
          <w:tcPr>
            <w:tcW w:w="555" w:type="dxa"/>
            <w:vMerge w:val="continue"/>
            <w:vAlign w:val="top"/>
          </w:tcPr>
          <w:p w14:paraId="3EA3AD93">
            <w:pPr>
              <w:rPr>
                <w:rFonts w:ascii="Arial"/>
                <w:color w:val="000000" w:themeColor="text1"/>
                <w:sz w:val="24"/>
                <w:szCs w:val="24"/>
                <w14:textFill>
                  <w14:solidFill>
                    <w14:schemeClr w14:val="tx1"/>
                  </w14:solidFill>
                </w14:textFill>
              </w:rPr>
            </w:pPr>
          </w:p>
        </w:tc>
        <w:tc>
          <w:tcPr>
            <w:tcW w:w="1530" w:type="dxa"/>
            <w:vMerge w:val="restart"/>
            <w:vAlign w:val="top"/>
          </w:tcPr>
          <w:p w14:paraId="3D008D5A">
            <w:pPr>
              <w:keepNext w:val="0"/>
              <w:keepLines w:val="0"/>
              <w:pageBreakBefore w:val="0"/>
              <w:widowControl w:val="0"/>
              <w:kinsoku/>
              <w:wordWrap/>
              <w:overflowPunct/>
              <w:topLinePunct w:val="0"/>
              <w:autoSpaceDE/>
              <w:autoSpaceDN/>
              <w:bidi w:val="0"/>
              <w:adjustRightInd/>
              <w:snapToGrid/>
              <w:spacing w:line="300" w:lineRule="exact"/>
              <w:ind w:left="91" w:right="28"/>
              <w:jc w:val="left"/>
              <w:textAlignment w:val="auto"/>
              <w:rPr>
                <w:rFonts w:ascii="宋体" w:hAnsi="宋体" w:eastAsia="宋体" w:cs="宋体"/>
                <w:color w:val="000000" w:themeColor="text1"/>
                <w:spacing w:val="3"/>
                <w:sz w:val="24"/>
                <w:szCs w:val="24"/>
                <w14:textFill>
                  <w14:solidFill>
                    <w14:schemeClr w14:val="tx1"/>
                  </w14:solidFill>
                </w14:textFill>
              </w:rPr>
            </w:pPr>
          </w:p>
          <w:p w14:paraId="2AABD6BD">
            <w:pPr>
              <w:keepNext w:val="0"/>
              <w:keepLines w:val="0"/>
              <w:pageBreakBefore w:val="0"/>
              <w:widowControl w:val="0"/>
              <w:kinsoku/>
              <w:wordWrap/>
              <w:overflowPunct/>
              <w:topLinePunct w:val="0"/>
              <w:autoSpaceDE/>
              <w:autoSpaceDN/>
              <w:bidi w:val="0"/>
              <w:adjustRightInd/>
              <w:snapToGrid/>
              <w:spacing w:line="300" w:lineRule="exact"/>
              <w:ind w:left="91" w:right="28"/>
              <w:jc w:val="left"/>
              <w:textAlignment w:val="auto"/>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10.加强农村“三路”、 “两网”及灌溉、饮水建设</w:t>
            </w:r>
          </w:p>
        </w:tc>
        <w:tc>
          <w:tcPr>
            <w:tcW w:w="6810" w:type="dxa"/>
            <w:vAlign w:val="center"/>
          </w:tcPr>
          <w:p w14:paraId="178F1C4A">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农村“三路”建设。农村公路提质改造</w:t>
            </w:r>
            <w:r>
              <w:rPr>
                <w:rFonts w:hint="eastAsia" w:ascii="宋体" w:hAnsi="宋体" w:eastAsia="宋体" w:cs="宋体"/>
                <w:color w:val="000000" w:themeColor="text1"/>
                <w:spacing w:val="6"/>
                <w:sz w:val="24"/>
                <w:szCs w:val="24"/>
                <w:lang w:val="en-US" w:eastAsia="zh-CN"/>
                <w14:textFill>
                  <w14:solidFill>
                    <w14:schemeClr w14:val="tx1"/>
                  </w14:solidFill>
                </w14:textFill>
              </w:rPr>
              <w:t>34</w:t>
            </w:r>
            <w:r>
              <w:rPr>
                <w:rFonts w:ascii="宋体" w:hAnsi="宋体" w:eastAsia="宋体" w:cs="宋体"/>
                <w:color w:val="000000" w:themeColor="text1"/>
                <w:spacing w:val="6"/>
                <w:sz w:val="24"/>
                <w:szCs w:val="24"/>
                <w14:textFill>
                  <w14:solidFill>
                    <w14:schemeClr w14:val="tx1"/>
                  </w14:solidFill>
                </w14:textFill>
              </w:rPr>
              <w:t>公里；建设农村公路安防设施</w:t>
            </w:r>
            <w:r>
              <w:rPr>
                <w:rFonts w:hint="eastAsia" w:ascii="宋体" w:hAnsi="宋体" w:eastAsia="宋体" w:cs="宋体"/>
                <w:color w:val="000000" w:themeColor="text1"/>
                <w:spacing w:val="6"/>
                <w:sz w:val="24"/>
                <w:szCs w:val="24"/>
                <w:lang w:val="en-US" w:eastAsia="zh-CN"/>
                <w14:textFill>
                  <w14:solidFill>
                    <w14:schemeClr w14:val="tx1"/>
                  </w14:solidFill>
                </w14:textFill>
              </w:rPr>
              <w:t>50</w:t>
            </w:r>
            <w:r>
              <w:rPr>
                <w:rFonts w:ascii="宋体" w:hAnsi="宋体" w:eastAsia="宋体" w:cs="宋体"/>
                <w:color w:val="000000" w:themeColor="text1"/>
                <w:spacing w:val="6"/>
                <w:sz w:val="24"/>
                <w:szCs w:val="24"/>
                <w14:textFill>
                  <w14:solidFill>
                    <w14:schemeClr w14:val="tx1"/>
                  </w14:solidFill>
                </w14:textFill>
              </w:rPr>
              <w:t>公里；普通国省道安防精细化提升</w:t>
            </w:r>
            <w:r>
              <w:rPr>
                <w:rFonts w:hint="eastAsia" w:ascii="宋体" w:hAnsi="宋体" w:eastAsia="宋体" w:cs="宋体"/>
                <w:color w:val="000000" w:themeColor="text1"/>
                <w:spacing w:val="6"/>
                <w:sz w:val="24"/>
                <w:szCs w:val="24"/>
                <w:lang w:val="en-US" w:eastAsia="zh-CN"/>
                <w14:textFill>
                  <w14:solidFill>
                    <w14:schemeClr w14:val="tx1"/>
                  </w14:solidFill>
                </w14:textFill>
              </w:rPr>
              <w:t>11</w:t>
            </w:r>
            <w:r>
              <w:rPr>
                <w:rFonts w:ascii="宋体" w:hAnsi="宋体" w:eastAsia="宋体" w:cs="宋体"/>
                <w:color w:val="000000" w:themeColor="text1"/>
                <w:spacing w:val="6"/>
                <w:sz w:val="24"/>
                <w:szCs w:val="24"/>
                <w14:textFill>
                  <w14:solidFill>
                    <w14:schemeClr w14:val="tx1"/>
                  </w14:solidFill>
                </w14:textFill>
              </w:rPr>
              <w:t>公里</w:t>
            </w:r>
          </w:p>
        </w:tc>
        <w:tc>
          <w:tcPr>
            <w:tcW w:w="2891" w:type="dxa"/>
            <w:vAlign w:val="center"/>
          </w:tcPr>
          <w:p w14:paraId="46359F73">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县交通运输局牵头，县公路建设养护中心、相关乡镇负责</w:t>
            </w:r>
          </w:p>
        </w:tc>
        <w:tc>
          <w:tcPr>
            <w:tcW w:w="1300" w:type="dxa"/>
            <w:vAlign w:val="center"/>
          </w:tcPr>
          <w:p w14:paraId="0C8C9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陈又清</w:t>
            </w:r>
          </w:p>
          <w:p w14:paraId="301DDD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黄革平</w:t>
            </w:r>
          </w:p>
          <w:p w14:paraId="10BA42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48" w:type="dxa"/>
            <w:vAlign w:val="center"/>
          </w:tcPr>
          <w:p w14:paraId="27A53877">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黄先伟</w:t>
            </w:r>
          </w:p>
        </w:tc>
      </w:tr>
      <w:tr w14:paraId="6A2B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0" w:type="dxa"/>
            <w:vMerge w:val="continue"/>
            <w:vAlign w:val="top"/>
          </w:tcPr>
          <w:p w14:paraId="1134DC3A">
            <w:pPr>
              <w:rPr>
                <w:rFonts w:ascii="Arial"/>
                <w:color w:val="000000" w:themeColor="text1"/>
                <w:sz w:val="24"/>
                <w:szCs w:val="24"/>
                <w14:textFill>
                  <w14:solidFill>
                    <w14:schemeClr w14:val="tx1"/>
                  </w14:solidFill>
                </w14:textFill>
              </w:rPr>
            </w:pPr>
          </w:p>
        </w:tc>
        <w:tc>
          <w:tcPr>
            <w:tcW w:w="555" w:type="dxa"/>
            <w:vMerge w:val="continue"/>
            <w:vAlign w:val="top"/>
          </w:tcPr>
          <w:p w14:paraId="44582BAE">
            <w:pPr>
              <w:rPr>
                <w:rFonts w:ascii="Arial"/>
                <w:color w:val="000000" w:themeColor="text1"/>
                <w:sz w:val="24"/>
                <w:szCs w:val="24"/>
                <w14:textFill>
                  <w14:solidFill>
                    <w14:schemeClr w14:val="tx1"/>
                  </w14:solidFill>
                </w14:textFill>
              </w:rPr>
            </w:pPr>
          </w:p>
        </w:tc>
        <w:tc>
          <w:tcPr>
            <w:tcW w:w="1530" w:type="dxa"/>
            <w:vMerge w:val="continue"/>
            <w:vAlign w:val="top"/>
          </w:tcPr>
          <w:p w14:paraId="085EB02E">
            <w:pPr>
              <w:rPr>
                <w:rFonts w:ascii="Arial"/>
                <w:color w:val="000000" w:themeColor="text1"/>
                <w:sz w:val="24"/>
                <w:szCs w:val="24"/>
                <w14:textFill>
                  <w14:solidFill>
                    <w14:schemeClr w14:val="tx1"/>
                  </w14:solidFill>
                </w14:textFill>
              </w:rPr>
            </w:pPr>
          </w:p>
        </w:tc>
        <w:tc>
          <w:tcPr>
            <w:tcW w:w="6810" w:type="dxa"/>
            <w:vAlign w:val="center"/>
          </w:tcPr>
          <w:p w14:paraId="2E52994E">
            <w:pPr>
              <w:keepNext w:val="0"/>
              <w:keepLines w:val="0"/>
              <w:pageBreakBefore w:val="0"/>
              <w:widowControl w:val="0"/>
              <w:kinsoku/>
              <w:wordWrap/>
              <w:overflowPunct/>
              <w:topLinePunct w:val="0"/>
              <w:autoSpaceDE/>
              <w:autoSpaceDN/>
              <w:bidi w:val="0"/>
              <w:adjustRightInd/>
              <w:snapToGrid/>
              <w:spacing w:line="24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农村电网巩固提升工程。农村地区110千伏、35千伏、10千伏及以下电网供电能力提升</w:t>
            </w:r>
          </w:p>
        </w:tc>
        <w:tc>
          <w:tcPr>
            <w:tcW w:w="2891" w:type="dxa"/>
            <w:vAlign w:val="center"/>
          </w:tcPr>
          <w:p w14:paraId="2B4E3E80">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县供电公司牵头、相关乡镇负责</w:t>
            </w:r>
          </w:p>
        </w:tc>
        <w:tc>
          <w:tcPr>
            <w:tcW w:w="1300" w:type="dxa"/>
            <w:vAlign w:val="center"/>
          </w:tcPr>
          <w:p w14:paraId="639FD4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张</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伟</w:t>
            </w:r>
          </w:p>
          <w:p w14:paraId="6C0020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w:t>
            </w:r>
            <w:r>
              <w:rPr>
                <w:rFonts w:ascii="宋体" w:hAnsi="宋体" w:eastAsia="宋体" w:cs="宋体"/>
                <w:color w:val="000000" w:themeColor="text1"/>
                <w:spacing w:val="-3"/>
                <w:sz w:val="24"/>
                <w:szCs w:val="24"/>
                <w14:textFill>
                  <w14:solidFill>
                    <w14:schemeClr w14:val="tx1"/>
                  </w14:solidFill>
                </w14:textFill>
              </w:rPr>
              <w:t>长</w:t>
            </w:r>
          </w:p>
        </w:tc>
        <w:tc>
          <w:tcPr>
            <w:tcW w:w="1248" w:type="dxa"/>
            <w:vAlign w:val="center"/>
          </w:tcPr>
          <w:p w14:paraId="32F3E553">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黄先伟</w:t>
            </w:r>
          </w:p>
        </w:tc>
      </w:tr>
      <w:tr w14:paraId="18B3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450" w:type="dxa"/>
            <w:vMerge w:val="continue"/>
            <w:vAlign w:val="top"/>
          </w:tcPr>
          <w:p w14:paraId="2952A6C6">
            <w:pPr>
              <w:rPr>
                <w:rFonts w:ascii="Arial"/>
                <w:color w:val="000000" w:themeColor="text1"/>
                <w:sz w:val="24"/>
                <w:szCs w:val="24"/>
                <w14:textFill>
                  <w14:solidFill>
                    <w14:schemeClr w14:val="tx1"/>
                  </w14:solidFill>
                </w14:textFill>
              </w:rPr>
            </w:pPr>
          </w:p>
        </w:tc>
        <w:tc>
          <w:tcPr>
            <w:tcW w:w="555" w:type="dxa"/>
            <w:vMerge w:val="continue"/>
            <w:vAlign w:val="top"/>
          </w:tcPr>
          <w:p w14:paraId="4D4B9ABD">
            <w:pPr>
              <w:rPr>
                <w:rFonts w:ascii="Arial"/>
                <w:color w:val="000000" w:themeColor="text1"/>
                <w:sz w:val="24"/>
                <w:szCs w:val="24"/>
                <w14:textFill>
                  <w14:solidFill>
                    <w14:schemeClr w14:val="tx1"/>
                  </w14:solidFill>
                </w14:textFill>
              </w:rPr>
            </w:pPr>
          </w:p>
        </w:tc>
        <w:tc>
          <w:tcPr>
            <w:tcW w:w="1530" w:type="dxa"/>
            <w:vMerge w:val="continue"/>
            <w:vAlign w:val="top"/>
          </w:tcPr>
          <w:p w14:paraId="1135A512">
            <w:pPr>
              <w:rPr>
                <w:rFonts w:ascii="Arial"/>
                <w:color w:val="000000" w:themeColor="text1"/>
                <w:sz w:val="24"/>
                <w:szCs w:val="24"/>
                <w14:textFill>
                  <w14:solidFill>
                    <w14:schemeClr w14:val="tx1"/>
                  </w14:solidFill>
                </w14:textFill>
              </w:rPr>
            </w:pPr>
          </w:p>
        </w:tc>
        <w:tc>
          <w:tcPr>
            <w:tcW w:w="6810" w:type="dxa"/>
            <w:vAlign w:val="center"/>
          </w:tcPr>
          <w:p w14:paraId="2EC216FF">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乡村信息化网络建设。加快农村新型基础设施建设，推动行政 村</w:t>
            </w:r>
            <w:r>
              <w:rPr>
                <w:rFonts w:hint="eastAsia" w:ascii="宋体" w:hAnsi="宋体" w:eastAsia="宋体" w:cs="宋体"/>
                <w:color w:val="000000" w:themeColor="text1"/>
                <w:spacing w:val="6"/>
                <w:sz w:val="24"/>
                <w:szCs w:val="24"/>
                <w:lang w:val="en-US" w:eastAsia="zh-CN"/>
                <w14:textFill>
                  <w14:solidFill>
                    <w14:schemeClr w14:val="tx1"/>
                  </w14:solidFill>
                </w14:textFill>
              </w:rPr>
              <w:t>5G</w:t>
            </w:r>
            <w:r>
              <w:rPr>
                <w:rFonts w:ascii="宋体" w:hAnsi="宋体" w:eastAsia="宋体" w:cs="宋体"/>
                <w:color w:val="000000" w:themeColor="text1"/>
                <w:spacing w:val="6"/>
                <w:sz w:val="24"/>
                <w:szCs w:val="24"/>
                <w14:textFill>
                  <w14:solidFill>
                    <w14:schemeClr w14:val="tx1"/>
                  </w14:solidFill>
                </w14:textFill>
              </w:rPr>
              <w:t>网络和千兆光纤网络覆盖；深化户以上自然村4G网络</w:t>
            </w:r>
            <w:r>
              <w:rPr>
                <w:rFonts w:ascii="宋体" w:hAnsi="宋体" w:eastAsia="宋体" w:cs="宋体"/>
                <w:color w:val="000000" w:themeColor="text1"/>
                <w:spacing w:val="0"/>
                <w:sz w:val="24"/>
                <w:szCs w:val="24"/>
                <w14:textFill>
                  <w14:solidFill>
                    <w14:schemeClr w14:val="tx1"/>
                  </w14:solidFill>
                </w14:textFill>
              </w:rPr>
              <w:t>覆盖；积极拓展农村地区宽带业务，高效服务数字乡村信息应用</w:t>
            </w:r>
          </w:p>
        </w:tc>
        <w:tc>
          <w:tcPr>
            <w:tcW w:w="2891" w:type="dxa"/>
            <w:vAlign w:val="center"/>
          </w:tcPr>
          <w:p w14:paraId="2C48DB3F">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县发展和改革局牵头，相关乡镇负责</w:t>
            </w:r>
          </w:p>
        </w:tc>
        <w:tc>
          <w:tcPr>
            <w:tcW w:w="1300" w:type="dxa"/>
            <w:vAlign w:val="center"/>
          </w:tcPr>
          <w:p w14:paraId="2DD29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唐友柏</w:t>
            </w:r>
          </w:p>
          <w:p w14:paraId="5BF760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w:t>
            </w:r>
            <w:r>
              <w:rPr>
                <w:rFonts w:ascii="宋体" w:hAnsi="宋体" w:eastAsia="宋体" w:cs="宋体"/>
                <w:color w:val="000000" w:themeColor="text1"/>
                <w:spacing w:val="-3"/>
                <w:sz w:val="24"/>
                <w:szCs w:val="24"/>
                <w14:textFill>
                  <w14:solidFill>
                    <w14:schemeClr w14:val="tx1"/>
                  </w14:solidFill>
                </w14:textFill>
              </w:rPr>
              <w:t>长</w:t>
            </w:r>
          </w:p>
        </w:tc>
        <w:tc>
          <w:tcPr>
            <w:tcW w:w="1248" w:type="dxa"/>
            <w:vAlign w:val="center"/>
          </w:tcPr>
          <w:p w14:paraId="625F140A">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黄先伟</w:t>
            </w:r>
          </w:p>
        </w:tc>
      </w:tr>
      <w:tr w14:paraId="332E7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50" w:type="dxa"/>
            <w:vMerge w:val="continue"/>
            <w:vAlign w:val="top"/>
          </w:tcPr>
          <w:p w14:paraId="061686E9">
            <w:pPr>
              <w:rPr>
                <w:rFonts w:ascii="Arial"/>
                <w:color w:val="000000" w:themeColor="text1"/>
                <w:sz w:val="24"/>
                <w:szCs w:val="24"/>
                <w14:textFill>
                  <w14:solidFill>
                    <w14:schemeClr w14:val="tx1"/>
                  </w14:solidFill>
                </w14:textFill>
              </w:rPr>
            </w:pPr>
          </w:p>
        </w:tc>
        <w:tc>
          <w:tcPr>
            <w:tcW w:w="555" w:type="dxa"/>
            <w:vMerge w:val="continue"/>
            <w:vAlign w:val="top"/>
          </w:tcPr>
          <w:p w14:paraId="0F22B533">
            <w:pPr>
              <w:rPr>
                <w:rFonts w:ascii="Arial"/>
                <w:color w:val="000000" w:themeColor="text1"/>
                <w:sz w:val="24"/>
                <w:szCs w:val="24"/>
                <w14:textFill>
                  <w14:solidFill>
                    <w14:schemeClr w14:val="tx1"/>
                  </w14:solidFill>
                </w14:textFill>
              </w:rPr>
            </w:pPr>
          </w:p>
        </w:tc>
        <w:tc>
          <w:tcPr>
            <w:tcW w:w="1530" w:type="dxa"/>
            <w:vMerge w:val="continue"/>
            <w:vAlign w:val="top"/>
          </w:tcPr>
          <w:p w14:paraId="51B2ED19">
            <w:pPr>
              <w:rPr>
                <w:rFonts w:ascii="Arial"/>
                <w:color w:val="000000" w:themeColor="text1"/>
                <w:sz w:val="24"/>
                <w:szCs w:val="24"/>
                <w14:textFill>
                  <w14:solidFill>
                    <w14:schemeClr w14:val="tx1"/>
                  </w14:solidFill>
                </w14:textFill>
              </w:rPr>
            </w:pPr>
          </w:p>
        </w:tc>
        <w:tc>
          <w:tcPr>
            <w:tcW w:w="6810" w:type="dxa"/>
            <w:vAlign w:val="center"/>
          </w:tcPr>
          <w:p w14:paraId="2AA028E8">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lang w:val="en-US" w:eastAsia="zh-CN"/>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农村水源保障及灌溉能力提升。新增蓄水能力5万方；恢复和改善灌溉面积</w:t>
            </w:r>
            <w:r>
              <w:rPr>
                <w:rFonts w:hint="eastAsia" w:ascii="宋体" w:hAnsi="宋体" w:eastAsia="宋体" w:cs="宋体"/>
                <w:color w:val="000000" w:themeColor="text1"/>
                <w:spacing w:val="6"/>
                <w:sz w:val="24"/>
                <w:szCs w:val="24"/>
                <w:lang w:val="en-US" w:eastAsia="zh-CN"/>
                <w14:textFill>
                  <w14:solidFill>
                    <w14:schemeClr w14:val="tx1"/>
                  </w14:solidFill>
                </w14:textFill>
              </w:rPr>
              <w:t>3500</w:t>
            </w:r>
            <w:r>
              <w:rPr>
                <w:rFonts w:ascii="宋体" w:hAnsi="宋体" w:eastAsia="宋体" w:cs="宋体"/>
                <w:color w:val="000000" w:themeColor="text1"/>
                <w:spacing w:val="6"/>
                <w:sz w:val="24"/>
                <w:szCs w:val="24"/>
                <w14:textFill>
                  <w14:solidFill>
                    <w14:schemeClr w14:val="tx1"/>
                  </w14:solidFill>
                </w14:textFill>
              </w:rPr>
              <w:t>亩</w:t>
            </w:r>
          </w:p>
        </w:tc>
        <w:tc>
          <w:tcPr>
            <w:tcW w:w="2891" w:type="dxa"/>
            <w:vAlign w:val="center"/>
          </w:tcPr>
          <w:p w14:paraId="454BC635">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县农业农村水利局牵头，相关乡镇负责</w:t>
            </w:r>
          </w:p>
        </w:tc>
        <w:tc>
          <w:tcPr>
            <w:tcW w:w="1300" w:type="dxa"/>
            <w:vAlign w:val="center"/>
          </w:tcPr>
          <w:p w14:paraId="111A7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李</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eastAsia="zh-CN"/>
                <w14:textFill>
                  <w14:solidFill>
                    <w14:schemeClr w14:val="tx1"/>
                  </w14:solidFill>
                </w14:textFill>
              </w:rPr>
              <w:t>彬</w:t>
            </w:r>
          </w:p>
          <w:p w14:paraId="722FF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w:t>
            </w:r>
            <w:r>
              <w:rPr>
                <w:rFonts w:ascii="宋体" w:hAnsi="宋体" w:eastAsia="宋体" w:cs="宋体"/>
                <w:color w:val="000000" w:themeColor="text1"/>
                <w:spacing w:val="-3"/>
                <w:sz w:val="24"/>
                <w:szCs w:val="24"/>
                <w14:textFill>
                  <w14:solidFill>
                    <w14:schemeClr w14:val="tx1"/>
                  </w14:solidFill>
                </w14:textFill>
              </w:rPr>
              <w:t>长</w:t>
            </w:r>
          </w:p>
        </w:tc>
        <w:tc>
          <w:tcPr>
            <w:tcW w:w="1248" w:type="dxa"/>
            <w:vAlign w:val="center"/>
          </w:tcPr>
          <w:p w14:paraId="0FA36D99">
            <w:pPr>
              <w:keepNext w:val="0"/>
              <w:keepLines w:val="0"/>
              <w:pageBreakBefore w:val="0"/>
              <w:widowControl w:val="0"/>
              <w:kinsoku/>
              <w:wordWrap/>
              <w:overflowPunct/>
              <w:topLinePunct w:val="0"/>
              <w:autoSpaceDE/>
              <w:autoSpaceDN/>
              <w:bidi w:val="0"/>
              <w:adjustRightInd/>
              <w:snapToGrid/>
              <w:spacing w:line="300" w:lineRule="exact"/>
              <w:ind w:left="3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梁恩雄</w:t>
            </w:r>
          </w:p>
          <w:p w14:paraId="48E0FFBA">
            <w:pPr>
              <w:keepNext w:val="0"/>
              <w:keepLines w:val="0"/>
              <w:pageBreakBefore w:val="0"/>
              <w:widowControl w:val="0"/>
              <w:kinsoku/>
              <w:wordWrap/>
              <w:overflowPunct/>
              <w:topLinePunct w:val="0"/>
              <w:autoSpaceDE/>
              <w:autoSpaceDN/>
              <w:bidi w:val="0"/>
              <w:adjustRightInd/>
              <w:snapToGrid/>
              <w:spacing w:line="300" w:lineRule="exact"/>
              <w:ind w:left="3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禹春辉</w:t>
            </w:r>
          </w:p>
        </w:tc>
      </w:tr>
      <w:tr w14:paraId="4688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0" w:type="dxa"/>
            <w:vMerge w:val="continue"/>
            <w:vAlign w:val="top"/>
          </w:tcPr>
          <w:p w14:paraId="1EF84523">
            <w:pPr>
              <w:rPr>
                <w:rFonts w:ascii="Arial"/>
                <w:color w:val="000000" w:themeColor="text1"/>
                <w:sz w:val="24"/>
                <w:szCs w:val="24"/>
                <w14:textFill>
                  <w14:solidFill>
                    <w14:schemeClr w14:val="tx1"/>
                  </w14:solidFill>
                </w14:textFill>
              </w:rPr>
            </w:pPr>
          </w:p>
        </w:tc>
        <w:tc>
          <w:tcPr>
            <w:tcW w:w="555" w:type="dxa"/>
            <w:vMerge w:val="continue"/>
            <w:vAlign w:val="top"/>
          </w:tcPr>
          <w:p w14:paraId="11CF71D0">
            <w:pPr>
              <w:rPr>
                <w:rFonts w:ascii="Arial"/>
                <w:color w:val="000000" w:themeColor="text1"/>
                <w:sz w:val="24"/>
                <w:szCs w:val="24"/>
                <w14:textFill>
                  <w14:solidFill>
                    <w14:schemeClr w14:val="tx1"/>
                  </w14:solidFill>
                </w14:textFill>
              </w:rPr>
            </w:pPr>
          </w:p>
        </w:tc>
        <w:tc>
          <w:tcPr>
            <w:tcW w:w="1530" w:type="dxa"/>
            <w:vMerge w:val="continue"/>
            <w:vAlign w:val="top"/>
          </w:tcPr>
          <w:p w14:paraId="71B6E633">
            <w:pPr>
              <w:rPr>
                <w:rFonts w:ascii="Arial"/>
                <w:color w:val="000000" w:themeColor="text1"/>
                <w:sz w:val="24"/>
                <w:szCs w:val="24"/>
                <w14:textFill>
                  <w14:solidFill>
                    <w14:schemeClr w14:val="tx1"/>
                  </w14:solidFill>
                </w14:textFill>
              </w:rPr>
            </w:pPr>
          </w:p>
        </w:tc>
        <w:tc>
          <w:tcPr>
            <w:tcW w:w="6810" w:type="dxa"/>
            <w:vAlign w:val="center"/>
          </w:tcPr>
          <w:p w14:paraId="1D08382F">
            <w:pPr>
              <w:keepNext w:val="0"/>
              <w:keepLines w:val="0"/>
              <w:pageBreakBefore w:val="0"/>
              <w:widowControl w:val="0"/>
              <w:kinsoku/>
              <w:wordWrap/>
              <w:overflowPunct/>
              <w:topLinePunct w:val="0"/>
              <w:autoSpaceDE/>
              <w:autoSpaceDN/>
              <w:bidi w:val="0"/>
              <w:adjustRightInd/>
              <w:snapToGrid/>
              <w:spacing w:line="300" w:lineRule="exact"/>
              <w:ind w:left="91"/>
              <w:jc w:val="both"/>
              <w:textAlignment w:val="auto"/>
              <w:rPr>
                <w:rFonts w:ascii="宋体" w:hAnsi="宋体" w:eastAsia="宋体" w:cs="宋体"/>
                <w:color w:val="000000" w:themeColor="text1"/>
                <w:spacing w:val="6"/>
                <w:sz w:val="24"/>
                <w:szCs w:val="24"/>
                <w:lang w:val="en-US" w:eastAsia="zh-CN"/>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完成</w:t>
            </w:r>
            <w:r>
              <w:rPr>
                <w:rFonts w:hint="eastAsia" w:ascii="宋体" w:hAnsi="宋体" w:eastAsia="宋体" w:cs="宋体"/>
                <w:color w:val="000000" w:themeColor="text1"/>
                <w:spacing w:val="6"/>
                <w:sz w:val="24"/>
                <w:szCs w:val="24"/>
                <w:lang w:val="en-US" w:eastAsia="zh-CN"/>
                <w14:textFill>
                  <w14:solidFill>
                    <w14:schemeClr w14:val="tx1"/>
                  </w14:solidFill>
                </w14:textFill>
              </w:rPr>
              <w:t>36个</w:t>
            </w:r>
            <w:r>
              <w:rPr>
                <w:rFonts w:ascii="宋体" w:hAnsi="宋体" w:eastAsia="宋体" w:cs="宋体"/>
                <w:color w:val="000000" w:themeColor="text1"/>
                <w:spacing w:val="6"/>
                <w:sz w:val="24"/>
                <w:szCs w:val="24"/>
                <w14:textFill>
                  <w14:solidFill>
                    <w14:schemeClr w14:val="tx1"/>
                  </w14:solidFill>
                </w14:textFill>
              </w:rPr>
              <w:t>农村千人以上集中饮用水水源地突出环境问题整治</w:t>
            </w:r>
          </w:p>
        </w:tc>
        <w:tc>
          <w:tcPr>
            <w:tcW w:w="2891" w:type="dxa"/>
            <w:vAlign w:val="center"/>
          </w:tcPr>
          <w:p w14:paraId="2863FF91">
            <w:pPr>
              <w:keepNext w:val="0"/>
              <w:keepLines w:val="0"/>
              <w:pageBreakBefore w:val="0"/>
              <w:widowControl w:val="0"/>
              <w:kinsoku/>
              <w:wordWrap/>
              <w:overflowPunct/>
              <w:topLinePunct w:val="0"/>
              <w:autoSpaceDE/>
              <w:autoSpaceDN/>
              <w:bidi w:val="0"/>
              <w:adjustRightInd/>
              <w:snapToGrid/>
              <w:spacing w:line="300" w:lineRule="exact"/>
              <w:ind w:right="113"/>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市生态环境局绥宁分局牵头，相关乡镇负责</w:t>
            </w:r>
          </w:p>
        </w:tc>
        <w:tc>
          <w:tcPr>
            <w:tcW w:w="1300" w:type="dxa"/>
            <w:vAlign w:val="center"/>
          </w:tcPr>
          <w:p w14:paraId="3C743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袁惠雄</w:t>
            </w:r>
          </w:p>
          <w:p w14:paraId="4FAE15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48" w:type="dxa"/>
            <w:vAlign w:val="center"/>
          </w:tcPr>
          <w:p w14:paraId="084A42AF">
            <w:pPr>
              <w:keepNext w:val="0"/>
              <w:keepLines w:val="0"/>
              <w:pageBreakBefore w:val="0"/>
              <w:widowControl w:val="0"/>
              <w:kinsoku/>
              <w:wordWrap/>
              <w:overflowPunct/>
              <w:topLinePunct w:val="0"/>
              <w:autoSpaceDE/>
              <w:autoSpaceDN/>
              <w:bidi w:val="0"/>
              <w:adjustRightInd/>
              <w:snapToGrid/>
              <w:spacing w:line="219" w:lineRule="auto"/>
              <w:ind w:left="299"/>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杨昌盛</w:t>
            </w:r>
          </w:p>
        </w:tc>
      </w:tr>
    </w:tbl>
    <w:p w14:paraId="2D5FAF85">
      <w:pPr>
        <w:rPr>
          <w:color w:val="000000" w:themeColor="text1"/>
          <w14:textFill>
            <w14:solidFill>
              <w14:schemeClr w14:val="tx1"/>
            </w14:solidFill>
          </w14:textFill>
        </w:rPr>
      </w:pPr>
    </w:p>
    <w:p w14:paraId="6CBCF72F">
      <w:pPr>
        <w:spacing w:line="57" w:lineRule="exact"/>
        <w:rPr>
          <w:color w:val="000000" w:themeColor="text1"/>
          <w14:textFill>
            <w14:solidFill>
              <w14:schemeClr w14:val="tx1"/>
            </w14:solidFill>
          </w14:textFill>
        </w:rPr>
      </w:pPr>
    </w:p>
    <w:tbl>
      <w:tblPr>
        <w:tblStyle w:val="17"/>
        <w:tblW w:w="14805" w:type="dxa"/>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555"/>
        <w:gridCol w:w="8355"/>
        <w:gridCol w:w="2880"/>
        <w:gridCol w:w="1290"/>
        <w:gridCol w:w="1260"/>
      </w:tblGrid>
      <w:tr w14:paraId="2DE9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65" w:type="dxa"/>
            <w:vAlign w:val="center"/>
          </w:tcPr>
          <w:p w14:paraId="12B5BD19">
            <w:pPr>
              <w:keepNext w:val="0"/>
              <w:keepLines w:val="0"/>
              <w:pageBreakBefore w:val="0"/>
              <w:widowControl w:val="0"/>
              <w:kinsoku/>
              <w:wordWrap/>
              <w:overflowPunct/>
              <w:topLinePunct w:val="0"/>
              <w:autoSpaceDE/>
              <w:autoSpaceDN/>
              <w:bidi w:val="0"/>
              <w:adjustRightInd/>
              <w:snapToGrid/>
              <w:spacing w:line="221" w:lineRule="auto"/>
              <w:ind w:left="164"/>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2"/>
                <w:sz w:val="24"/>
                <w:szCs w:val="24"/>
                <w14:textFill>
                  <w14:solidFill>
                    <w14:schemeClr w14:val="tx1"/>
                  </w14:solidFill>
                </w14:textFill>
              </w:rPr>
              <w:t>序号</w:t>
            </w:r>
          </w:p>
        </w:tc>
        <w:tc>
          <w:tcPr>
            <w:tcW w:w="8910" w:type="dxa"/>
            <w:gridSpan w:val="2"/>
            <w:vAlign w:val="center"/>
          </w:tcPr>
          <w:p w14:paraId="5D7F9885">
            <w:pPr>
              <w:keepNext w:val="0"/>
              <w:keepLines w:val="0"/>
              <w:pageBreakBefore w:val="0"/>
              <w:widowControl w:val="0"/>
              <w:kinsoku/>
              <w:wordWrap/>
              <w:overflowPunct/>
              <w:topLinePunct w:val="0"/>
              <w:autoSpaceDE/>
              <w:autoSpaceDN/>
              <w:bidi w:val="0"/>
              <w:adjustRightInd/>
              <w:snapToGrid/>
              <w:spacing w:line="219" w:lineRule="auto"/>
              <w:ind w:left="3182"/>
              <w:jc w:val="both"/>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4"/>
                <w:sz w:val="24"/>
                <w:szCs w:val="24"/>
                <w14:textFill>
                  <w14:solidFill>
                    <w14:schemeClr w14:val="tx1"/>
                  </w14:solidFill>
                </w14:textFill>
              </w:rPr>
              <w:t>重点工作任务</w:t>
            </w:r>
          </w:p>
        </w:tc>
        <w:tc>
          <w:tcPr>
            <w:tcW w:w="2880" w:type="dxa"/>
            <w:vAlign w:val="center"/>
          </w:tcPr>
          <w:p w14:paraId="2D6911BF">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1"/>
                <w:sz w:val="24"/>
                <w:szCs w:val="24"/>
                <w14:textFill>
                  <w14:solidFill>
                    <w14:schemeClr w14:val="tx1"/>
                  </w14:solidFill>
                </w14:textFill>
              </w:rPr>
              <w:t>主要责任单位</w:t>
            </w:r>
          </w:p>
        </w:tc>
        <w:tc>
          <w:tcPr>
            <w:tcW w:w="1290" w:type="dxa"/>
            <w:vAlign w:val="center"/>
          </w:tcPr>
          <w:p w14:paraId="4651460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6"/>
                <w:sz w:val="24"/>
                <w:szCs w:val="24"/>
                <w14:textFill>
                  <w14:solidFill>
                    <w14:schemeClr w14:val="tx1"/>
                  </w14:solidFill>
                </w14:textFill>
              </w:rPr>
              <w:t>责任人</w:t>
            </w:r>
          </w:p>
        </w:tc>
        <w:tc>
          <w:tcPr>
            <w:tcW w:w="1260" w:type="dxa"/>
            <w:vAlign w:val="top"/>
          </w:tcPr>
          <w:p w14:paraId="265D1AE0">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县级责</w:t>
            </w:r>
          </w:p>
          <w:p w14:paraId="55371733">
            <w:pPr>
              <w:keepNext w:val="0"/>
              <w:keepLines w:val="0"/>
              <w:pageBreakBefore w:val="0"/>
              <w:widowControl w:val="0"/>
              <w:kinsoku/>
              <w:wordWrap/>
              <w:overflowPunct/>
              <w:topLinePunct w:val="0"/>
              <w:autoSpaceDE/>
              <w:autoSpaceDN/>
              <w:bidi w:val="0"/>
              <w:adjustRightInd/>
              <w:snapToGrid/>
              <w:spacing w:line="240" w:lineRule="exact"/>
              <w:ind w:right="227"/>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  任领导</w:t>
            </w:r>
          </w:p>
        </w:tc>
      </w:tr>
      <w:tr w14:paraId="01AB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5" w:type="dxa"/>
            <w:vMerge w:val="restart"/>
            <w:vAlign w:val="center"/>
          </w:tcPr>
          <w:p w14:paraId="4806AFBD">
            <w:pPr>
              <w:spacing w:before="65" w:line="183" w:lineRule="auto"/>
              <w:ind w:left="164"/>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p>
        </w:tc>
        <w:tc>
          <w:tcPr>
            <w:tcW w:w="555" w:type="dxa"/>
            <w:vMerge w:val="restart"/>
            <w:vAlign w:val="center"/>
          </w:tcPr>
          <w:p w14:paraId="3A4120AA">
            <w:pPr>
              <w:keepNext w:val="0"/>
              <w:keepLines w:val="0"/>
              <w:pageBreakBefore w:val="0"/>
              <w:widowControl w:val="0"/>
              <w:kinsoku/>
              <w:wordWrap/>
              <w:overflowPunct/>
              <w:topLinePunct w:val="0"/>
              <w:autoSpaceDE/>
              <w:autoSpaceDN/>
              <w:bidi w:val="0"/>
              <w:adjustRightInd/>
              <w:snapToGrid/>
              <w:spacing w:line="300" w:lineRule="exact"/>
              <w:ind w:left="142" w:right="136"/>
              <w:jc w:val="center"/>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市定民</w:t>
            </w:r>
            <w:r>
              <w:rPr>
                <w:rFonts w:ascii="宋体" w:hAnsi="宋体" w:eastAsia="宋体" w:cs="宋体"/>
                <w:color w:val="000000" w:themeColor="text1"/>
                <w:spacing w:val="-3"/>
                <w:sz w:val="24"/>
                <w:szCs w:val="24"/>
                <w14:textFill>
                  <w14:solidFill>
                    <w14:schemeClr w14:val="tx1"/>
                  </w14:solidFill>
                </w14:textFill>
              </w:rPr>
              <w:t>生实事</w:t>
            </w:r>
          </w:p>
        </w:tc>
        <w:tc>
          <w:tcPr>
            <w:tcW w:w="8355" w:type="dxa"/>
            <w:vAlign w:val="center"/>
          </w:tcPr>
          <w:p w14:paraId="4D69AF3F">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1.建设乡镇标准化寄宿制学校</w:t>
            </w:r>
            <w:r>
              <w:rPr>
                <w:rFonts w:hint="eastAsia" w:ascii="宋体" w:hAnsi="宋体" w:eastAsia="宋体" w:cs="宋体"/>
                <w:color w:val="000000" w:themeColor="text1"/>
                <w:spacing w:val="5"/>
                <w:sz w:val="24"/>
                <w:szCs w:val="24"/>
                <w:lang w:val="en-US" w:eastAsia="zh-CN"/>
                <w14:textFill>
                  <w14:solidFill>
                    <w14:schemeClr w14:val="tx1"/>
                  </w14:solidFill>
                </w14:textFill>
              </w:rPr>
              <w:t>4</w:t>
            </w:r>
            <w:r>
              <w:rPr>
                <w:rFonts w:ascii="宋体" w:hAnsi="宋体" w:eastAsia="宋体" w:cs="宋体"/>
                <w:color w:val="000000" w:themeColor="text1"/>
                <w:spacing w:val="5"/>
                <w:sz w:val="24"/>
                <w:szCs w:val="24"/>
                <w14:textFill>
                  <w14:solidFill>
                    <w14:schemeClr w14:val="tx1"/>
                  </w14:solidFill>
                </w14:textFill>
              </w:rPr>
              <w:t>所</w:t>
            </w:r>
            <w:r>
              <w:rPr>
                <w:rFonts w:hint="eastAsia" w:ascii="宋体" w:hAnsi="宋体" w:eastAsia="宋体" w:cs="宋体"/>
                <w:color w:val="000000" w:themeColor="text1"/>
                <w:spacing w:val="5"/>
                <w:sz w:val="24"/>
                <w:szCs w:val="24"/>
                <w:lang w:eastAsia="zh-CN"/>
                <w14:textFill>
                  <w14:solidFill>
                    <w14:schemeClr w14:val="tx1"/>
                  </w14:solidFill>
                </w14:textFill>
              </w:rPr>
              <w:t>。</w:t>
            </w:r>
          </w:p>
        </w:tc>
        <w:tc>
          <w:tcPr>
            <w:tcW w:w="2880" w:type="dxa"/>
            <w:vAlign w:val="center"/>
          </w:tcPr>
          <w:p w14:paraId="220B68DB">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县教育局</w:t>
            </w:r>
          </w:p>
        </w:tc>
        <w:tc>
          <w:tcPr>
            <w:tcW w:w="1290" w:type="dxa"/>
            <w:vAlign w:val="center"/>
          </w:tcPr>
          <w:p w14:paraId="07ACAC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龙景星</w:t>
            </w:r>
          </w:p>
        </w:tc>
        <w:tc>
          <w:tcPr>
            <w:tcW w:w="1260" w:type="dxa"/>
            <w:vAlign w:val="center"/>
          </w:tcPr>
          <w:p w14:paraId="5D2BB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周元彪</w:t>
            </w:r>
          </w:p>
        </w:tc>
      </w:tr>
      <w:tr w14:paraId="720E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65" w:type="dxa"/>
            <w:vMerge w:val="continue"/>
            <w:vAlign w:val="center"/>
          </w:tcPr>
          <w:p w14:paraId="08CAA008">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0E490933">
            <w:pPr>
              <w:jc w:val="center"/>
              <w:rPr>
                <w:rFonts w:ascii="Arial"/>
                <w:color w:val="000000" w:themeColor="text1"/>
                <w:sz w:val="24"/>
                <w:szCs w:val="24"/>
                <w14:textFill>
                  <w14:solidFill>
                    <w14:schemeClr w14:val="tx1"/>
                  </w14:solidFill>
                </w14:textFill>
              </w:rPr>
            </w:pPr>
          </w:p>
        </w:tc>
        <w:tc>
          <w:tcPr>
            <w:tcW w:w="8355" w:type="dxa"/>
            <w:vAlign w:val="center"/>
          </w:tcPr>
          <w:p w14:paraId="0C8EF6F6">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2.新增养老机构护理型床位</w:t>
            </w:r>
            <w:r>
              <w:rPr>
                <w:rFonts w:hint="eastAsia" w:ascii="宋体" w:hAnsi="宋体" w:eastAsia="宋体" w:cs="宋体"/>
                <w:color w:val="000000" w:themeColor="text1"/>
                <w:spacing w:val="5"/>
                <w:sz w:val="24"/>
                <w:szCs w:val="24"/>
                <w:lang w:val="en-US" w:eastAsia="zh-CN"/>
                <w14:textFill>
                  <w14:solidFill>
                    <w14:schemeClr w14:val="tx1"/>
                  </w14:solidFill>
                </w14:textFill>
              </w:rPr>
              <w:t>150户</w:t>
            </w:r>
          </w:p>
        </w:tc>
        <w:tc>
          <w:tcPr>
            <w:tcW w:w="2880" w:type="dxa"/>
            <w:vAlign w:val="center"/>
          </w:tcPr>
          <w:p w14:paraId="274C4D7D">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县民政局</w:t>
            </w:r>
          </w:p>
        </w:tc>
        <w:tc>
          <w:tcPr>
            <w:tcW w:w="1290" w:type="dxa"/>
            <w:vAlign w:val="center"/>
          </w:tcPr>
          <w:p w14:paraId="5E7D36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吴</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娟</w:t>
            </w:r>
          </w:p>
        </w:tc>
        <w:tc>
          <w:tcPr>
            <w:tcW w:w="1260" w:type="dxa"/>
            <w:vAlign w:val="center"/>
          </w:tcPr>
          <w:p w14:paraId="7AF232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黄文勇</w:t>
            </w:r>
          </w:p>
        </w:tc>
      </w:tr>
      <w:tr w14:paraId="293E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65" w:type="dxa"/>
            <w:vMerge w:val="continue"/>
            <w:vAlign w:val="center"/>
          </w:tcPr>
          <w:p w14:paraId="258E7D99">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1D51273C">
            <w:pPr>
              <w:jc w:val="center"/>
              <w:rPr>
                <w:rFonts w:ascii="Arial"/>
                <w:color w:val="000000" w:themeColor="text1"/>
                <w:sz w:val="24"/>
                <w:szCs w:val="24"/>
                <w14:textFill>
                  <w14:solidFill>
                    <w14:schemeClr w14:val="tx1"/>
                  </w14:solidFill>
                </w14:textFill>
              </w:rPr>
            </w:pPr>
          </w:p>
        </w:tc>
        <w:tc>
          <w:tcPr>
            <w:tcW w:w="8355" w:type="dxa"/>
            <w:vAlign w:val="center"/>
          </w:tcPr>
          <w:p w14:paraId="56617B8B">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3</w:t>
            </w:r>
            <w:r>
              <w:rPr>
                <w:rFonts w:ascii="宋体" w:hAnsi="宋体" w:eastAsia="宋体" w:cs="宋体"/>
                <w:color w:val="000000" w:themeColor="text1"/>
                <w:spacing w:val="0"/>
                <w:sz w:val="24"/>
                <w:szCs w:val="24"/>
                <w14:textFill>
                  <w14:solidFill>
                    <w14:schemeClr w14:val="tx1"/>
                  </w14:solidFill>
                </w14:textFill>
              </w:rPr>
              <w:t>.完成残疾儿童康复救助</w:t>
            </w:r>
            <w:r>
              <w:rPr>
                <w:rFonts w:hint="eastAsia" w:ascii="宋体" w:hAnsi="宋体" w:eastAsia="宋体" w:cs="宋体"/>
                <w:color w:val="000000" w:themeColor="text1"/>
                <w:spacing w:val="0"/>
                <w:sz w:val="24"/>
                <w:szCs w:val="24"/>
                <w:lang w:val="en-US" w:eastAsia="zh-CN"/>
                <w14:textFill>
                  <w14:solidFill>
                    <w14:schemeClr w14:val="tx1"/>
                  </w14:solidFill>
                </w14:textFill>
              </w:rPr>
              <w:t>54</w:t>
            </w:r>
            <w:r>
              <w:rPr>
                <w:rFonts w:ascii="宋体" w:hAnsi="宋体" w:eastAsia="宋体" w:cs="宋体"/>
                <w:color w:val="000000" w:themeColor="text1"/>
                <w:spacing w:val="0"/>
                <w:sz w:val="24"/>
                <w:szCs w:val="24"/>
                <w14:textFill>
                  <w14:solidFill>
                    <w14:schemeClr w14:val="tx1"/>
                  </w14:solidFill>
                </w14:textFill>
              </w:rPr>
              <w:t>人，完成困难残疾人家庭无障碍改造100户</w:t>
            </w:r>
          </w:p>
        </w:tc>
        <w:tc>
          <w:tcPr>
            <w:tcW w:w="2880" w:type="dxa"/>
            <w:vAlign w:val="center"/>
          </w:tcPr>
          <w:p w14:paraId="2DC25D63">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县残联牵头，相关乡镇负责</w:t>
            </w:r>
          </w:p>
        </w:tc>
        <w:tc>
          <w:tcPr>
            <w:tcW w:w="1290" w:type="dxa"/>
            <w:vAlign w:val="center"/>
          </w:tcPr>
          <w:p w14:paraId="477D5D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沈乾明</w:t>
            </w:r>
          </w:p>
          <w:p w14:paraId="4F75D3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60" w:type="dxa"/>
            <w:vAlign w:val="center"/>
          </w:tcPr>
          <w:p w14:paraId="384C21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梁恩雄</w:t>
            </w:r>
          </w:p>
        </w:tc>
      </w:tr>
      <w:tr w14:paraId="46788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465" w:type="dxa"/>
            <w:vMerge w:val="continue"/>
            <w:vAlign w:val="center"/>
          </w:tcPr>
          <w:p w14:paraId="6D769047">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45013F13">
            <w:pPr>
              <w:jc w:val="center"/>
              <w:rPr>
                <w:rFonts w:ascii="Arial"/>
                <w:color w:val="000000" w:themeColor="text1"/>
                <w:sz w:val="24"/>
                <w:szCs w:val="24"/>
                <w14:textFill>
                  <w14:solidFill>
                    <w14:schemeClr w14:val="tx1"/>
                  </w14:solidFill>
                </w14:textFill>
              </w:rPr>
            </w:pPr>
          </w:p>
        </w:tc>
        <w:tc>
          <w:tcPr>
            <w:tcW w:w="8355" w:type="dxa"/>
            <w:vAlign w:val="center"/>
          </w:tcPr>
          <w:p w14:paraId="0171AFFE">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4.启动城镇老旧小区改造项目</w:t>
            </w:r>
            <w:r>
              <w:rPr>
                <w:rFonts w:hint="eastAsia" w:ascii="宋体" w:hAnsi="宋体" w:eastAsia="宋体" w:cs="宋体"/>
                <w:color w:val="000000" w:themeColor="text1"/>
                <w:spacing w:val="5"/>
                <w:sz w:val="24"/>
                <w:szCs w:val="24"/>
                <w:lang w:val="en-US" w:eastAsia="zh-CN"/>
                <w14:textFill>
                  <w14:solidFill>
                    <w14:schemeClr w14:val="tx1"/>
                  </w14:solidFill>
                </w14:textFill>
              </w:rPr>
              <w:t>10</w:t>
            </w:r>
            <w:r>
              <w:rPr>
                <w:rFonts w:ascii="宋体" w:hAnsi="宋体" w:eastAsia="宋体" w:cs="宋体"/>
                <w:color w:val="000000" w:themeColor="text1"/>
                <w:spacing w:val="5"/>
                <w:sz w:val="24"/>
                <w:szCs w:val="24"/>
                <w14:textFill>
                  <w14:solidFill>
                    <w14:schemeClr w14:val="tx1"/>
                  </w14:solidFill>
                </w14:textFill>
              </w:rPr>
              <w:t>个</w:t>
            </w:r>
          </w:p>
        </w:tc>
        <w:tc>
          <w:tcPr>
            <w:tcW w:w="2880" w:type="dxa"/>
            <w:vMerge w:val="restart"/>
            <w:tcBorders>
              <w:bottom w:val="nil"/>
            </w:tcBorders>
            <w:vAlign w:val="center"/>
          </w:tcPr>
          <w:p w14:paraId="3DD6EE86">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县住房和城乡建设局牵头，县发展和改革局、县自然资源局、县财政局、相关乡镇负责</w:t>
            </w:r>
          </w:p>
        </w:tc>
        <w:tc>
          <w:tcPr>
            <w:tcW w:w="1290" w:type="dxa"/>
            <w:vMerge w:val="restart"/>
            <w:tcBorders>
              <w:bottom w:val="nil"/>
            </w:tcBorders>
            <w:vAlign w:val="center"/>
          </w:tcPr>
          <w:p w14:paraId="5D2774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黄始伟</w:t>
            </w:r>
          </w:p>
          <w:p w14:paraId="0BBED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唐友柏</w:t>
            </w:r>
          </w:p>
          <w:p w14:paraId="61E5D1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丁再荣</w:t>
            </w:r>
          </w:p>
          <w:p w14:paraId="1FAE1B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罗</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兴</w:t>
            </w:r>
          </w:p>
          <w:p w14:paraId="60C14C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相关乡镇长</w:t>
            </w:r>
          </w:p>
        </w:tc>
        <w:tc>
          <w:tcPr>
            <w:tcW w:w="1260" w:type="dxa"/>
            <w:vMerge w:val="restart"/>
            <w:tcBorders>
              <w:bottom w:val="nil"/>
            </w:tcBorders>
            <w:vAlign w:val="center"/>
          </w:tcPr>
          <w:p w14:paraId="445387BD">
            <w:pPr>
              <w:keepNext w:val="0"/>
              <w:keepLines w:val="0"/>
              <w:pageBreakBefore w:val="0"/>
              <w:widowControl w:val="0"/>
              <w:kinsoku/>
              <w:wordWrap/>
              <w:overflowPunct/>
              <w:topLinePunct w:val="0"/>
              <w:autoSpaceDE/>
              <w:autoSpaceDN/>
              <w:bidi w:val="0"/>
              <w:adjustRightInd/>
              <w:snapToGrid/>
              <w:spacing w:line="320" w:lineRule="exact"/>
              <w:ind w:left="308"/>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陵建华</w:t>
            </w:r>
          </w:p>
          <w:p w14:paraId="04F12F21">
            <w:pPr>
              <w:keepNext w:val="0"/>
              <w:keepLines w:val="0"/>
              <w:pageBreakBefore w:val="0"/>
              <w:widowControl w:val="0"/>
              <w:kinsoku/>
              <w:wordWrap/>
              <w:overflowPunct/>
              <w:topLinePunct w:val="0"/>
              <w:autoSpaceDE/>
              <w:autoSpaceDN/>
              <w:bidi w:val="0"/>
              <w:adjustRightInd/>
              <w:snapToGrid/>
              <w:spacing w:line="320" w:lineRule="exact"/>
              <w:ind w:left="308"/>
              <w:jc w:val="both"/>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杨昌盛</w:t>
            </w:r>
          </w:p>
        </w:tc>
      </w:tr>
      <w:tr w14:paraId="6305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65" w:type="dxa"/>
            <w:vMerge w:val="continue"/>
            <w:vAlign w:val="center"/>
          </w:tcPr>
          <w:p w14:paraId="13FCE690">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39A0BD8D">
            <w:pPr>
              <w:jc w:val="center"/>
              <w:rPr>
                <w:rFonts w:ascii="Arial"/>
                <w:color w:val="000000" w:themeColor="text1"/>
                <w:sz w:val="24"/>
                <w:szCs w:val="24"/>
                <w14:textFill>
                  <w14:solidFill>
                    <w14:schemeClr w14:val="tx1"/>
                  </w14:solidFill>
                </w14:textFill>
              </w:rPr>
            </w:pPr>
          </w:p>
        </w:tc>
        <w:tc>
          <w:tcPr>
            <w:tcW w:w="8355" w:type="dxa"/>
            <w:vAlign w:val="center"/>
          </w:tcPr>
          <w:p w14:paraId="7323B99B">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5.完成农村危房改造</w:t>
            </w:r>
            <w:r>
              <w:rPr>
                <w:rFonts w:hint="eastAsia" w:ascii="宋体" w:hAnsi="宋体" w:eastAsia="宋体" w:cs="宋体"/>
                <w:color w:val="000000" w:themeColor="text1"/>
                <w:spacing w:val="5"/>
                <w:sz w:val="24"/>
                <w:szCs w:val="24"/>
                <w:lang w:val="en-US" w:eastAsia="zh-CN"/>
                <w14:textFill>
                  <w14:solidFill>
                    <w14:schemeClr w14:val="tx1"/>
                  </w14:solidFill>
                </w14:textFill>
              </w:rPr>
              <w:t>56</w:t>
            </w:r>
            <w:r>
              <w:rPr>
                <w:rFonts w:ascii="宋体" w:hAnsi="宋体" w:eastAsia="宋体" w:cs="宋体"/>
                <w:color w:val="000000" w:themeColor="text1"/>
                <w:spacing w:val="5"/>
                <w:sz w:val="24"/>
                <w:szCs w:val="24"/>
                <w14:textFill>
                  <w14:solidFill>
                    <w14:schemeClr w14:val="tx1"/>
                  </w14:solidFill>
                </w14:textFill>
              </w:rPr>
              <w:t>户</w:t>
            </w:r>
          </w:p>
        </w:tc>
        <w:tc>
          <w:tcPr>
            <w:tcW w:w="2880" w:type="dxa"/>
            <w:vMerge w:val="continue"/>
            <w:tcBorders>
              <w:top w:val="nil"/>
              <w:bottom w:val="nil"/>
            </w:tcBorders>
            <w:vAlign w:val="center"/>
          </w:tcPr>
          <w:p w14:paraId="41A21E33">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290" w:type="dxa"/>
            <w:vMerge w:val="continue"/>
            <w:tcBorders>
              <w:top w:val="nil"/>
              <w:bottom w:val="nil"/>
            </w:tcBorders>
            <w:vAlign w:val="center"/>
          </w:tcPr>
          <w:p w14:paraId="5D138E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c>
          <w:tcPr>
            <w:tcW w:w="1260" w:type="dxa"/>
            <w:vMerge w:val="continue"/>
            <w:tcBorders>
              <w:top w:val="nil"/>
              <w:bottom w:val="nil"/>
            </w:tcBorders>
            <w:vAlign w:val="center"/>
          </w:tcPr>
          <w:p w14:paraId="6419F3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r>
      <w:tr w14:paraId="714A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65" w:type="dxa"/>
            <w:vMerge w:val="continue"/>
            <w:vAlign w:val="center"/>
          </w:tcPr>
          <w:p w14:paraId="0F656254">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59EDA840">
            <w:pPr>
              <w:jc w:val="center"/>
              <w:rPr>
                <w:rFonts w:ascii="Arial"/>
                <w:color w:val="000000" w:themeColor="text1"/>
                <w:sz w:val="24"/>
                <w:szCs w:val="24"/>
                <w14:textFill>
                  <w14:solidFill>
                    <w14:schemeClr w14:val="tx1"/>
                  </w14:solidFill>
                </w14:textFill>
              </w:rPr>
            </w:pPr>
          </w:p>
        </w:tc>
        <w:tc>
          <w:tcPr>
            <w:tcW w:w="8355" w:type="dxa"/>
            <w:vAlign w:val="center"/>
          </w:tcPr>
          <w:p w14:paraId="3FED561F">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6.开工保障性住房</w:t>
            </w:r>
            <w:r>
              <w:rPr>
                <w:rFonts w:hint="eastAsia" w:ascii="宋体" w:hAnsi="宋体" w:eastAsia="宋体" w:cs="宋体"/>
                <w:color w:val="000000" w:themeColor="text1"/>
                <w:spacing w:val="5"/>
                <w:sz w:val="24"/>
                <w:szCs w:val="24"/>
                <w:lang w:eastAsia="zh-CN"/>
                <w14:textFill>
                  <w14:solidFill>
                    <w14:schemeClr w14:val="tx1"/>
                  </w14:solidFill>
                </w14:textFill>
              </w:rPr>
              <w:t>建设</w:t>
            </w:r>
            <w:r>
              <w:rPr>
                <w:rFonts w:ascii="宋体" w:hAnsi="宋体" w:eastAsia="宋体" w:cs="宋体"/>
                <w:color w:val="000000" w:themeColor="text1"/>
                <w:spacing w:val="5"/>
                <w:sz w:val="24"/>
                <w:szCs w:val="24"/>
                <w14:textFill>
                  <w14:solidFill>
                    <w14:schemeClr w14:val="tx1"/>
                  </w14:solidFill>
                </w14:textFill>
              </w:rPr>
              <w:t>项目</w:t>
            </w:r>
            <w:r>
              <w:rPr>
                <w:rFonts w:hint="eastAsia" w:ascii="宋体" w:hAnsi="宋体" w:eastAsia="宋体" w:cs="宋体"/>
                <w:color w:val="000000" w:themeColor="text1"/>
                <w:spacing w:val="5"/>
                <w:sz w:val="24"/>
                <w:szCs w:val="24"/>
                <w:lang w:eastAsia="zh-CN"/>
                <w14:textFill>
                  <w14:solidFill>
                    <w14:schemeClr w14:val="tx1"/>
                  </w14:solidFill>
                </w14:textFill>
              </w:rPr>
              <w:t>，发放保障性租赁补贴</w:t>
            </w:r>
            <w:r>
              <w:rPr>
                <w:rFonts w:hint="eastAsia" w:ascii="宋体" w:hAnsi="宋体" w:eastAsia="宋体" w:cs="宋体"/>
                <w:color w:val="000000" w:themeColor="text1"/>
                <w:spacing w:val="5"/>
                <w:sz w:val="24"/>
                <w:szCs w:val="24"/>
                <w:lang w:val="en-US" w:eastAsia="zh-CN"/>
                <w14:textFill>
                  <w14:solidFill>
                    <w14:schemeClr w14:val="tx1"/>
                  </w14:solidFill>
                </w14:textFill>
              </w:rPr>
              <w:t>400户</w:t>
            </w:r>
          </w:p>
        </w:tc>
        <w:tc>
          <w:tcPr>
            <w:tcW w:w="2880" w:type="dxa"/>
            <w:vMerge w:val="continue"/>
            <w:tcBorders>
              <w:top w:val="nil"/>
              <w:bottom w:val="nil"/>
            </w:tcBorders>
            <w:vAlign w:val="center"/>
          </w:tcPr>
          <w:p w14:paraId="6FBD3DDC">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290" w:type="dxa"/>
            <w:vMerge w:val="continue"/>
            <w:tcBorders>
              <w:top w:val="nil"/>
              <w:bottom w:val="nil"/>
            </w:tcBorders>
            <w:vAlign w:val="center"/>
          </w:tcPr>
          <w:p w14:paraId="0E0A69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c>
          <w:tcPr>
            <w:tcW w:w="1260" w:type="dxa"/>
            <w:vMerge w:val="continue"/>
            <w:tcBorders>
              <w:top w:val="nil"/>
              <w:bottom w:val="nil"/>
            </w:tcBorders>
            <w:vAlign w:val="center"/>
          </w:tcPr>
          <w:p w14:paraId="6791AF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r>
      <w:tr w14:paraId="3D9C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65" w:type="dxa"/>
            <w:vMerge w:val="continue"/>
            <w:vAlign w:val="center"/>
          </w:tcPr>
          <w:p w14:paraId="40CCB75C">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5A87442A">
            <w:pPr>
              <w:jc w:val="center"/>
              <w:rPr>
                <w:rFonts w:ascii="Arial"/>
                <w:color w:val="000000" w:themeColor="text1"/>
                <w:sz w:val="24"/>
                <w:szCs w:val="24"/>
                <w14:textFill>
                  <w14:solidFill>
                    <w14:schemeClr w14:val="tx1"/>
                  </w14:solidFill>
                </w14:textFill>
              </w:rPr>
            </w:pPr>
          </w:p>
        </w:tc>
        <w:tc>
          <w:tcPr>
            <w:tcW w:w="8355" w:type="dxa"/>
            <w:vAlign w:val="center"/>
          </w:tcPr>
          <w:p w14:paraId="72606BCE">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7.完成城区超期安置交付</w:t>
            </w:r>
            <w:r>
              <w:rPr>
                <w:rFonts w:hint="eastAsia" w:ascii="宋体" w:hAnsi="宋体" w:eastAsia="宋体" w:cs="宋体"/>
                <w:color w:val="000000" w:themeColor="text1"/>
                <w:spacing w:val="5"/>
                <w:sz w:val="24"/>
                <w:szCs w:val="24"/>
                <w:lang w:val="en-US" w:eastAsia="zh-CN"/>
                <w14:textFill>
                  <w14:solidFill>
                    <w14:schemeClr w14:val="tx1"/>
                  </w14:solidFill>
                </w14:textFill>
              </w:rPr>
              <w:t>185套</w:t>
            </w:r>
            <w:r>
              <w:rPr>
                <w:rFonts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5"/>
                <w:sz w:val="24"/>
                <w:szCs w:val="24"/>
                <w:lang w:eastAsia="zh-CN"/>
                <w14:textFill>
                  <w14:solidFill>
                    <w14:schemeClr w14:val="tx1"/>
                  </w14:solidFill>
                </w14:textFill>
              </w:rPr>
              <w:t>删除</w:t>
            </w:r>
            <w:r>
              <w:rPr>
                <w:rFonts w:ascii="宋体" w:hAnsi="宋体" w:eastAsia="宋体" w:cs="宋体"/>
                <w:color w:val="000000" w:themeColor="text1"/>
                <w:spacing w:val="5"/>
                <w:sz w:val="24"/>
                <w:szCs w:val="24"/>
                <w14:textFill>
                  <w14:solidFill>
                    <w14:schemeClr w14:val="tx1"/>
                  </w14:solidFill>
                </w14:textFill>
              </w:rPr>
              <w:t>实现存量清零</w:t>
            </w:r>
          </w:p>
        </w:tc>
        <w:tc>
          <w:tcPr>
            <w:tcW w:w="2880" w:type="dxa"/>
            <w:vMerge w:val="continue"/>
            <w:tcBorders>
              <w:top w:val="nil"/>
            </w:tcBorders>
            <w:vAlign w:val="center"/>
          </w:tcPr>
          <w:p w14:paraId="429F8C85">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290" w:type="dxa"/>
            <w:vMerge w:val="continue"/>
            <w:tcBorders>
              <w:top w:val="nil"/>
            </w:tcBorders>
            <w:vAlign w:val="center"/>
          </w:tcPr>
          <w:p w14:paraId="68F12F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c>
          <w:tcPr>
            <w:tcW w:w="1260" w:type="dxa"/>
            <w:vMerge w:val="continue"/>
            <w:tcBorders>
              <w:top w:val="nil"/>
            </w:tcBorders>
            <w:vAlign w:val="center"/>
          </w:tcPr>
          <w:p w14:paraId="3D73DB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color w:val="000000" w:themeColor="text1"/>
                <w:sz w:val="24"/>
                <w:szCs w:val="24"/>
                <w14:textFill>
                  <w14:solidFill>
                    <w14:schemeClr w14:val="tx1"/>
                  </w14:solidFill>
                </w14:textFill>
              </w:rPr>
            </w:pPr>
          </w:p>
        </w:tc>
      </w:tr>
      <w:tr w14:paraId="4C75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65" w:type="dxa"/>
            <w:vMerge w:val="continue"/>
            <w:vAlign w:val="center"/>
          </w:tcPr>
          <w:p w14:paraId="7C3EDDDF">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5E2403DE">
            <w:pPr>
              <w:jc w:val="center"/>
              <w:rPr>
                <w:rFonts w:ascii="Arial"/>
                <w:color w:val="000000" w:themeColor="text1"/>
                <w:sz w:val="24"/>
                <w:szCs w:val="24"/>
                <w14:textFill>
                  <w14:solidFill>
                    <w14:schemeClr w14:val="tx1"/>
                  </w14:solidFill>
                </w14:textFill>
              </w:rPr>
            </w:pPr>
          </w:p>
        </w:tc>
        <w:tc>
          <w:tcPr>
            <w:tcW w:w="8355" w:type="dxa"/>
            <w:vAlign w:val="center"/>
          </w:tcPr>
          <w:p w14:paraId="15D8CA65">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8.完成污水管网改造</w:t>
            </w:r>
            <w:r>
              <w:rPr>
                <w:rFonts w:hint="eastAsia" w:ascii="宋体" w:hAnsi="宋体" w:eastAsia="宋体" w:cs="宋体"/>
                <w:color w:val="000000" w:themeColor="text1"/>
                <w:spacing w:val="5"/>
                <w:sz w:val="24"/>
                <w:szCs w:val="24"/>
                <w:lang w:val="en-US" w:eastAsia="zh-CN"/>
                <w14:textFill>
                  <w14:solidFill>
                    <w14:schemeClr w14:val="tx1"/>
                  </w14:solidFill>
                </w14:textFill>
              </w:rPr>
              <w:t>4.8</w:t>
            </w:r>
            <w:r>
              <w:rPr>
                <w:rFonts w:ascii="宋体" w:hAnsi="宋体" w:eastAsia="宋体" w:cs="宋体"/>
                <w:color w:val="000000" w:themeColor="text1"/>
                <w:spacing w:val="5"/>
                <w:sz w:val="24"/>
                <w:szCs w:val="24"/>
                <w14:textFill>
                  <w14:solidFill>
                    <w14:schemeClr w14:val="tx1"/>
                  </w14:solidFill>
                </w14:textFill>
              </w:rPr>
              <w:t>公里、新建污水管网</w:t>
            </w:r>
            <w:r>
              <w:rPr>
                <w:rFonts w:hint="eastAsia" w:ascii="宋体" w:hAnsi="宋体" w:eastAsia="宋体" w:cs="宋体"/>
                <w:color w:val="000000" w:themeColor="text1"/>
                <w:spacing w:val="5"/>
                <w:sz w:val="24"/>
                <w:szCs w:val="24"/>
                <w:lang w:val="en-US" w:eastAsia="zh-CN"/>
                <w14:textFill>
                  <w14:solidFill>
                    <w14:schemeClr w14:val="tx1"/>
                  </w14:solidFill>
                </w14:textFill>
              </w:rPr>
              <w:t>0.5</w:t>
            </w:r>
            <w:r>
              <w:rPr>
                <w:rFonts w:ascii="宋体" w:hAnsi="宋体" w:eastAsia="宋体" w:cs="宋体"/>
                <w:color w:val="000000" w:themeColor="text1"/>
                <w:spacing w:val="5"/>
                <w:sz w:val="24"/>
                <w:szCs w:val="24"/>
                <w14:textFill>
                  <w14:solidFill>
                    <w14:schemeClr w14:val="tx1"/>
                  </w14:solidFill>
                </w14:textFill>
              </w:rPr>
              <w:t>公里</w:t>
            </w:r>
          </w:p>
        </w:tc>
        <w:tc>
          <w:tcPr>
            <w:tcW w:w="2880" w:type="dxa"/>
            <w:vAlign w:val="center"/>
          </w:tcPr>
          <w:p w14:paraId="7DA6F3E9">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县住房和城乡建设局</w:t>
            </w:r>
          </w:p>
        </w:tc>
        <w:tc>
          <w:tcPr>
            <w:tcW w:w="1290" w:type="dxa"/>
            <w:vAlign w:val="center"/>
          </w:tcPr>
          <w:p w14:paraId="248F89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黄始伟</w:t>
            </w:r>
          </w:p>
        </w:tc>
        <w:tc>
          <w:tcPr>
            <w:tcW w:w="1260" w:type="dxa"/>
            <w:vAlign w:val="center"/>
          </w:tcPr>
          <w:p w14:paraId="5B1BC1E1">
            <w:pPr>
              <w:keepNext w:val="0"/>
              <w:keepLines w:val="0"/>
              <w:pageBreakBefore w:val="0"/>
              <w:widowControl w:val="0"/>
              <w:kinsoku/>
              <w:wordWrap/>
              <w:overflowPunct/>
              <w:topLinePunct w:val="0"/>
              <w:autoSpaceDE/>
              <w:autoSpaceDN/>
              <w:bidi w:val="0"/>
              <w:adjustRightInd/>
              <w:snapToGrid/>
              <w:spacing w:line="320" w:lineRule="exact"/>
              <w:ind w:left="308"/>
              <w:jc w:val="both"/>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杨昌盛</w:t>
            </w:r>
          </w:p>
        </w:tc>
      </w:tr>
      <w:tr w14:paraId="5168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65" w:type="dxa"/>
            <w:vMerge w:val="continue"/>
            <w:vAlign w:val="center"/>
          </w:tcPr>
          <w:p w14:paraId="54FF2465">
            <w:pPr>
              <w:jc w:val="center"/>
              <w:rPr>
                <w:rFonts w:ascii="Arial"/>
                <w:color w:val="000000" w:themeColor="text1"/>
                <w:sz w:val="24"/>
                <w:szCs w:val="24"/>
                <w14:textFill>
                  <w14:solidFill>
                    <w14:schemeClr w14:val="tx1"/>
                  </w14:solidFill>
                </w14:textFill>
              </w:rPr>
            </w:pPr>
          </w:p>
        </w:tc>
        <w:tc>
          <w:tcPr>
            <w:tcW w:w="555" w:type="dxa"/>
            <w:vMerge w:val="continue"/>
            <w:vAlign w:val="center"/>
          </w:tcPr>
          <w:p w14:paraId="591F015B">
            <w:pPr>
              <w:jc w:val="center"/>
              <w:rPr>
                <w:rFonts w:ascii="Arial"/>
                <w:color w:val="000000" w:themeColor="text1"/>
                <w:sz w:val="24"/>
                <w:szCs w:val="24"/>
                <w14:textFill>
                  <w14:solidFill>
                    <w14:schemeClr w14:val="tx1"/>
                  </w14:solidFill>
                </w14:textFill>
              </w:rPr>
            </w:pPr>
          </w:p>
        </w:tc>
        <w:tc>
          <w:tcPr>
            <w:tcW w:w="8355" w:type="dxa"/>
            <w:vAlign w:val="center"/>
          </w:tcPr>
          <w:p w14:paraId="71CC4E55">
            <w:pPr>
              <w:keepNext w:val="0"/>
              <w:keepLines w:val="0"/>
              <w:pageBreakBefore w:val="0"/>
              <w:widowControl w:val="0"/>
              <w:kinsoku/>
              <w:wordWrap/>
              <w:overflowPunct/>
              <w:topLinePunct w:val="0"/>
              <w:autoSpaceDE/>
              <w:autoSpaceDN/>
              <w:bidi w:val="0"/>
              <w:adjustRightInd/>
              <w:snapToGrid/>
              <w:spacing w:line="320" w:lineRule="exact"/>
              <w:ind w:left="81" w:right="213"/>
              <w:jc w:val="both"/>
              <w:textAlignment w:val="auto"/>
              <w:rPr>
                <w:rFonts w:ascii="宋体" w:hAnsi="宋体" w:eastAsia="宋体" w:cs="宋体"/>
                <w:color w:val="000000" w:themeColor="text1"/>
                <w:spacing w:val="5"/>
                <w:sz w:val="24"/>
                <w:szCs w:val="24"/>
                <w:lang w:val="en-US" w:eastAsia="zh-CN"/>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9.计划</w:t>
            </w:r>
            <w:r>
              <w:rPr>
                <w:rFonts w:hint="eastAsia" w:ascii="宋体" w:hAnsi="宋体" w:eastAsia="宋体" w:cs="宋体"/>
                <w:color w:val="000000" w:themeColor="text1"/>
                <w:spacing w:val="5"/>
                <w:sz w:val="24"/>
                <w:szCs w:val="24"/>
                <w14:textFill>
                  <w14:solidFill>
                    <w14:schemeClr w14:val="tx1"/>
                  </w14:solidFill>
                </w14:textFill>
              </w:rPr>
              <w:t>新建燃气管网1</w:t>
            </w:r>
            <w:r>
              <w:rPr>
                <w:rFonts w:hint="eastAsia" w:ascii="宋体" w:hAnsi="宋体" w:eastAsia="宋体" w:cs="宋体"/>
                <w:color w:val="000000" w:themeColor="text1"/>
                <w:spacing w:val="5"/>
                <w:sz w:val="24"/>
                <w:szCs w:val="24"/>
                <w:lang w:val="en-US" w:eastAsia="zh-CN"/>
                <w14:textFill>
                  <w14:solidFill>
                    <w14:schemeClr w14:val="tx1"/>
                  </w14:solidFill>
                </w14:textFill>
              </w:rPr>
              <w:t>.5</w:t>
            </w:r>
            <w:r>
              <w:rPr>
                <w:rFonts w:hint="eastAsia" w:ascii="宋体" w:hAnsi="宋体" w:eastAsia="宋体" w:cs="宋体"/>
                <w:color w:val="000000" w:themeColor="text1"/>
                <w:spacing w:val="5"/>
                <w:sz w:val="24"/>
                <w:szCs w:val="24"/>
                <w14:textFill>
                  <w14:solidFill>
                    <w14:schemeClr w14:val="tx1"/>
                  </w14:solidFill>
                </w14:textFill>
              </w:rPr>
              <w:t>公里</w:t>
            </w:r>
            <w:r>
              <w:rPr>
                <w:rFonts w:hint="eastAsia" w:ascii="宋体" w:hAnsi="宋体" w:eastAsia="宋体" w:cs="宋体"/>
                <w:color w:val="000000" w:themeColor="text1"/>
                <w:spacing w:val="5"/>
                <w:sz w:val="24"/>
                <w:szCs w:val="24"/>
                <w:lang w:eastAsia="zh-CN"/>
                <w14:textFill>
                  <w14:solidFill>
                    <w14:schemeClr w14:val="tx1"/>
                  </w14:solidFill>
                </w14:textFill>
              </w:rPr>
              <w:t>，具</w:t>
            </w:r>
            <w:r>
              <w:rPr>
                <w:rFonts w:hint="eastAsia" w:ascii="宋体" w:hAnsi="宋体" w:eastAsia="宋体" w:cs="宋体"/>
                <w:color w:val="000000" w:themeColor="text1"/>
                <w:spacing w:val="5"/>
                <w:sz w:val="24"/>
                <w:szCs w:val="24"/>
                <w:lang w:val="en-US" w:eastAsia="zh-CN"/>
                <w14:textFill>
                  <w14:solidFill>
                    <w14:schemeClr w14:val="tx1"/>
                  </w14:solidFill>
                </w14:textFill>
              </w:rPr>
              <w:t>体任务数量以市里下达的文件分配数为准</w:t>
            </w:r>
          </w:p>
        </w:tc>
        <w:tc>
          <w:tcPr>
            <w:tcW w:w="2880" w:type="dxa"/>
            <w:vAlign w:val="center"/>
          </w:tcPr>
          <w:p w14:paraId="6F87D81F">
            <w:pPr>
              <w:keepNext w:val="0"/>
              <w:keepLines w:val="0"/>
              <w:pageBreakBefore w:val="0"/>
              <w:widowControl w:val="0"/>
              <w:kinsoku/>
              <w:wordWrap/>
              <w:overflowPunct/>
              <w:topLinePunct w:val="0"/>
              <w:autoSpaceDE/>
              <w:autoSpaceDN/>
              <w:bidi w:val="0"/>
              <w:adjustRightInd/>
              <w:snapToGrid/>
              <w:spacing w:line="320" w:lineRule="exact"/>
              <w:ind w:right="113"/>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县城市管理和综合执法局</w:t>
            </w:r>
          </w:p>
        </w:tc>
        <w:tc>
          <w:tcPr>
            <w:tcW w:w="1290" w:type="dxa"/>
            <w:vAlign w:val="center"/>
          </w:tcPr>
          <w:p w14:paraId="4BF1F7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颜永福</w:t>
            </w:r>
          </w:p>
        </w:tc>
        <w:tc>
          <w:tcPr>
            <w:tcW w:w="1260" w:type="dxa"/>
            <w:vAlign w:val="center"/>
          </w:tcPr>
          <w:p w14:paraId="45AFDA90">
            <w:pPr>
              <w:keepNext w:val="0"/>
              <w:keepLines w:val="0"/>
              <w:pageBreakBefore w:val="0"/>
              <w:widowControl w:val="0"/>
              <w:kinsoku/>
              <w:wordWrap/>
              <w:overflowPunct/>
              <w:topLinePunct w:val="0"/>
              <w:autoSpaceDE/>
              <w:autoSpaceDN/>
              <w:bidi w:val="0"/>
              <w:adjustRightInd/>
              <w:snapToGrid/>
              <w:spacing w:line="320" w:lineRule="exact"/>
              <w:ind w:left="308" w:leftChars="0"/>
              <w:jc w:val="both"/>
              <w:textAlignment w:val="auto"/>
              <w:rPr>
                <w:rFonts w:hint="eastAsia" w:ascii="宋体" w:hAnsi="宋体" w:eastAsia="宋体" w:cs="宋体"/>
                <w:color w:val="000000" w:themeColor="text1"/>
                <w:spacing w:val="-3"/>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杨昌盛</w:t>
            </w:r>
          </w:p>
        </w:tc>
      </w:tr>
      <w:tr w14:paraId="04ED0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65" w:type="dxa"/>
            <w:vMerge w:val="restart"/>
            <w:vAlign w:val="center"/>
          </w:tcPr>
          <w:p w14:paraId="72A93D4A">
            <w:pPr>
              <w:spacing w:before="65" w:line="220" w:lineRule="auto"/>
              <w:ind w:left="20" w:lef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3</w:t>
            </w:r>
          </w:p>
        </w:tc>
        <w:tc>
          <w:tcPr>
            <w:tcW w:w="555" w:type="dxa"/>
            <w:vMerge w:val="restart"/>
            <w:vAlign w:val="center"/>
          </w:tcPr>
          <w:p w14:paraId="76EE08DF">
            <w:pPr>
              <w:keepNext w:val="0"/>
              <w:keepLines w:val="0"/>
              <w:pageBreakBefore w:val="0"/>
              <w:widowControl w:val="0"/>
              <w:kinsoku/>
              <w:wordWrap/>
              <w:overflowPunct/>
              <w:topLinePunct w:val="0"/>
              <w:autoSpaceDE/>
              <w:autoSpaceDN/>
              <w:bidi w:val="0"/>
              <w:adjustRightInd/>
              <w:snapToGrid/>
              <w:spacing w:line="300" w:lineRule="exact"/>
              <w:ind w:left="85" w:leftChars="0" w:right="85" w:rightChars="0"/>
              <w:jc w:val="center"/>
              <w:textAlignment w:val="auto"/>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重点监测民生项目</w:t>
            </w:r>
          </w:p>
        </w:tc>
        <w:tc>
          <w:tcPr>
            <w:tcW w:w="8355" w:type="dxa"/>
            <w:vAlign w:val="center"/>
          </w:tcPr>
          <w:p w14:paraId="54DFFB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1.扩大社会保险费覆盖面。实施“温暖社保”三年行动，深入推进社会保险全面覆盖。全面落实企业职工基本养老保险全国统筹配套制度，稳步提升“两率”水平。具</w:t>
            </w:r>
            <w:r>
              <w:rPr>
                <w:rFonts w:hint="eastAsia" w:ascii="宋体" w:hAnsi="宋体" w:eastAsia="宋体" w:cs="宋体"/>
                <w:color w:val="000000" w:themeColor="text1"/>
                <w:spacing w:val="-3"/>
                <w:sz w:val="24"/>
                <w:szCs w:val="24"/>
                <w:lang w:val="en-US" w:eastAsia="zh-CN"/>
                <w14:textFill>
                  <w14:solidFill>
                    <w14:schemeClr w14:val="tx1"/>
                  </w14:solidFill>
                </w14:textFill>
              </w:rPr>
              <w:t>体任务数量以市里下达的文件分配数为准</w:t>
            </w:r>
          </w:p>
        </w:tc>
        <w:tc>
          <w:tcPr>
            <w:tcW w:w="2880" w:type="dxa"/>
            <w:vAlign w:val="center"/>
          </w:tcPr>
          <w:p w14:paraId="60E9093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县人力资源和社会保障局、县税务局牵头，相关乡镇负责</w:t>
            </w:r>
          </w:p>
        </w:tc>
        <w:tc>
          <w:tcPr>
            <w:tcW w:w="1290" w:type="dxa"/>
            <w:vAlign w:val="center"/>
          </w:tcPr>
          <w:p w14:paraId="682D3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袁光平</w:t>
            </w:r>
          </w:p>
          <w:p w14:paraId="4C7F2C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各乡镇长</w:t>
            </w:r>
          </w:p>
        </w:tc>
        <w:tc>
          <w:tcPr>
            <w:tcW w:w="1260" w:type="dxa"/>
            <w:vAlign w:val="center"/>
          </w:tcPr>
          <w:p w14:paraId="5AC34E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陵建华</w:t>
            </w:r>
          </w:p>
        </w:tc>
      </w:tr>
      <w:tr w14:paraId="47CD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65" w:type="dxa"/>
            <w:vMerge w:val="continue"/>
            <w:vAlign w:val="top"/>
          </w:tcPr>
          <w:p w14:paraId="5E9A8262">
            <w:pPr>
              <w:rPr>
                <w:rFonts w:ascii="Arial"/>
                <w:color w:val="000000" w:themeColor="text1"/>
                <w:sz w:val="24"/>
                <w:szCs w:val="24"/>
                <w14:textFill>
                  <w14:solidFill>
                    <w14:schemeClr w14:val="tx1"/>
                  </w14:solidFill>
                </w14:textFill>
              </w:rPr>
            </w:pPr>
          </w:p>
        </w:tc>
        <w:tc>
          <w:tcPr>
            <w:tcW w:w="555" w:type="dxa"/>
            <w:vMerge w:val="continue"/>
            <w:vAlign w:val="top"/>
          </w:tcPr>
          <w:p w14:paraId="2527E45D">
            <w:pPr>
              <w:rPr>
                <w:rFonts w:ascii="Arial"/>
                <w:color w:val="000000" w:themeColor="text1"/>
                <w:sz w:val="24"/>
                <w:szCs w:val="24"/>
                <w14:textFill>
                  <w14:solidFill>
                    <w14:schemeClr w14:val="tx1"/>
                  </w14:solidFill>
                </w14:textFill>
              </w:rPr>
            </w:pPr>
          </w:p>
        </w:tc>
        <w:tc>
          <w:tcPr>
            <w:tcW w:w="8355" w:type="dxa"/>
            <w:vAlign w:val="center"/>
          </w:tcPr>
          <w:p w14:paraId="7C75A4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2.改善中职学校办学条件。实施中职学校办学条件达标工程，推动中职教育高质量发展</w:t>
            </w:r>
          </w:p>
        </w:tc>
        <w:tc>
          <w:tcPr>
            <w:tcW w:w="2880" w:type="dxa"/>
            <w:vAlign w:val="center"/>
          </w:tcPr>
          <w:p w14:paraId="480BF1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县教育局</w:t>
            </w:r>
          </w:p>
        </w:tc>
        <w:tc>
          <w:tcPr>
            <w:tcW w:w="1290" w:type="dxa"/>
            <w:vAlign w:val="center"/>
          </w:tcPr>
          <w:p w14:paraId="4AFB12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龙景星</w:t>
            </w:r>
          </w:p>
        </w:tc>
        <w:tc>
          <w:tcPr>
            <w:tcW w:w="1260" w:type="dxa"/>
            <w:vAlign w:val="center"/>
          </w:tcPr>
          <w:p w14:paraId="4877E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周元彪</w:t>
            </w:r>
          </w:p>
        </w:tc>
      </w:tr>
      <w:tr w14:paraId="14D3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65" w:type="dxa"/>
            <w:vMerge w:val="continue"/>
            <w:vAlign w:val="top"/>
          </w:tcPr>
          <w:p w14:paraId="7F69DCF0">
            <w:pPr>
              <w:rPr>
                <w:rFonts w:ascii="Arial"/>
                <w:color w:val="000000" w:themeColor="text1"/>
                <w:sz w:val="24"/>
                <w:szCs w:val="24"/>
                <w14:textFill>
                  <w14:solidFill>
                    <w14:schemeClr w14:val="tx1"/>
                  </w14:solidFill>
                </w14:textFill>
              </w:rPr>
            </w:pPr>
          </w:p>
        </w:tc>
        <w:tc>
          <w:tcPr>
            <w:tcW w:w="555" w:type="dxa"/>
            <w:vMerge w:val="continue"/>
            <w:vAlign w:val="top"/>
          </w:tcPr>
          <w:p w14:paraId="26760F5D">
            <w:pPr>
              <w:rPr>
                <w:rFonts w:ascii="Arial"/>
                <w:color w:val="000000" w:themeColor="text1"/>
                <w:sz w:val="24"/>
                <w:szCs w:val="24"/>
                <w14:textFill>
                  <w14:solidFill>
                    <w14:schemeClr w14:val="tx1"/>
                  </w14:solidFill>
                </w14:textFill>
              </w:rPr>
            </w:pPr>
          </w:p>
        </w:tc>
        <w:tc>
          <w:tcPr>
            <w:tcW w:w="8355" w:type="dxa"/>
            <w:vAlign w:val="center"/>
          </w:tcPr>
          <w:p w14:paraId="2E54EA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3.提高医疗机构重症救治能力</w:t>
            </w:r>
          </w:p>
        </w:tc>
        <w:tc>
          <w:tcPr>
            <w:tcW w:w="2880" w:type="dxa"/>
            <w:vAlign w:val="center"/>
          </w:tcPr>
          <w:p w14:paraId="7B9D6E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县卫生健康局</w:t>
            </w:r>
          </w:p>
        </w:tc>
        <w:tc>
          <w:tcPr>
            <w:tcW w:w="1290" w:type="dxa"/>
            <w:vAlign w:val="center"/>
          </w:tcPr>
          <w:p w14:paraId="18F56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莫从英</w:t>
            </w:r>
          </w:p>
        </w:tc>
        <w:tc>
          <w:tcPr>
            <w:tcW w:w="1260" w:type="dxa"/>
            <w:vAlign w:val="center"/>
          </w:tcPr>
          <w:p w14:paraId="458351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周元彪</w:t>
            </w:r>
          </w:p>
        </w:tc>
      </w:tr>
      <w:tr w14:paraId="6A4F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65" w:type="dxa"/>
            <w:vMerge w:val="continue"/>
            <w:vAlign w:val="top"/>
          </w:tcPr>
          <w:p w14:paraId="6C55C4BF">
            <w:pPr>
              <w:rPr>
                <w:rFonts w:ascii="Arial"/>
                <w:color w:val="000000" w:themeColor="text1"/>
                <w:sz w:val="24"/>
                <w:szCs w:val="24"/>
                <w14:textFill>
                  <w14:solidFill>
                    <w14:schemeClr w14:val="tx1"/>
                  </w14:solidFill>
                </w14:textFill>
              </w:rPr>
            </w:pPr>
          </w:p>
        </w:tc>
        <w:tc>
          <w:tcPr>
            <w:tcW w:w="555" w:type="dxa"/>
            <w:vMerge w:val="continue"/>
            <w:vAlign w:val="top"/>
          </w:tcPr>
          <w:p w14:paraId="36C6D3A5">
            <w:pPr>
              <w:rPr>
                <w:rFonts w:ascii="Arial"/>
                <w:color w:val="000000" w:themeColor="text1"/>
                <w:sz w:val="24"/>
                <w:szCs w:val="24"/>
                <w14:textFill>
                  <w14:solidFill>
                    <w14:schemeClr w14:val="tx1"/>
                  </w14:solidFill>
                </w14:textFill>
              </w:rPr>
            </w:pPr>
          </w:p>
        </w:tc>
        <w:tc>
          <w:tcPr>
            <w:tcW w:w="8355" w:type="dxa"/>
            <w:vAlign w:val="center"/>
          </w:tcPr>
          <w:p w14:paraId="00ED970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4.改善生态环境质量。</w:t>
            </w:r>
          </w:p>
        </w:tc>
        <w:tc>
          <w:tcPr>
            <w:tcW w:w="2880" w:type="dxa"/>
            <w:vAlign w:val="center"/>
          </w:tcPr>
          <w:p w14:paraId="19CD673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市生态环境局绥宁分局牵头，各乡镇负责</w:t>
            </w:r>
          </w:p>
        </w:tc>
        <w:tc>
          <w:tcPr>
            <w:tcW w:w="1290" w:type="dxa"/>
            <w:vAlign w:val="center"/>
          </w:tcPr>
          <w:p w14:paraId="72B3D9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袁惠雄</w:t>
            </w:r>
          </w:p>
          <w:p w14:paraId="29B66F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各乡镇长</w:t>
            </w:r>
          </w:p>
        </w:tc>
        <w:tc>
          <w:tcPr>
            <w:tcW w:w="1260" w:type="dxa"/>
            <w:vAlign w:val="center"/>
          </w:tcPr>
          <w:p w14:paraId="47E68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杨昌盛</w:t>
            </w:r>
          </w:p>
        </w:tc>
      </w:tr>
    </w:tbl>
    <w:p w14:paraId="2F92F786">
      <w:pPr>
        <w:ind w:firstLine="420" w:firstLineChars="200"/>
        <w:rPr>
          <w:rFonts w:hint="eastAsia" w:eastAsia="宋体"/>
          <w:color w:val="000000" w:themeColor="text1"/>
          <w:lang w:eastAsia="zh-CN"/>
          <w14:textFill>
            <w14:solidFill>
              <w14:schemeClr w14:val="tx1"/>
            </w14:solidFill>
          </w14:textFill>
        </w:rPr>
        <w:sectPr>
          <w:footerReference r:id="rId9" w:type="default"/>
          <w:pgSz w:w="16838" w:h="11906" w:orient="landscape"/>
          <w:pgMar w:top="1531" w:right="1440" w:bottom="1417" w:left="1440" w:header="851" w:footer="992" w:gutter="0"/>
          <w:cols w:space="720" w:num="1"/>
          <w:docGrid w:type="lines" w:linePitch="312" w:charSpace="0"/>
        </w:sectPr>
      </w:pPr>
      <w:r>
        <w:rPr>
          <w:rFonts w:hint="eastAsia" w:eastAsia="宋体"/>
          <w:color w:val="000000" w:themeColor="text1"/>
          <w:lang w:eastAsia="zh-CN"/>
          <w14:textFill>
            <w14:solidFill>
              <w14:schemeClr w14:val="tx1"/>
            </w14:solidFill>
          </w14:textFill>
        </w:rPr>
        <w:t>备注：各单项工作排第一的为牵头单位</w:t>
      </w:r>
    </w:p>
    <w:p w14:paraId="501ED86B">
      <w:pPr>
        <w:pStyle w:val="2"/>
        <w:rPr>
          <w:rFonts w:hint="eastAsia"/>
          <w:lang w:eastAsia="zh-CN"/>
        </w:rPr>
      </w:pPr>
    </w:p>
    <w:p w14:paraId="481B719D">
      <w:pPr>
        <w:pStyle w:val="3"/>
        <w:rPr>
          <w:rFonts w:hint="eastAsia"/>
          <w:lang w:eastAsia="zh-CN"/>
        </w:rPr>
      </w:pPr>
    </w:p>
    <w:p w14:paraId="7A274851">
      <w:pPr>
        <w:rPr>
          <w:rFonts w:hint="eastAsia"/>
          <w:lang w:eastAsia="zh-CN"/>
        </w:rPr>
      </w:pPr>
    </w:p>
    <w:p w14:paraId="20C8C720">
      <w:pPr>
        <w:pStyle w:val="2"/>
        <w:rPr>
          <w:rFonts w:hint="eastAsia"/>
          <w:lang w:eastAsia="zh-CN"/>
        </w:rPr>
      </w:pPr>
    </w:p>
    <w:p w14:paraId="74C330B7">
      <w:pPr>
        <w:pStyle w:val="3"/>
        <w:rPr>
          <w:rFonts w:hint="eastAsia"/>
          <w:lang w:eastAsia="zh-CN"/>
        </w:rPr>
      </w:pPr>
    </w:p>
    <w:p w14:paraId="76F3F0CE">
      <w:pPr>
        <w:rPr>
          <w:rFonts w:hint="eastAsia"/>
          <w:lang w:eastAsia="zh-CN"/>
        </w:rPr>
      </w:pPr>
    </w:p>
    <w:p w14:paraId="646466A1">
      <w:pPr>
        <w:pStyle w:val="2"/>
        <w:rPr>
          <w:rFonts w:hint="eastAsia"/>
          <w:lang w:eastAsia="zh-CN"/>
        </w:rPr>
      </w:pPr>
    </w:p>
    <w:p w14:paraId="393D2B93">
      <w:pPr>
        <w:pStyle w:val="3"/>
        <w:rPr>
          <w:rFonts w:hint="eastAsia"/>
          <w:lang w:eastAsia="zh-CN"/>
        </w:rPr>
      </w:pPr>
    </w:p>
    <w:p w14:paraId="255A54BB">
      <w:pPr>
        <w:rPr>
          <w:rFonts w:hint="eastAsia"/>
          <w:lang w:eastAsia="zh-CN"/>
        </w:rPr>
      </w:pPr>
    </w:p>
    <w:p w14:paraId="72645163">
      <w:pPr>
        <w:pStyle w:val="2"/>
        <w:rPr>
          <w:rFonts w:hint="eastAsia"/>
          <w:lang w:eastAsia="zh-CN"/>
        </w:rPr>
      </w:pPr>
    </w:p>
    <w:p w14:paraId="168F54CC">
      <w:pPr>
        <w:pStyle w:val="3"/>
        <w:rPr>
          <w:rFonts w:hint="eastAsia"/>
          <w:lang w:eastAsia="zh-CN"/>
        </w:rPr>
      </w:pPr>
    </w:p>
    <w:p w14:paraId="0D41910F">
      <w:pPr>
        <w:rPr>
          <w:rFonts w:hint="eastAsia"/>
          <w:lang w:eastAsia="zh-CN"/>
        </w:rPr>
      </w:pPr>
    </w:p>
    <w:p w14:paraId="539B515A">
      <w:pPr>
        <w:pStyle w:val="2"/>
        <w:rPr>
          <w:rFonts w:hint="eastAsia"/>
          <w:lang w:eastAsia="zh-CN"/>
        </w:rPr>
      </w:pPr>
    </w:p>
    <w:p w14:paraId="71F75528">
      <w:pPr>
        <w:pStyle w:val="3"/>
        <w:rPr>
          <w:rFonts w:hint="eastAsia"/>
          <w:lang w:eastAsia="zh-CN"/>
        </w:rPr>
      </w:pPr>
    </w:p>
    <w:p w14:paraId="1B6C3BC9">
      <w:pPr>
        <w:rPr>
          <w:rFonts w:hint="eastAsia"/>
          <w:lang w:eastAsia="zh-CN"/>
        </w:rPr>
      </w:pPr>
    </w:p>
    <w:p w14:paraId="15D05582">
      <w:pPr>
        <w:pStyle w:val="2"/>
        <w:rPr>
          <w:rFonts w:hint="eastAsia"/>
          <w:lang w:eastAsia="zh-CN"/>
        </w:rPr>
      </w:pPr>
    </w:p>
    <w:p w14:paraId="797AF09B">
      <w:pPr>
        <w:pStyle w:val="3"/>
        <w:rPr>
          <w:rFonts w:hint="eastAsia"/>
          <w:lang w:eastAsia="zh-CN"/>
        </w:rPr>
      </w:pPr>
    </w:p>
    <w:p w14:paraId="6637DE19">
      <w:pPr>
        <w:rPr>
          <w:rFonts w:hint="eastAsia"/>
          <w:lang w:eastAsia="zh-CN"/>
        </w:rPr>
      </w:pPr>
    </w:p>
    <w:p w14:paraId="023B7732">
      <w:pPr>
        <w:pStyle w:val="2"/>
        <w:rPr>
          <w:rFonts w:hint="eastAsia"/>
          <w:lang w:eastAsia="zh-CN"/>
        </w:rPr>
      </w:pPr>
    </w:p>
    <w:p w14:paraId="0160C31A">
      <w:pPr>
        <w:pStyle w:val="3"/>
        <w:rPr>
          <w:rFonts w:hint="eastAsia"/>
          <w:lang w:eastAsia="zh-CN"/>
        </w:rPr>
      </w:pPr>
    </w:p>
    <w:p w14:paraId="4FCAAA08">
      <w:pPr>
        <w:rPr>
          <w:rFonts w:hint="eastAsia"/>
          <w:lang w:eastAsia="zh-CN"/>
        </w:rPr>
      </w:pPr>
    </w:p>
    <w:p w14:paraId="7B432DEB">
      <w:pPr>
        <w:pStyle w:val="2"/>
        <w:rPr>
          <w:rFonts w:hint="eastAsia"/>
          <w:lang w:eastAsia="zh-CN"/>
        </w:rPr>
      </w:pPr>
    </w:p>
    <w:p w14:paraId="5A46980D">
      <w:pPr>
        <w:pStyle w:val="3"/>
        <w:rPr>
          <w:rFonts w:hint="eastAsia"/>
          <w:lang w:eastAsia="zh-CN"/>
        </w:rPr>
      </w:pPr>
    </w:p>
    <w:p w14:paraId="38DF8E17">
      <w:pPr>
        <w:rPr>
          <w:rFonts w:hint="eastAsia"/>
          <w:lang w:eastAsia="zh-CN"/>
        </w:rPr>
      </w:pPr>
    </w:p>
    <w:p w14:paraId="53EBDF80">
      <w:pPr>
        <w:pStyle w:val="2"/>
        <w:rPr>
          <w:rFonts w:hint="eastAsia"/>
          <w:lang w:eastAsia="zh-CN"/>
        </w:rPr>
      </w:pPr>
    </w:p>
    <w:p w14:paraId="26CB7006">
      <w:pPr>
        <w:pStyle w:val="3"/>
        <w:rPr>
          <w:rFonts w:hint="eastAsia"/>
          <w:lang w:eastAsia="zh-CN"/>
        </w:rPr>
      </w:pPr>
    </w:p>
    <w:p w14:paraId="33E46D60">
      <w:pPr>
        <w:rPr>
          <w:rFonts w:hint="eastAsia"/>
          <w:lang w:eastAsia="zh-CN"/>
        </w:rPr>
      </w:pPr>
    </w:p>
    <w:p w14:paraId="1E710231">
      <w:pPr>
        <w:pStyle w:val="2"/>
        <w:rPr>
          <w:rFonts w:hint="eastAsia"/>
          <w:lang w:eastAsia="zh-CN"/>
        </w:rPr>
      </w:pPr>
    </w:p>
    <w:p w14:paraId="69AA28BA">
      <w:pPr>
        <w:pStyle w:val="3"/>
        <w:rPr>
          <w:rFonts w:hint="eastAsia"/>
          <w:lang w:eastAsia="zh-CN"/>
        </w:rPr>
      </w:pPr>
    </w:p>
    <w:p w14:paraId="7E750E51">
      <w:pPr>
        <w:rPr>
          <w:rFonts w:hint="eastAsia"/>
          <w:lang w:eastAsia="zh-CN"/>
        </w:rPr>
      </w:pPr>
    </w:p>
    <w:p w14:paraId="16A45BCF">
      <w:pPr>
        <w:pStyle w:val="2"/>
        <w:rPr>
          <w:rFonts w:hint="eastAsia"/>
          <w:lang w:eastAsia="zh-CN"/>
        </w:rPr>
      </w:pPr>
    </w:p>
    <w:p w14:paraId="37FC8163">
      <w:pPr>
        <w:pStyle w:val="3"/>
        <w:rPr>
          <w:rFonts w:hint="eastAsia"/>
          <w:lang w:eastAsia="zh-CN"/>
        </w:rPr>
      </w:pPr>
    </w:p>
    <w:p w14:paraId="779F5028">
      <w:pPr>
        <w:rPr>
          <w:rFonts w:hint="eastAsia"/>
          <w:sz w:val="20"/>
          <w:szCs w:val="22"/>
          <w:lang w:eastAsia="zh-CN"/>
        </w:rPr>
      </w:pPr>
    </w:p>
    <w:p w14:paraId="3BDB2ACB">
      <w:pPr>
        <w:pStyle w:val="2"/>
        <w:rPr>
          <w:rFonts w:hint="eastAsia"/>
          <w:lang w:eastAsia="zh-CN"/>
        </w:rPr>
      </w:pPr>
    </w:p>
    <w:p w14:paraId="71181EBD">
      <w:pPr>
        <w:pStyle w:val="3"/>
        <w:rPr>
          <w:rFonts w:hint="eastAsia"/>
          <w:lang w:eastAsia="zh-CN"/>
        </w:rPr>
      </w:pPr>
    </w:p>
    <w:p w14:paraId="2D33BC0F">
      <w:pPr>
        <w:rPr>
          <w:rFonts w:hint="eastAsia"/>
          <w:lang w:eastAsia="zh-CN"/>
        </w:rPr>
      </w:pPr>
    </w:p>
    <w:p w14:paraId="6FFE909E">
      <w:pPr>
        <w:pStyle w:val="2"/>
        <w:rPr>
          <w:rFonts w:hint="eastAsia"/>
          <w:lang w:eastAsia="zh-CN"/>
        </w:rPr>
      </w:pPr>
    </w:p>
    <w:p w14:paraId="0BC1D6AB">
      <w:pPr>
        <w:pStyle w:val="3"/>
        <w:rPr>
          <w:rFonts w:hint="eastAsia"/>
          <w:lang w:eastAsia="zh-CN"/>
        </w:rPr>
      </w:pPr>
    </w:p>
    <w:p w14:paraId="2483270F">
      <w:pPr>
        <w:pStyle w:val="2"/>
        <w:rPr>
          <w:rFonts w:hint="eastAsia"/>
          <w:lang w:eastAsia="zh-CN"/>
        </w:rPr>
      </w:pPr>
    </w:p>
    <w:p w14:paraId="3A2AF55D">
      <w:pPr>
        <w:pStyle w:val="3"/>
        <w:rPr>
          <w:rFonts w:hint="eastAsia"/>
          <w:lang w:eastAsia="zh-CN"/>
        </w:rPr>
      </w:pPr>
    </w:p>
    <w:p w14:paraId="4E66912E">
      <w:pPr>
        <w:pStyle w:val="2"/>
        <w:rPr>
          <w:rFonts w:hint="eastAsia"/>
          <w:lang w:eastAsia="zh-CN"/>
        </w:rPr>
      </w:pPr>
    </w:p>
    <w:p w14:paraId="5C6E1403">
      <w:pPr>
        <w:pStyle w:val="3"/>
        <w:rPr>
          <w:rFonts w:hint="eastAsia"/>
          <w:lang w:eastAsia="zh-CN"/>
        </w:rPr>
      </w:pPr>
    </w:p>
    <w:p w14:paraId="6214D1FB">
      <w:pPr>
        <w:keepNext w:val="0"/>
        <w:keepLines w:val="0"/>
        <w:pageBreakBefore w:val="0"/>
        <w:widowControl w:val="0"/>
        <w:pBdr>
          <w:bottom w:val="single" w:color="auto" w:sz="6" w:space="0"/>
        </w:pBd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sz w:val="32"/>
          <w:szCs w:val="32"/>
        </w:rPr>
      </w:pPr>
    </w:p>
    <w:p w14:paraId="5EF3DD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rPr>
          <w:rFonts w:hint="eastAsia" w:ascii="仿宋_GB2312" w:eastAsia="仿宋_GB2312"/>
          <w:spacing w:val="-11"/>
          <w:sz w:val="28"/>
          <w:szCs w:val="28"/>
          <w:lang w:eastAsia="zh-CN"/>
        </w:rPr>
      </w:pPr>
      <w:r>
        <w:rPr>
          <w:rFonts w:hint="eastAsia" w:ascii="仿宋_GB2312" w:eastAsia="仿宋_GB2312"/>
          <w:sz w:val="28"/>
          <w:szCs w:val="28"/>
        </w:rPr>
        <w:t>抄送：</w:t>
      </w:r>
      <w:r>
        <w:rPr>
          <w:rFonts w:hint="eastAsia" w:ascii="仿宋_GB2312" w:eastAsia="仿宋_GB2312"/>
          <w:spacing w:val="-11"/>
          <w:sz w:val="28"/>
          <w:szCs w:val="28"/>
        </w:rPr>
        <w:t>县委</w:t>
      </w:r>
      <w:r>
        <w:rPr>
          <w:rFonts w:hint="eastAsia" w:ascii="仿宋_GB2312" w:eastAsia="仿宋_GB2312"/>
          <w:spacing w:val="-11"/>
          <w:sz w:val="28"/>
          <w:szCs w:val="28"/>
          <w:lang w:eastAsia="zh-CN"/>
        </w:rPr>
        <w:t>办</w:t>
      </w:r>
      <w:r>
        <w:rPr>
          <w:rFonts w:hint="eastAsia" w:ascii="仿宋_GB2312" w:eastAsia="仿宋_GB2312"/>
          <w:spacing w:val="-11"/>
          <w:sz w:val="28"/>
          <w:szCs w:val="28"/>
        </w:rPr>
        <w:t>、</w:t>
      </w:r>
      <w:r>
        <w:rPr>
          <w:rFonts w:hint="eastAsia" w:ascii="仿宋_GB2312" w:eastAsia="仿宋_GB2312"/>
          <w:spacing w:val="-11"/>
          <w:sz w:val="28"/>
          <w:szCs w:val="28"/>
          <w:lang w:eastAsia="zh-CN"/>
        </w:rPr>
        <w:t>县</w:t>
      </w:r>
      <w:r>
        <w:rPr>
          <w:rFonts w:hint="eastAsia" w:ascii="仿宋_GB2312" w:eastAsia="仿宋_GB2312"/>
          <w:spacing w:val="-11"/>
          <w:sz w:val="28"/>
          <w:szCs w:val="28"/>
        </w:rPr>
        <w:t>人大</w:t>
      </w:r>
      <w:r>
        <w:rPr>
          <w:rFonts w:hint="eastAsia" w:ascii="仿宋_GB2312" w:eastAsia="仿宋_GB2312"/>
          <w:spacing w:val="-11"/>
          <w:sz w:val="28"/>
          <w:szCs w:val="28"/>
          <w:lang w:eastAsia="zh-CN"/>
        </w:rPr>
        <w:t>办</w:t>
      </w:r>
      <w:r>
        <w:rPr>
          <w:rFonts w:hint="eastAsia" w:ascii="仿宋_GB2312" w:eastAsia="仿宋_GB2312"/>
          <w:spacing w:val="-11"/>
          <w:sz w:val="28"/>
          <w:szCs w:val="28"/>
        </w:rPr>
        <w:t>、</w:t>
      </w:r>
      <w:r>
        <w:rPr>
          <w:rFonts w:hint="eastAsia" w:ascii="仿宋_GB2312" w:eastAsia="仿宋_GB2312"/>
          <w:spacing w:val="-11"/>
          <w:sz w:val="28"/>
          <w:szCs w:val="28"/>
          <w:lang w:eastAsia="zh-CN"/>
        </w:rPr>
        <w:t>县</w:t>
      </w:r>
      <w:r>
        <w:rPr>
          <w:rFonts w:hint="eastAsia" w:ascii="仿宋_GB2312" w:eastAsia="仿宋_GB2312"/>
          <w:spacing w:val="-11"/>
          <w:sz w:val="28"/>
          <w:szCs w:val="28"/>
        </w:rPr>
        <w:t>政协</w:t>
      </w:r>
      <w:r>
        <w:rPr>
          <w:rFonts w:hint="eastAsia" w:ascii="仿宋_GB2312" w:eastAsia="仿宋_GB2312"/>
          <w:spacing w:val="-11"/>
          <w:sz w:val="28"/>
          <w:szCs w:val="28"/>
          <w:lang w:eastAsia="zh-CN"/>
        </w:rPr>
        <w:t>办</w:t>
      </w:r>
      <w:r>
        <w:rPr>
          <w:rFonts w:hint="eastAsia" w:ascii="仿宋_GB2312" w:eastAsia="仿宋_GB2312"/>
          <w:spacing w:val="-11"/>
          <w:sz w:val="28"/>
          <w:szCs w:val="28"/>
        </w:rPr>
        <w:t>、</w:t>
      </w:r>
      <w:r>
        <w:rPr>
          <w:rFonts w:hint="eastAsia" w:ascii="仿宋_GB2312" w:eastAsia="仿宋_GB2312"/>
          <w:spacing w:val="-11"/>
          <w:sz w:val="28"/>
          <w:szCs w:val="28"/>
          <w:lang w:eastAsia="zh-CN"/>
        </w:rPr>
        <w:t>县</w:t>
      </w:r>
      <w:r>
        <w:rPr>
          <w:rFonts w:hint="eastAsia" w:ascii="仿宋_GB2312" w:eastAsia="仿宋_GB2312"/>
          <w:spacing w:val="-11"/>
          <w:sz w:val="28"/>
          <w:szCs w:val="28"/>
        </w:rPr>
        <w:t>人武部</w:t>
      </w:r>
      <w:r>
        <w:rPr>
          <w:rFonts w:hint="eastAsia" w:ascii="仿宋_GB2312" w:eastAsia="仿宋_GB2312"/>
          <w:spacing w:val="-11"/>
          <w:sz w:val="28"/>
          <w:szCs w:val="28"/>
          <w:lang w:eastAsia="zh-CN"/>
        </w:rPr>
        <w:t>办</w:t>
      </w:r>
      <w:r>
        <w:rPr>
          <w:rFonts w:hint="eastAsia" w:ascii="仿宋_GB2312" w:eastAsia="仿宋_GB2312"/>
          <w:spacing w:val="-11"/>
          <w:sz w:val="28"/>
          <w:szCs w:val="28"/>
        </w:rPr>
        <w:t>、</w:t>
      </w:r>
      <w:r>
        <w:rPr>
          <w:rFonts w:hint="eastAsia" w:ascii="仿宋_GB2312" w:eastAsia="仿宋_GB2312"/>
          <w:spacing w:val="-11"/>
          <w:sz w:val="28"/>
          <w:szCs w:val="28"/>
          <w:lang w:eastAsia="zh-CN"/>
        </w:rPr>
        <w:t>县</w:t>
      </w:r>
      <w:r>
        <w:rPr>
          <w:rFonts w:hint="eastAsia" w:ascii="仿宋_GB2312" w:eastAsia="仿宋_GB2312"/>
          <w:spacing w:val="-11"/>
          <w:sz w:val="28"/>
          <w:szCs w:val="28"/>
        </w:rPr>
        <w:t>纪委</w:t>
      </w:r>
      <w:r>
        <w:rPr>
          <w:rFonts w:hint="eastAsia" w:ascii="仿宋_GB2312" w:eastAsia="仿宋_GB2312"/>
          <w:spacing w:val="-11"/>
          <w:sz w:val="28"/>
          <w:szCs w:val="28"/>
          <w:lang w:eastAsia="zh-CN"/>
        </w:rPr>
        <w:t>（监委）办、</w:t>
      </w:r>
    </w:p>
    <w:p w14:paraId="504D16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eastAsia="仿宋_GB2312"/>
          <w:spacing w:val="-11"/>
          <w:sz w:val="28"/>
          <w:szCs w:val="28"/>
          <w:lang w:eastAsia="zh-CN"/>
        </w:rPr>
      </w:pPr>
      <w:r>
        <w:rPr>
          <w:rFonts w:hint="eastAsia" w:ascii="仿宋_GB2312" w:eastAsia="仿宋_GB2312"/>
          <w:spacing w:val="-11"/>
          <w:sz w:val="28"/>
          <w:szCs w:val="28"/>
          <w:lang w:val="en-US" w:eastAsia="zh-CN"/>
        </w:rPr>
        <w:t xml:space="preserve">         </w:t>
      </w:r>
      <w:r>
        <w:rPr>
          <w:rFonts w:hint="eastAsia" w:ascii="仿宋_GB2312" w:eastAsia="仿宋_GB2312"/>
          <w:spacing w:val="0"/>
          <w:sz w:val="28"/>
          <w:szCs w:val="28"/>
          <w:lang w:eastAsia="zh-CN"/>
        </w:rPr>
        <w:t>县人民法院、县人民检察院</w:t>
      </w:r>
    </w:p>
    <w:p w14:paraId="2A09F39D">
      <w:pPr>
        <w:keepNext w:val="0"/>
        <w:keepLines w:val="0"/>
        <w:pageBreakBefore w:val="0"/>
        <w:widowControl w:val="0"/>
        <w:pBdr>
          <w:top w:val="single" w:color="auto" w:sz="6" w:space="1"/>
          <w:bottom w:val="single" w:color="auto" w:sz="6" w:space="2"/>
        </w:pBdr>
        <w:kinsoku/>
        <w:wordWrap/>
        <w:overflowPunct/>
        <w:topLinePunct w:val="0"/>
        <w:autoSpaceDE/>
        <w:autoSpaceDN/>
        <w:bidi w:val="0"/>
        <w:adjustRightInd/>
        <w:snapToGrid/>
        <w:spacing w:before="0" w:beforeLines="0" w:after="0" w:afterLines="0" w:line="500" w:lineRule="exact"/>
        <w:ind w:left="0" w:leftChars="0" w:right="0" w:rightChars="0" w:firstLine="280" w:firstLineChars="100"/>
        <w:jc w:val="both"/>
        <w:textAlignment w:val="auto"/>
        <w:outlineLvl w:val="9"/>
        <w:rPr>
          <w:rFonts w:hint="eastAsia"/>
          <w:lang w:eastAsia="zh-CN"/>
        </w:rPr>
      </w:pPr>
      <w:r>
        <w:rPr>
          <w:rFonts w:hint="eastAsia" w:ascii="仿宋_GB2312" w:eastAsia="仿宋_GB2312"/>
          <w:sz w:val="28"/>
          <w:szCs w:val="28"/>
        </w:rPr>
        <w:t xml:space="preserve">绥宁县人民政府办公室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p>
    <w:sectPr>
      <w:pgSz w:w="11906" w:h="16838"/>
      <w:pgMar w:top="1531" w:right="1531" w:bottom="1440" w:left="170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0EA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01675" cy="405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1675" cy="405765"/>
                      </a:xfrm>
                      <a:prstGeom prst="rect">
                        <a:avLst/>
                      </a:prstGeom>
                      <a:noFill/>
                      <a:ln>
                        <a:noFill/>
                      </a:ln>
                    </wps:spPr>
                    <wps:txbx>
                      <w:txbxContent>
                        <w:p w14:paraId="76080783">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31.95pt;width:55.25pt;mso-position-horizontal:outside;mso-position-horizontal-relative:margin;z-index:251659264;mso-width-relative:page;mso-height-relative:page;" filled="f" stroked="f" coordsize="21600,21600" o:gfxdata="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UdGu91AAAAAQBAAAPAAAAAAAAAAEAIAAAACIAAABkcnMv&#10;ZG93bnJldi54bWxQSwECFAAUAAAACACHTuJAsPCnP84BAACZAwAADgAAAAAAAAABACAAAAAjAQAA&#10;ZHJzL2Uyb0RvYy54bWxQSwUGAAAAAAYABgBZAQAAYwUAAAAA&#10;">
              <v:fill on="f" focussize="0,0"/>
              <v:stroke on="f"/>
              <v:imagedata o:title=""/>
              <o:lock v:ext="edit" aspectratio="f"/>
              <v:textbox inset="0mm,0mm,0mm,0mm">
                <w:txbxContent>
                  <w:p w14:paraId="76080783">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923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31520" cy="441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1520" cy="441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D3BAA">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4.75pt;width:57.6pt;mso-position-horizontal:outside;mso-position-horizontal-relative:margin;z-index:251661312;mso-width-relative:page;mso-height-relative:page;" filled="f" stroked="f" coordsize="21600,21600" o:gfxdata="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6QdnT0wAAAAQBAAAPAAAAAAAAAAEAIAAAACIAAABkcnMvZG93bnJldi54&#10;bWxQSwECFAAUAAAACACHTuJAoD/RAjgCAABhBAAADgAAAAAAAAABACAAAAAiAQAAZHJzL2Uyb0Rv&#10;Yy54bWxQSwUGAAAAAAYABgBZAQAAzAUAAAAA&#10;">
              <v:fill on="f" focussize="0,0"/>
              <v:stroke on="f" weight="0.5pt"/>
              <v:imagedata o:title=""/>
              <o:lock v:ext="edit" aspectratio="f"/>
              <v:textbox inset="0mm,0mm,0mm,0mm">
                <w:txbxContent>
                  <w:p w14:paraId="251D3BAA">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F10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92150" cy="279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9215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2FB99">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pt;width:54.5pt;mso-position-horizontal:outside;mso-position-horizontal-relative:margin;z-index:251661312;mso-width-relative:page;mso-height-relative:page;" filled="f" stroked="f" coordsize="21600,21600" o:gfxdata="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o4oQrSAAAABAEAAA8AAAAAAAAAAQAgAAAAIgAAAGRycy9kb3ducmV2LnhtbFBL&#10;AQIUABQAAAAIAIdO4kD/PdWtNQIAAGEEAAAOAAAAAAAAAAEAIAAAACEBAABkcnMvZTJvRG9jLnht&#10;bFBLBQYAAAAABgAGAFkBAADIBQAAAAA=&#10;">
              <v:fill on="f" focussize="0,0"/>
              <v:stroke on="f" weight="0.5pt"/>
              <v:imagedata o:title=""/>
              <o:lock v:ext="edit" aspectratio="f"/>
              <v:textbox inset="0mm,0mm,0mm,0mm">
                <w:txbxContent>
                  <w:p w14:paraId="0C32FB99">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61C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45160" cy="3365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516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667A">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5pt;width:50.8pt;mso-position-horizontal:outside;mso-position-horizontal-relative:margin;z-index:251661312;mso-width-relative:page;mso-height-relative:page;" filled="f" stroked="f" coordsize="21600,21600" o:gfxdata="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ioycXTAAAABAEAAA8AAAAAAAAAAQAgAAAAIgAAAGRycy9kb3ducmV2LnhtbFBL&#10;AQIUABQAAAAIAIdO4kD/Gp7fNAIAAGEEAAAOAAAAAAAAAAEAIAAAACIBAABkcnMvZTJvRG9jLnht&#10;bFBLBQYAAAAABgAGAFkBAADIBQAAAAA=&#10;">
              <v:fill on="f" focussize="0,0"/>
              <v:stroke on="f" weight="0.5pt"/>
              <v:imagedata o:title=""/>
              <o:lock v:ext="edit" aspectratio="f"/>
              <v:textbox inset="0mm,0mm,0mm,0mm">
                <w:txbxContent>
                  <w:p w14:paraId="5739667A">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8EE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95325" cy="2641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95325" cy="264160"/>
                      </a:xfrm>
                      <a:prstGeom prst="rect">
                        <a:avLst/>
                      </a:prstGeom>
                      <a:noFill/>
                      <a:ln>
                        <a:noFill/>
                      </a:ln>
                    </wps:spPr>
                    <wps:txbx>
                      <w:txbxContent>
                        <w:p w14:paraId="11A31BDD">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0.8pt;width:54.75pt;mso-position-horizontal:outside;mso-position-horizontal-relative:margin;z-index:251660288;mso-width-relative:page;mso-height-relative:page;" filled="f" stroked="f" coordsize="21600,21600" o:gfxdata="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6WeO/1AAAAAQBAAAPAAAAAAAAAAEAIAAAACIAAABkcnMvZG93bnJldi54bWxQSwECFAAU&#10;AAAACACHTuJAVB4iLrwBAABxAwAADgAAAAAAAAABACAAAAAjAQAAZHJzL2Uyb0RvYy54bWxQSwUG&#10;AAAAAAYABgBZAQAAUQUAAAAA&#10;">
              <v:fill on="f" focussize="0,0"/>
              <v:stroke on="f"/>
              <v:imagedata o:title=""/>
              <o:lock v:ext="edit" aspectratio="f"/>
              <v:textbox inset="0mm,0mm,0mm,0mm">
                <w:txbxContent>
                  <w:p w14:paraId="11A31BDD">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E01F">
    <w:pPr>
      <w:spacing w:line="183" w:lineRule="auto"/>
      <w:rPr>
        <w:rFonts w:ascii="宋体" w:hAnsi="宋体" w:eastAsia="宋体" w:cs="宋体"/>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-190500</wp:posOffset>
              </wp:positionV>
              <wp:extent cx="817880" cy="336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788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966A">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102</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5pt;height:26.5pt;width:64.4pt;mso-position-horizontal-relative:margin;z-index:251662336;mso-width-relative:page;mso-height-relative:page;" filled="f" stroked="f" coordsize="21600,21600" o:gfxdata="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4H0dTVAAAABwEAAA8AAAAAAAAAAQAgAAAAIgAAAGRycy9kb3ducmV2Lnht&#10;bFBLAQIUABQAAAAIAIdO4kCz4hyKNQIAAGEEAAAOAAAAAAAAAAEAIAAAACQBAABkcnMvZTJvRG9j&#10;LnhtbFBLBQYAAAAABgAGAFkBAADLBQAAAAA=&#10;">
              <v:fill on="f" focussize="0,0"/>
              <v:stroke on="f" weight="0.5pt"/>
              <v:imagedata o:title=""/>
              <o:lock v:ext="edit" aspectratio="f"/>
              <v:textbox inset="0mm,0mm,0mm,0mm">
                <w:txbxContent>
                  <w:p w14:paraId="744C966A">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102</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C1FF">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98830" cy="3365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9883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D3CC">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5pt;width:62.9pt;mso-position-horizontal:outside;mso-position-horizontal-relative:margin;z-index:251661312;mso-width-relative:page;mso-height-relative:page;" filled="f" stroked="f" coordsize="21600,21600" o:gfxdata="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XKe9MAAAAEAQAADwAAAAAAAAABACAAAAAiAAAAZHJzL2Rvd25yZXYueG1s&#10;UEsBAhQAFAAAAAgAh07iQLFdTPo2AgAAYQQAAA4AAAAAAAAAAQAgAAAAIgEAAGRycy9lMm9Eb2Mu&#10;eG1sUEsFBgAAAAAGAAYAWQEAAMoFAAAAAA==&#10;">
              <v:fill on="f" focussize="0,0"/>
              <v:stroke on="f" weight="0.5pt"/>
              <v:imagedata o:title=""/>
              <o:lock v:ext="edit" aspectratio="f"/>
              <v:textbox inset="0mm,0mm,0mm,0mm">
                <w:txbxContent>
                  <w:p w14:paraId="5998D3CC">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C3AE2"/>
    <w:multiLevelType w:val="singleLevel"/>
    <w:tmpl w:val="DB5C3A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ZDQwMzk0YjA1ODcyNWIwYjc4NTcyYmFjZWU2NDQifQ=="/>
  </w:docVars>
  <w:rsids>
    <w:rsidRoot w:val="5F7D54AD"/>
    <w:rsid w:val="02262BBC"/>
    <w:rsid w:val="053E4A08"/>
    <w:rsid w:val="06E62D90"/>
    <w:rsid w:val="0A4D5032"/>
    <w:rsid w:val="0A5922DF"/>
    <w:rsid w:val="0F29227F"/>
    <w:rsid w:val="0F435B15"/>
    <w:rsid w:val="19312EB6"/>
    <w:rsid w:val="19CC76D6"/>
    <w:rsid w:val="1C1202E9"/>
    <w:rsid w:val="1C89048D"/>
    <w:rsid w:val="1EFFD702"/>
    <w:rsid w:val="1F49253B"/>
    <w:rsid w:val="248143D9"/>
    <w:rsid w:val="26A55BC8"/>
    <w:rsid w:val="2AEE1D2E"/>
    <w:rsid w:val="2B923838"/>
    <w:rsid w:val="30B9312B"/>
    <w:rsid w:val="34197EE8"/>
    <w:rsid w:val="34D04600"/>
    <w:rsid w:val="39D376BD"/>
    <w:rsid w:val="3B7746A2"/>
    <w:rsid w:val="42A6082B"/>
    <w:rsid w:val="442314F7"/>
    <w:rsid w:val="44B241AE"/>
    <w:rsid w:val="455F3926"/>
    <w:rsid w:val="4B391C2F"/>
    <w:rsid w:val="554E7D1C"/>
    <w:rsid w:val="577D9B98"/>
    <w:rsid w:val="59983418"/>
    <w:rsid w:val="5D687382"/>
    <w:rsid w:val="5F7D54AD"/>
    <w:rsid w:val="61E01FEF"/>
    <w:rsid w:val="652903F1"/>
    <w:rsid w:val="677B29A0"/>
    <w:rsid w:val="6BC26511"/>
    <w:rsid w:val="6BF75179"/>
    <w:rsid w:val="723B5D90"/>
    <w:rsid w:val="73A77A56"/>
    <w:rsid w:val="741D6AA8"/>
    <w:rsid w:val="743C3019"/>
    <w:rsid w:val="76FD494A"/>
    <w:rsid w:val="776F5B63"/>
    <w:rsid w:val="797F1E77"/>
    <w:rsid w:val="7D6479E0"/>
    <w:rsid w:val="7EDCE1E9"/>
    <w:rsid w:val="7FAB33EE"/>
    <w:rsid w:val="7FBF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5">
    <w:name w:val="Body Text"/>
    <w:basedOn w:val="1"/>
    <w:next w:val="1"/>
    <w:qFormat/>
    <w:uiPriority w:val="0"/>
    <w:pPr>
      <w:spacing w:after="120"/>
    </w:pPr>
  </w:style>
  <w:style w:type="paragraph" w:styleId="6">
    <w:name w:val="Body Text Indent"/>
    <w:basedOn w:val="1"/>
    <w:next w:val="1"/>
    <w:unhideWhenUsed/>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6"/>
    <w:qFormat/>
    <w:uiPriority w:val="99"/>
    <w:pPr>
      <w:spacing w:after="0"/>
      <w:ind w:firstLine="420"/>
    </w:pPr>
    <w:rPr>
      <w:rFonts w:ascii="Times New Roman" w:hAns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 Spacing_ad81b47b-6779-4c76-b471-79375858c8cb"/>
    <w:basedOn w:val="1"/>
    <w:qFormat/>
    <w:uiPriority w:val="99"/>
    <w:pPr>
      <w:ind w:firstLine="200" w:firstLineChars="200"/>
    </w:pPr>
    <w:rPr>
      <w:rFonts w:ascii="Calibri" w:hAnsi="Calibri" w:eastAsia="宋体" w:cs="Times New Roman"/>
      <w:lang w:val="en-US" w:eastAsia="zh-CN" w:bidi="ar-SA"/>
    </w:rPr>
  </w:style>
  <w:style w:type="character" w:customStyle="1" w:styleId="13">
    <w:name w:val="font11"/>
    <w:basedOn w:val="11"/>
    <w:qFormat/>
    <w:uiPriority w:val="0"/>
    <w:rPr>
      <w:rFonts w:hint="eastAsia" w:ascii="宋体" w:hAnsi="宋体" w:eastAsia="宋体" w:cs="宋体"/>
      <w:color w:val="FF0000"/>
      <w:sz w:val="24"/>
      <w:szCs w:val="24"/>
      <w:u w:val="none"/>
    </w:rPr>
  </w:style>
  <w:style w:type="character" w:customStyle="1" w:styleId="14">
    <w:name w:val="font01"/>
    <w:basedOn w:val="11"/>
    <w:qFormat/>
    <w:uiPriority w:val="0"/>
    <w:rPr>
      <w:rFonts w:hint="eastAsia" w:ascii="宋体" w:hAnsi="宋体" w:eastAsia="宋体" w:cs="宋体"/>
      <w:color w:val="000000"/>
      <w:sz w:val="24"/>
      <w:szCs w:val="24"/>
      <w:u w:val="none"/>
    </w:rPr>
  </w:style>
  <w:style w:type="character" w:customStyle="1" w:styleId="15">
    <w:name w:val="font51"/>
    <w:basedOn w:val="11"/>
    <w:qFormat/>
    <w:uiPriority w:val="0"/>
    <w:rPr>
      <w:rFonts w:hint="eastAsia" w:ascii="仿宋" w:hAnsi="仿宋" w:eastAsia="仿宋" w:cs="仿宋"/>
      <w:color w:val="000000"/>
      <w:sz w:val="24"/>
      <w:szCs w:val="24"/>
      <w:u w:val="none"/>
    </w:rPr>
  </w:style>
  <w:style w:type="paragraph" w:customStyle="1" w:styleId="16">
    <w:name w:val="无间隔1"/>
    <w:qFormat/>
    <w:uiPriority w:val="1"/>
    <w:pPr>
      <w:widowControl w:val="0"/>
      <w:jc w:val="both"/>
    </w:pPr>
    <w:rPr>
      <w:rFonts w:ascii="Calibri" w:hAnsi="Calibri" w:eastAsia="宋体" w:cs="Times New Roman"/>
      <w:kern w:val="2"/>
      <w:sz w:val="21"/>
      <w:szCs w:val="22"/>
      <w:lang w:val="en-US" w:eastAsia="zh-CN" w:bidi="ar-SA"/>
    </w:rPr>
  </w:style>
  <w:style w:type="table" w:customStyle="1" w:styleId="17">
    <w:name w:val="Table Normal"/>
    <w:unhideWhenUsed/>
    <w:qFormat/>
    <w:uiPriority w:val="0"/>
    <w:tblPr>
      <w:tblCellMar>
        <w:top w:w="0" w:type="dxa"/>
        <w:left w:w="0" w:type="dxa"/>
        <w:bottom w:w="0" w:type="dxa"/>
        <w:right w:w="0" w:type="dxa"/>
      </w:tblCellMar>
    </w:tblPr>
  </w:style>
  <w:style w:type="character" w:customStyle="1" w:styleId="18">
    <w:name w:val="font71"/>
    <w:basedOn w:val="11"/>
    <w:qFormat/>
    <w:uiPriority w:val="0"/>
    <w:rPr>
      <w:rFonts w:hint="eastAsia" w:ascii="宋体" w:hAnsi="宋体" w:eastAsia="宋体" w:cs="宋体"/>
      <w:b/>
      <w:bCs/>
      <w:color w:val="000000"/>
      <w:sz w:val="22"/>
      <w:szCs w:val="22"/>
      <w:u w:val="none"/>
    </w:rPr>
  </w:style>
  <w:style w:type="character" w:customStyle="1" w:styleId="19">
    <w:name w:val="font91"/>
    <w:basedOn w:val="11"/>
    <w:qFormat/>
    <w:uiPriority w:val="0"/>
    <w:rPr>
      <w:rFonts w:hint="eastAsia" w:ascii="宋体" w:hAnsi="宋体" w:eastAsia="宋体" w:cs="宋体"/>
      <w:color w:val="000000"/>
      <w:sz w:val="22"/>
      <w:szCs w:val="22"/>
      <w:u w:val="none"/>
    </w:rPr>
  </w:style>
  <w:style w:type="paragraph" w:customStyle="1" w:styleId="20">
    <w:name w:val="_Style 1"/>
    <w:basedOn w:val="1"/>
    <w:qFormat/>
    <w:uiPriority w:val="34"/>
    <w:pPr>
      <w:ind w:firstLine="420" w:firstLineChars="200"/>
    </w:pPr>
  </w:style>
  <w:style w:type="paragraph" w:customStyle="1" w:styleId="21">
    <w:name w:val="Index5"/>
    <w:basedOn w:val="1"/>
    <w:next w:val="1"/>
    <w:qFormat/>
    <w:uiPriority w:val="0"/>
    <w:pPr>
      <w:ind w:left="800" w:leftChars="8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10660</Words>
  <Characters>10793</Characters>
  <Lines>0</Lines>
  <Paragraphs>0</Paragraphs>
  <TotalTime>360</TotalTime>
  <ScaleCrop>false</ScaleCrop>
  <LinksUpToDate>false</LinksUpToDate>
  <CharactersWithSpaces>11019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2023-02-25T05:13:00Z</dcterms:created>
  <dc:creator>雪花飘逸</dc:creator>
  <cp:lastModifiedBy>随风而起</cp:lastModifiedBy>
  <cp:lastPrinted>2023-04-07T10:14:00Z</cp:lastPrinted>
  <dcterms:modified xsi:type="dcterms:W3CDTF">2025-10-10T02:30:28Z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73B6D517F53B4045A3E402A37C7E1A7B</vt:lpwstr>
  </property>
  <property fmtid="{D5CDD505-2E9C-101B-9397-08002B2CF9AE}" pid="4" name="KSOTemplateDocerSaveRecord">
    <vt:lpwstr>eyJoZGlkIjoiMzUyMGJjZGJkYTMxNmM2MGVkODM5NTNmZjk2YzllNDIiLCJ1c2VySWQiOiIyNzg1MzQ3NzgifQ==</vt:lpwstr>
  </property>
</Properties>
</file>