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5C6D"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</w:p>
    <w:p w14:paraId="6760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05F7841">
      <w:pPr>
        <w:spacing w:line="740" w:lineRule="exact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  <w:lang w:eastAsia="zh-CN"/>
        </w:rPr>
        <w:t>2024</w:t>
      </w:r>
      <w:r>
        <w:rPr>
          <w:rFonts w:hint="eastAsia" w:ascii="黑体" w:hAnsi="黑体" w:eastAsia="黑体" w:cs="黑体"/>
          <w:sz w:val="44"/>
        </w:rPr>
        <w:t>年度部门整体支出绩效自评表</w:t>
      </w:r>
    </w:p>
    <w:p w14:paraId="18AA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3"/>
        <w:tblW w:w="10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51"/>
        <w:gridCol w:w="770"/>
        <w:gridCol w:w="1350"/>
        <w:gridCol w:w="253"/>
        <w:gridCol w:w="1487"/>
        <w:gridCol w:w="1635"/>
        <w:gridCol w:w="825"/>
        <w:gridCol w:w="1455"/>
        <w:gridCol w:w="1073"/>
      </w:tblGrid>
      <w:tr w14:paraId="2048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F61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601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绥宁县退役军人事务局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bookmarkEnd w:id="0"/>
          </w:p>
        </w:tc>
      </w:tr>
      <w:tr w14:paraId="61A32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E2F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年度预算申请（万元）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5CD9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E5D5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0C64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全年预算数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EBCF">
            <w:pPr>
              <w:spacing w:line="2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全年执行数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6469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5817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执行率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(B/A)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2F18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 w14:paraId="1B80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C06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411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CD7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3462.98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3E65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4981.17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7E91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4369.44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7C51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C05F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87.72%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EBAE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3BF3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645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44F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8FF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 w14:paraId="45B0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44C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8309">
            <w:pPr>
              <w:widowControl/>
              <w:spacing w:line="220" w:lineRule="exact"/>
              <w:ind w:firstLine="21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4918.55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9406">
            <w:pPr>
              <w:widowControl/>
              <w:spacing w:line="220" w:lineRule="exact"/>
              <w:ind w:firstLine="21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606.43</w:t>
            </w:r>
          </w:p>
        </w:tc>
      </w:tr>
      <w:tr w14:paraId="6113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5A6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044D">
            <w:pPr>
              <w:widowControl/>
              <w:spacing w:line="220" w:lineRule="exact"/>
              <w:ind w:firstLine="84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3D35">
            <w:pPr>
              <w:widowControl/>
              <w:spacing w:line="220" w:lineRule="exact"/>
              <w:ind w:firstLine="84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3763.01</w:t>
            </w:r>
          </w:p>
        </w:tc>
      </w:tr>
      <w:tr w14:paraId="6F91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980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B1EC">
            <w:pPr>
              <w:widowControl/>
              <w:spacing w:line="220" w:lineRule="exact"/>
              <w:ind w:firstLine="84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93A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9A4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FF41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267C">
            <w:pPr>
              <w:widowControl/>
              <w:spacing w:line="220" w:lineRule="exact"/>
              <w:ind w:firstLine="84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62.62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041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E4E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DFF8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E464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年初目标设定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DBB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全年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实际完成情况</w:t>
            </w:r>
          </w:p>
        </w:tc>
      </w:tr>
      <w:tr w14:paraId="77D8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EFB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6FBAF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做好重点优抚对象的服务工作，确保了广大优抚对象的基本生活能得到保障，促进社会安全稳定。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8128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及时足额为抚恤优待对象发放优抚资金2765.1838万元；为832名符合条件的优抚对象办理2024年城乡居民医疗保险，合计参保资金30.5710万元；共组织57名重点优抚对象参加短期疗养活动。实现“四个到位”（服务到位、培训到位、欢迎到位、补助到位）和实施“五个一”工程（组织一次岗位实习活动、规范一套服务流程、举办一期培训活动、举办一场公开选岗会议、办理一次性定岗）做实做细转业军士安置和自主就业退役军人工作。我县2024年第一批转业军士25人，全部在7月份安排到岗，是全市第一个安排县属单位选岗的县；2024年春季退役自主就业31人，秋季退役报到96人，规范化做好报到工作，优质提供落户、档案等服务，并做好培训、学历教育和一卡通收集工作；2023年9月（93人）和2024年春季自主就业退役军人共124人，发放地方一次性经济补助金211.05万元。对接县社保中心，做好自主择业军转干部养老保险代缴工作；自主择业军转干部医疗保险由我局直接缴纳，全年医疗保险缴费16万余元。</w:t>
            </w:r>
          </w:p>
        </w:tc>
      </w:tr>
      <w:tr w14:paraId="3981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952B">
            <w:pPr>
              <w:widowControl/>
              <w:spacing w:line="2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绩效</w:t>
            </w:r>
          </w:p>
          <w:p w14:paraId="60743E73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（90分）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76F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0E0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EC3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4E9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</w:t>
            </w:r>
          </w:p>
          <w:p w14:paraId="5645DF1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E99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973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EFF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F83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偏差原因</w:t>
            </w:r>
          </w:p>
          <w:p w14:paraId="72236AE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分析及</w:t>
            </w:r>
          </w:p>
          <w:p w14:paraId="61E57A9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 w14:paraId="290BD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B52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33C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产出指标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50分）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542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   指标</w:t>
            </w:r>
          </w:p>
          <w:p w14:paraId="35A1C52C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DAD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办理2024年城乡居民医疗保险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2876">
            <w:pPr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800人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4772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832人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E479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0B25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913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D94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646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115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CA7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394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重点优抚对象参加短期疗养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9EFA">
            <w:pPr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D807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57名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D589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C716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313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5664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D12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C94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8F8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3C4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2024年第一批转业军士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到岗人数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91C4">
            <w:pPr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25人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4683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25人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E60F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4864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23A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F82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F18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6B8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C98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200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2024年退役自主就业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74A4">
            <w:pPr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120人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8EB1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127人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597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C8A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A31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5FDA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7835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2515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3814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质量   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672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支出合理合法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EF7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合理合法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2A2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合理合法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661A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0A20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9CA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10F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AF75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A87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86926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A4D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完成时限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432F">
            <w:pPr>
              <w:spacing w:line="24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2024年完成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81A7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2024年全部完成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47F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5FEF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DE8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06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C30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2D3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508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215D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整体支出不超预算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479C">
            <w:pPr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≤4981.17万元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AE4A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4369.44万元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FCE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095B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6F7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B84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4F34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80BF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效益指标（30分）</w:t>
            </w:r>
          </w:p>
          <w:p w14:paraId="47FCD74F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059454A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28CAE39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63E72EE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7DB2BD4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0CBF6226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316599D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60B2D4E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7299FEF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46B8DB21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F6F34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EE7A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发放企业军转干部解困补助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7E341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34万元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5EF038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34万元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E2CB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6F59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7303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546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BE0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7A55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3A5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3236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开展临时困难帮扶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652C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55万元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9260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57.95万元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CAB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91A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3CC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A75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E3F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2244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40B5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2EC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发放地方一次性经济补助金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3F04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200万元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91C0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211.05万元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FA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F96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5E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B39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FE4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3E5D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019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314F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全年医疗保险缴费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D8A4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16万元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F4E1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16万余元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463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F5D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835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0D4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B50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8EAC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D463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D394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环境污染零发生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7C9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零发生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20F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零发生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1B1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3C4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08A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4D3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43A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D1D6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662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  <w:p w14:paraId="270AA50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750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退役军人提供更多就业岗位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44C2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推进退役军人就业及创业发展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1DF9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一是开展贷款支持，二是发挥我县竹资源、竹产业优势，积极探索退役军人创业新路子。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084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9C6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88A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1BA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FB0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D19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满意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指标（10分）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EA4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服务对象满意度指标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1F6A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相关人员满意度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A77">
            <w:pPr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1F6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FF37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A8A3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6B2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D60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693B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E51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0658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FB0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A7DE07B">
      <w:pPr>
        <w:spacing w:line="300" w:lineRule="exact"/>
        <w:jc w:val="center"/>
        <w:rPr>
          <w:rFonts w:hint="eastAsia" w:ascii="仿宋" w:hAnsi="仿宋" w:eastAsia="仿宋" w:cs="仿宋"/>
          <w:sz w:val="44"/>
        </w:rPr>
      </w:pPr>
    </w:p>
    <w:p w14:paraId="54325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240A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60" w:right="0" w:hanging="960" w:hangingChars="400"/>
        <w:jc w:val="both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说明：1.分值设定100分，其中预算执行率10分、产出指标50分、效益指标30分、满意度指标10分。除预算执行率外的指标应根据权重自行合理设定分值。</w:t>
      </w:r>
    </w:p>
    <w:p w14:paraId="4DA37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60" w:right="0" w:hanging="960" w:hangingChars="40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2.综合评价等级分为优秀（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大于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90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）、良好（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80-90分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）、较差（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60-80分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 差（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小于60分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ascii="Calibri" w:hAnsi="Calibri" w:eastAsia="仿宋_GB2312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5B57E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3.三级绩效指标按需自行增减行。个别不涉及的二级指标可删除不要。</w:t>
      </w:r>
    </w:p>
    <w:p w14:paraId="6E476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40104"/>
    <w:rsid w:val="47E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2025-09-29T08:36:00Z</dcterms:created>
  <dc:creator>大伟</dc:creator>
  <cp:lastModifiedBy>大伟</cp:lastModifiedBy>
  <dcterms:modified xsi:type="dcterms:W3CDTF">2025-09-29T08:37:06Z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7DD976236C764054950C2DB91DE3FFF1_11</vt:lpwstr>
  </property>
  <property fmtid="{D5CDD505-2E9C-101B-9397-08002B2CF9AE}" pid="4" name="KSOTemplateDocerSaveRecord">
    <vt:lpwstr>eyJoZGlkIjoiYjM4Y2IzMjJiZjkzZWQ3NjQ5MDA3N2E3ZmI4OTkxZTIiLCJ1c2VySWQiOiIzMjE2ODMyNzUifQ==</vt:lpwstr>
  </property>
</Properties>
</file>