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72C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i w:val="0"/>
          <w:iCs w:val="0"/>
          <w:caps w:val="0"/>
          <w:color w:val="000000"/>
          <w:spacing w:val="0"/>
          <w:sz w:val="44"/>
          <w:szCs w:val="44"/>
          <w:shd w:val="clear" w:fill="FFFFFF"/>
        </w:rPr>
      </w:pPr>
      <w:r>
        <w:rPr>
          <w:rFonts w:hint="eastAsia" w:ascii="黑体" w:hAnsi="黑体" w:eastAsia="黑体" w:cs="黑体"/>
          <w:i w:val="0"/>
          <w:iCs w:val="0"/>
          <w:caps w:val="0"/>
          <w:color w:val="000000"/>
          <w:spacing w:val="0"/>
          <w:sz w:val="44"/>
          <w:szCs w:val="44"/>
          <w:shd w:val="clear" w:fill="FFFFFF"/>
          <w:lang w:val="en-US" w:eastAsia="zh-CN"/>
        </w:rPr>
        <w:t>2023年度</w:t>
      </w:r>
      <w:r>
        <w:rPr>
          <w:rFonts w:hint="eastAsia" w:ascii="黑体" w:hAnsi="黑体" w:eastAsia="黑体" w:cs="黑体"/>
          <w:i w:val="0"/>
          <w:iCs w:val="0"/>
          <w:caps w:val="0"/>
          <w:color w:val="000000"/>
          <w:spacing w:val="0"/>
          <w:sz w:val="44"/>
          <w:szCs w:val="44"/>
          <w:shd w:val="clear" w:fill="FFFFFF"/>
        </w:rPr>
        <w:t>部门整体支出绩效自评报告</w:t>
      </w:r>
    </w:p>
    <w:p w14:paraId="1C717F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楷体" w:hAnsi="楷体" w:eastAsia="楷体" w:cs="楷体"/>
          <w:i w:val="0"/>
          <w:iCs w:val="0"/>
          <w:caps w:val="0"/>
          <w:color w:val="000000"/>
          <w:spacing w:val="0"/>
          <w:sz w:val="32"/>
          <w:szCs w:val="32"/>
          <w:shd w:val="clear" w:fill="FFFFFF"/>
          <w:lang w:eastAsia="zh-CN"/>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绥宁县</w:t>
      </w:r>
      <w:r>
        <w:rPr>
          <w:rFonts w:hint="eastAsia" w:ascii="楷体" w:hAnsi="楷体" w:eastAsia="楷体" w:cs="楷体"/>
          <w:color w:val="000000"/>
          <w:kern w:val="0"/>
          <w:sz w:val="32"/>
          <w:szCs w:val="32"/>
          <w:lang w:val="en-US" w:eastAsia="zh-CN" w:bidi="ar"/>
        </w:rPr>
        <w:t>行政审批服务局</w:t>
      </w:r>
      <w:r>
        <w:rPr>
          <w:rFonts w:hint="eastAsia" w:ascii="楷体" w:hAnsi="楷体" w:eastAsia="楷体" w:cs="楷体"/>
          <w:i w:val="0"/>
          <w:iCs w:val="0"/>
          <w:caps w:val="0"/>
          <w:color w:val="000000"/>
          <w:spacing w:val="0"/>
          <w:sz w:val="32"/>
          <w:szCs w:val="32"/>
          <w:shd w:val="clear" w:fill="FFFFFF"/>
          <w:lang w:eastAsia="zh-CN"/>
        </w:rPr>
        <w:t>）</w:t>
      </w:r>
    </w:p>
    <w:p w14:paraId="57DD0C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黑体" w:hAnsi="黑体" w:eastAsia="黑体" w:cs="黑体"/>
          <w:i w:val="0"/>
          <w:iCs w:val="0"/>
          <w:caps w:val="0"/>
          <w:color w:val="000000"/>
          <w:spacing w:val="0"/>
          <w:sz w:val="44"/>
          <w:szCs w:val="44"/>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2024年</w:t>
      </w:r>
      <w:r>
        <w:rPr>
          <w:rFonts w:hint="eastAsia" w:ascii="楷体" w:hAnsi="楷体" w:eastAsia="楷体" w:cs="楷体"/>
          <w:color w:val="000000"/>
          <w:kern w:val="0"/>
          <w:sz w:val="32"/>
          <w:szCs w:val="32"/>
          <w:lang w:val="en-US" w:eastAsia="zh-CN" w:bidi="ar"/>
        </w:rPr>
        <w:t>2月28日</w:t>
      </w:r>
    </w:p>
    <w:p w14:paraId="3739AE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仿宋" w:hAnsi="仿宋" w:eastAsia="仿宋" w:cs="仿宋"/>
          <w:i w:val="0"/>
          <w:iCs w:val="0"/>
          <w:caps w:val="0"/>
          <w:color w:val="000000"/>
          <w:spacing w:val="0"/>
          <w:sz w:val="44"/>
          <w:szCs w:val="44"/>
        </w:rPr>
      </w:pPr>
    </w:p>
    <w:p w14:paraId="51BFFCF7">
      <w:pPr>
        <w:keepNext w:val="0"/>
        <w:keepLines w:val="0"/>
        <w:widowControl/>
        <w:suppressLineNumbers w:val="0"/>
        <w:ind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color w:val="000000"/>
          <w:kern w:val="0"/>
          <w:sz w:val="32"/>
          <w:szCs w:val="32"/>
          <w:lang w:val="en-US" w:eastAsia="zh-CN" w:bidi="ar"/>
        </w:rPr>
        <w:t>为进一步规范和加强预算资金管理，提高财政资金使用绩效，根据县财政局《关于开展2023年度财政支出</w:t>
      </w:r>
      <w:bookmarkStart w:id="0" w:name="_GoBack"/>
      <w:bookmarkEnd w:id="0"/>
      <w:r>
        <w:rPr>
          <w:rFonts w:hint="eastAsia" w:ascii="仿宋" w:hAnsi="仿宋" w:eastAsia="仿宋" w:cs="仿宋"/>
          <w:color w:val="000000"/>
          <w:kern w:val="0"/>
          <w:sz w:val="32"/>
          <w:szCs w:val="32"/>
          <w:lang w:val="en-US" w:eastAsia="zh-CN" w:bidi="ar"/>
        </w:rPr>
        <w:t>绩效自评工作的通知》（绥财绩〔2024〕1号）相关要求，我部门对部门整体支出情况实施了绩效自评，现将自评情况报告如下：</w:t>
      </w:r>
    </w:p>
    <w:p w14:paraId="6180DD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一、部门基本情况</w:t>
      </w:r>
    </w:p>
    <w:p w14:paraId="781229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部门职能职责</w:t>
      </w:r>
    </w:p>
    <w:p w14:paraId="186B08A6">
      <w:pPr>
        <w:autoSpaceDN w:val="0"/>
        <w:ind w:firstLine="60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color w:val="auto"/>
          <w:sz w:val="30"/>
          <w:szCs w:val="30"/>
        </w:rPr>
        <w:t>绥宁县行政审批服务局成立于2019年3月，主体为原绥宁县人民政府政务服务中心， 2019年8月原绥宁县信息化管理办公室整体并入，整合了原绥宁县人民政府政务服务中心、原绥宁县信息化管理办公室、原绥宁县优化营商环境办公室、原绥宁县审批制度改革办公室的行政职能。（一）指导、协调、推进全县行政审批制度改革工作。（二）牵头负责全县放管服改革工作；优化营商环境；协调、推进、提升行政效能工作。（三）推进、指导、协调、监督全县政务公开（信息公开、办事公开）和政务服务体系建设。（四）统筹协调、规划指导、监督评估全县政府系统电子政务工作；统筹推进、监督协调“互联网+政务服务”工作；统筹规划、监督考核全县政府系统网站。（五）对全县政府服务热线进行指导和监管，负责县本级12345政府服务热线、县长信箱的管理工作。（六）负责指导乡（镇）政务（便民）服务中心、村（居委会）便民中心（站）建设、运行管理工作</w:t>
      </w:r>
      <w:r>
        <w:rPr>
          <w:rFonts w:hint="eastAsia" w:ascii="仿宋" w:hAnsi="仿宋" w:eastAsia="仿宋" w:cs="仿宋"/>
          <w:color w:val="auto"/>
          <w:sz w:val="30"/>
          <w:szCs w:val="30"/>
          <w:lang w:val="en-US" w:eastAsia="zh-CN"/>
        </w:rPr>
        <w:t>。</w:t>
      </w:r>
    </w:p>
    <w:p w14:paraId="7C5DA8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机构设置情况</w:t>
      </w:r>
    </w:p>
    <w:p w14:paraId="1A66CF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2023年末，我部门内设股室3个，所属事业单位1个。</w:t>
      </w:r>
    </w:p>
    <w:p w14:paraId="6AF15F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内设股室分别是：</w:t>
      </w:r>
      <w:r>
        <w:rPr>
          <w:rFonts w:hint="eastAsia" w:ascii="仿宋" w:hAnsi="仿宋" w:eastAsia="仿宋" w:cs="仿宋"/>
          <w:color w:val="auto"/>
          <w:sz w:val="30"/>
          <w:szCs w:val="30"/>
        </w:rPr>
        <w:t>办公室、业务指导股、行政效能股</w:t>
      </w:r>
      <w:r>
        <w:rPr>
          <w:rFonts w:hint="eastAsia" w:ascii="仿宋_GB2312" w:hAnsi="仿宋_GB2312" w:eastAsia="仿宋_GB2312" w:cs="仿宋_GB2312"/>
          <w:color w:val="000000"/>
          <w:kern w:val="0"/>
          <w:sz w:val="31"/>
          <w:szCs w:val="31"/>
          <w:lang w:val="en-US" w:eastAsia="zh-CN" w:bidi="ar"/>
        </w:rPr>
        <w:t>。</w:t>
      </w:r>
    </w:p>
    <w:p w14:paraId="7D8225A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641" w:right="0" w:firstLine="0"/>
        <w:textAlignment w:val="auto"/>
        <w:rPr>
          <w:rFonts w:hint="eastAsia" w:ascii="仿宋_GB2312" w:hAnsi="仿宋_GB2312" w:eastAsia="仿宋_GB2312" w:cs="仿宋_GB2312"/>
          <w:color w:val="000000"/>
          <w:kern w:val="0"/>
          <w:sz w:val="31"/>
          <w:szCs w:val="31"/>
          <w:lang w:val="en-US" w:eastAsia="zh-CN" w:bidi="ar"/>
        </w:rPr>
      </w:pPr>
      <w:r>
        <w:rPr>
          <w:rFonts w:hint="eastAsia" w:ascii="仿宋" w:hAnsi="仿宋" w:eastAsia="仿宋" w:cs="仿宋"/>
          <w:b w:val="0"/>
          <w:bCs w:val="0"/>
          <w:i w:val="0"/>
          <w:iCs w:val="0"/>
          <w:caps w:val="0"/>
          <w:color w:val="000000"/>
          <w:spacing w:val="0"/>
          <w:sz w:val="32"/>
          <w:szCs w:val="32"/>
          <w:shd w:val="clear" w:fill="FFFFFF"/>
          <w:lang w:val="en-US" w:eastAsia="zh-CN"/>
        </w:rPr>
        <w:t>所属事业单位分别是：</w:t>
      </w:r>
      <w:r>
        <w:rPr>
          <w:rFonts w:hint="eastAsia" w:ascii="仿宋" w:hAnsi="仿宋" w:eastAsia="仿宋" w:cs="仿宋"/>
          <w:color w:val="auto"/>
          <w:sz w:val="30"/>
          <w:szCs w:val="30"/>
        </w:rPr>
        <w:t>绥宁县政务服务中心</w:t>
      </w:r>
      <w:r>
        <w:rPr>
          <w:rFonts w:hint="eastAsia" w:ascii="仿宋_GB2312" w:hAnsi="仿宋_GB2312" w:eastAsia="仿宋_GB2312" w:cs="仿宋_GB2312"/>
          <w:color w:val="000000"/>
          <w:kern w:val="0"/>
          <w:sz w:val="31"/>
          <w:szCs w:val="31"/>
          <w:lang w:val="en-US" w:eastAsia="zh-CN" w:bidi="ar"/>
        </w:rPr>
        <w:t>。</w:t>
      </w:r>
    </w:p>
    <w:p w14:paraId="72AC82D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641" w:right="0" w:firstLine="0"/>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（三）</w:t>
      </w:r>
      <w:r>
        <w:rPr>
          <w:rFonts w:hint="eastAsia" w:ascii="楷体" w:hAnsi="楷体" w:eastAsia="楷体" w:cs="楷体"/>
          <w:b/>
          <w:bCs/>
          <w:i w:val="0"/>
          <w:iCs w:val="0"/>
          <w:caps w:val="0"/>
          <w:color w:val="000000"/>
          <w:spacing w:val="0"/>
          <w:sz w:val="32"/>
          <w:szCs w:val="32"/>
          <w:shd w:val="clear" w:fill="FFFFFF"/>
          <w:lang w:val="en-US" w:eastAsia="zh-CN"/>
        </w:rPr>
        <w:t>人员编制情况</w:t>
      </w:r>
    </w:p>
    <w:p w14:paraId="5B60BD6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640" w:firstLineChars="200"/>
        <w:jc w:val="left"/>
        <w:textAlignment w:val="auto"/>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t>202</w:t>
      </w:r>
      <w:r>
        <w:rPr>
          <w:rFonts w:hint="eastAsia" w:ascii="仿宋" w:hAnsi="仿宋" w:eastAsia="仿宋" w:cs="仿宋"/>
          <w:b w:val="0"/>
          <w:bCs w:val="0"/>
          <w:i w:val="0"/>
          <w:iCs w:val="0"/>
          <w:caps w:val="0"/>
          <w:color w:val="000000"/>
          <w:spacing w:val="0"/>
          <w:sz w:val="32"/>
          <w:szCs w:val="32"/>
          <w:shd w:val="clear" w:fill="FFFFFF"/>
          <w:lang w:val="en-US" w:eastAsia="zh-CN"/>
        </w:rPr>
        <w:t>3</w:t>
      </w:r>
      <w:r>
        <w:rPr>
          <w:rFonts w:hint="default" w:ascii="仿宋" w:hAnsi="仿宋" w:eastAsia="仿宋" w:cs="仿宋"/>
          <w:b w:val="0"/>
          <w:bCs w:val="0"/>
          <w:i w:val="0"/>
          <w:iCs w:val="0"/>
          <w:caps w:val="0"/>
          <w:color w:val="000000"/>
          <w:spacing w:val="0"/>
          <w:sz w:val="32"/>
          <w:szCs w:val="32"/>
          <w:shd w:val="clear" w:fill="FFFFFF"/>
          <w:lang w:val="en-US" w:eastAsia="zh-CN"/>
        </w:rPr>
        <w:t>年末，我</w:t>
      </w:r>
      <w:r>
        <w:rPr>
          <w:rFonts w:hint="eastAsia" w:ascii="仿宋" w:hAnsi="仿宋" w:eastAsia="仿宋" w:cs="仿宋"/>
          <w:b w:val="0"/>
          <w:bCs w:val="0"/>
          <w:i w:val="0"/>
          <w:iCs w:val="0"/>
          <w:caps w:val="0"/>
          <w:color w:val="000000"/>
          <w:spacing w:val="0"/>
          <w:sz w:val="32"/>
          <w:szCs w:val="32"/>
          <w:shd w:val="clear" w:fill="FFFFFF"/>
          <w:lang w:val="en-US" w:eastAsia="zh-CN"/>
        </w:rPr>
        <w:t>部门</w:t>
      </w:r>
      <w:r>
        <w:rPr>
          <w:rFonts w:hint="default" w:ascii="仿宋" w:hAnsi="仿宋" w:eastAsia="仿宋" w:cs="仿宋"/>
          <w:b w:val="0"/>
          <w:bCs w:val="0"/>
          <w:i w:val="0"/>
          <w:iCs w:val="0"/>
          <w:caps w:val="0"/>
          <w:color w:val="000000"/>
          <w:spacing w:val="0"/>
          <w:sz w:val="32"/>
          <w:szCs w:val="32"/>
          <w:shd w:val="clear" w:fill="FFFFFF"/>
          <w:lang w:val="en-US" w:eastAsia="zh-CN"/>
        </w:rPr>
        <w:t>共有编制</w:t>
      </w:r>
      <w:r>
        <w:rPr>
          <w:rFonts w:hint="eastAsia" w:ascii="仿宋" w:hAnsi="仿宋" w:eastAsia="仿宋" w:cs="仿宋"/>
          <w:b w:val="0"/>
          <w:bCs w:val="0"/>
          <w:i w:val="0"/>
          <w:iCs w:val="0"/>
          <w:caps w:val="0"/>
          <w:color w:val="000000"/>
          <w:spacing w:val="0"/>
          <w:sz w:val="32"/>
          <w:szCs w:val="32"/>
          <w:shd w:val="clear" w:fill="FFFFFF"/>
          <w:lang w:val="en-US" w:eastAsia="zh-CN"/>
        </w:rPr>
        <w:t>16</w:t>
      </w:r>
      <w:r>
        <w:rPr>
          <w:rFonts w:hint="default" w:ascii="仿宋" w:hAnsi="仿宋" w:eastAsia="仿宋" w:cs="仿宋"/>
          <w:b w:val="0"/>
          <w:bCs w:val="0"/>
          <w:i w:val="0"/>
          <w:iCs w:val="0"/>
          <w:caps w:val="0"/>
          <w:color w:val="000000"/>
          <w:spacing w:val="0"/>
          <w:sz w:val="32"/>
          <w:szCs w:val="32"/>
          <w:shd w:val="clear" w:fill="FFFFFF"/>
          <w:lang w:val="en-US" w:eastAsia="zh-CN"/>
        </w:rPr>
        <w:t>人，其中行政编制</w:t>
      </w:r>
      <w:r>
        <w:rPr>
          <w:rFonts w:hint="eastAsia" w:ascii="仿宋" w:hAnsi="仿宋" w:eastAsia="仿宋" w:cs="仿宋"/>
          <w:b w:val="0"/>
          <w:bCs w:val="0"/>
          <w:i w:val="0"/>
          <w:iCs w:val="0"/>
          <w:caps w:val="0"/>
          <w:color w:val="000000"/>
          <w:spacing w:val="0"/>
          <w:sz w:val="32"/>
          <w:szCs w:val="32"/>
          <w:shd w:val="clear" w:fill="FFFFFF"/>
          <w:lang w:val="en-US" w:eastAsia="zh-CN"/>
        </w:rPr>
        <w:t>6</w:t>
      </w:r>
      <w:r>
        <w:rPr>
          <w:rFonts w:hint="default" w:ascii="仿宋" w:hAnsi="仿宋" w:eastAsia="仿宋" w:cs="仿宋"/>
          <w:b w:val="0"/>
          <w:bCs w:val="0"/>
          <w:i w:val="0"/>
          <w:iCs w:val="0"/>
          <w:caps w:val="0"/>
          <w:color w:val="000000"/>
          <w:spacing w:val="0"/>
          <w:sz w:val="32"/>
          <w:szCs w:val="32"/>
          <w:shd w:val="clear" w:fill="FFFFFF"/>
          <w:lang w:val="en-US" w:eastAsia="zh-CN"/>
        </w:rPr>
        <w:t>人，事业编制</w:t>
      </w:r>
      <w:r>
        <w:rPr>
          <w:rFonts w:hint="eastAsia" w:ascii="仿宋" w:hAnsi="仿宋" w:eastAsia="仿宋" w:cs="仿宋"/>
          <w:b w:val="0"/>
          <w:bCs w:val="0"/>
          <w:i w:val="0"/>
          <w:iCs w:val="0"/>
          <w:caps w:val="0"/>
          <w:color w:val="000000"/>
          <w:spacing w:val="0"/>
          <w:sz w:val="32"/>
          <w:szCs w:val="32"/>
          <w:shd w:val="clear" w:fill="FFFFFF"/>
          <w:lang w:val="en-US" w:eastAsia="zh-CN"/>
        </w:rPr>
        <w:t>10</w:t>
      </w:r>
      <w:r>
        <w:rPr>
          <w:rFonts w:hint="default" w:ascii="仿宋" w:hAnsi="仿宋" w:eastAsia="仿宋" w:cs="仿宋"/>
          <w:b w:val="0"/>
          <w:bCs w:val="0"/>
          <w:i w:val="0"/>
          <w:iCs w:val="0"/>
          <w:caps w:val="0"/>
          <w:color w:val="000000"/>
          <w:spacing w:val="0"/>
          <w:sz w:val="32"/>
          <w:szCs w:val="32"/>
          <w:shd w:val="clear" w:fill="FFFFFF"/>
          <w:lang w:val="en-US" w:eastAsia="zh-CN"/>
        </w:rPr>
        <w:t>。年末实有在职人员</w:t>
      </w:r>
      <w:r>
        <w:rPr>
          <w:rFonts w:hint="eastAsia" w:ascii="仿宋" w:hAnsi="仿宋" w:eastAsia="仿宋" w:cs="仿宋"/>
          <w:b w:val="0"/>
          <w:bCs w:val="0"/>
          <w:i w:val="0"/>
          <w:iCs w:val="0"/>
          <w:caps w:val="0"/>
          <w:color w:val="000000"/>
          <w:spacing w:val="0"/>
          <w:sz w:val="32"/>
          <w:szCs w:val="32"/>
          <w:shd w:val="clear" w:fill="FFFFFF"/>
          <w:lang w:val="en-US" w:eastAsia="zh-CN"/>
        </w:rPr>
        <w:t>15</w:t>
      </w:r>
      <w:r>
        <w:rPr>
          <w:rFonts w:hint="default" w:ascii="仿宋" w:hAnsi="仿宋" w:eastAsia="仿宋" w:cs="仿宋"/>
          <w:b w:val="0"/>
          <w:bCs w:val="0"/>
          <w:i w:val="0"/>
          <w:iCs w:val="0"/>
          <w:caps w:val="0"/>
          <w:color w:val="000000"/>
          <w:spacing w:val="0"/>
          <w:sz w:val="32"/>
          <w:szCs w:val="32"/>
          <w:shd w:val="clear" w:fill="FFFFFF"/>
          <w:lang w:val="en-US" w:eastAsia="zh-CN"/>
        </w:rPr>
        <w:t>人，</w:t>
      </w:r>
      <w:r>
        <w:rPr>
          <w:rFonts w:hint="eastAsia" w:ascii="仿宋" w:hAnsi="仿宋" w:eastAsia="仿宋" w:cs="仿宋"/>
          <w:b w:val="0"/>
          <w:bCs w:val="0"/>
          <w:i w:val="0"/>
          <w:iCs w:val="0"/>
          <w:caps w:val="0"/>
          <w:color w:val="000000"/>
          <w:spacing w:val="0"/>
          <w:sz w:val="32"/>
          <w:szCs w:val="32"/>
          <w:shd w:val="clear" w:fill="FFFFFF"/>
          <w:lang w:val="en-US" w:eastAsia="zh-CN"/>
        </w:rPr>
        <w:t>退休人员2</w:t>
      </w:r>
      <w:r>
        <w:rPr>
          <w:rFonts w:hint="default" w:ascii="仿宋" w:hAnsi="仿宋" w:eastAsia="仿宋" w:cs="仿宋"/>
          <w:b w:val="0"/>
          <w:bCs w:val="0"/>
          <w:i w:val="0"/>
          <w:iCs w:val="0"/>
          <w:caps w:val="0"/>
          <w:color w:val="000000"/>
          <w:spacing w:val="0"/>
          <w:sz w:val="32"/>
          <w:szCs w:val="32"/>
          <w:shd w:val="clear" w:fill="FFFFFF"/>
          <w:lang w:val="en-US" w:eastAsia="zh-CN"/>
        </w:rPr>
        <w:t>人</w:t>
      </w:r>
      <w:r>
        <w:rPr>
          <w:rFonts w:hint="eastAsia" w:ascii="仿宋" w:hAnsi="仿宋" w:eastAsia="仿宋" w:cs="仿宋"/>
          <w:b w:val="0"/>
          <w:bCs w:val="0"/>
          <w:i w:val="0"/>
          <w:iCs w:val="0"/>
          <w:caps w:val="0"/>
          <w:color w:val="000000"/>
          <w:spacing w:val="0"/>
          <w:sz w:val="32"/>
          <w:szCs w:val="32"/>
          <w:shd w:val="clear" w:fill="FFFFFF"/>
          <w:lang w:val="en-US" w:eastAsia="zh-CN"/>
        </w:rPr>
        <w:t>，</w:t>
      </w:r>
      <w:r>
        <w:rPr>
          <w:rFonts w:hint="default" w:ascii="仿宋" w:hAnsi="仿宋" w:eastAsia="仿宋" w:cs="仿宋"/>
          <w:b w:val="0"/>
          <w:bCs w:val="0"/>
          <w:i w:val="0"/>
          <w:iCs w:val="0"/>
          <w:caps w:val="0"/>
          <w:color w:val="000000"/>
          <w:spacing w:val="0"/>
          <w:sz w:val="32"/>
          <w:szCs w:val="32"/>
          <w:shd w:val="clear" w:fill="FFFFFF"/>
          <w:lang w:val="en-US" w:eastAsia="zh-CN"/>
        </w:rPr>
        <w:t>离休人员</w:t>
      </w:r>
      <w:r>
        <w:rPr>
          <w:rFonts w:hint="eastAsia" w:ascii="仿宋" w:hAnsi="仿宋" w:eastAsia="仿宋" w:cs="仿宋"/>
          <w:b w:val="0"/>
          <w:bCs w:val="0"/>
          <w:i w:val="0"/>
          <w:iCs w:val="0"/>
          <w:caps w:val="0"/>
          <w:color w:val="000000"/>
          <w:spacing w:val="0"/>
          <w:sz w:val="32"/>
          <w:szCs w:val="32"/>
          <w:shd w:val="clear" w:fill="FFFFFF"/>
          <w:lang w:val="en-US" w:eastAsia="zh-CN"/>
        </w:rPr>
        <w:t>0</w:t>
      </w:r>
      <w:r>
        <w:rPr>
          <w:rFonts w:hint="default" w:ascii="仿宋" w:hAnsi="仿宋" w:eastAsia="仿宋" w:cs="仿宋"/>
          <w:b w:val="0"/>
          <w:bCs w:val="0"/>
          <w:i w:val="0"/>
          <w:iCs w:val="0"/>
          <w:caps w:val="0"/>
          <w:color w:val="000000"/>
          <w:spacing w:val="0"/>
          <w:sz w:val="32"/>
          <w:szCs w:val="32"/>
          <w:shd w:val="clear" w:fill="FFFFFF"/>
          <w:lang w:val="en-US" w:eastAsia="zh-CN"/>
        </w:rPr>
        <w:t>人。</w:t>
      </w:r>
    </w:p>
    <w:p w14:paraId="6E5540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二、一般公共预算支出情况</w:t>
      </w:r>
    </w:p>
    <w:p w14:paraId="0C3063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基本支出情况</w:t>
      </w:r>
    </w:p>
    <w:p w14:paraId="46A5F64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default" w:ascii="Times New Roman" w:hAnsi="Times New Roman" w:eastAsia="仿宋_GB2312" w:cs="Times New Roman"/>
          <w:color w:val="0C0C0C"/>
          <w:sz w:val="32"/>
          <w:szCs w:val="32"/>
          <w:lang w:val="en-US" w:eastAsia="zh-CN"/>
        </w:rPr>
      </w:pPr>
      <w:r>
        <w:rPr>
          <w:rFonts w:hint="default" w:ascii="Times New Roman" w:hAnsi="Times New Roman" w:eastAsia="仿宋_GB2312" w:cs="Times New Roman"/>
          <w:color w:val="0C0C0C"/>
          <w:sz w:val="32"/>
          <w:szCs w:val="32"/>
        </w:rPr>
        <w:t>20</w:t>
      </w:r>
      <w:r>
        <w:rPr>
          <w:rFonts w:hint="eastAsia" w:eastAsia="仿宋_GB2312" w:cs="Times New Roman"/>
          <w:color w:val="0C0C0C"/>
          <w:sz w:val="32"/>
          <w:szCs w:val="32"/>
          <w:lang w:val="en-US" w:eastAsia="zh-CN"/>
        </w:rPr>
        <w:t>23</w:t>
      </w:r>
      <w:r>
        <w:rPr>
          <w:rFonts w:hint="default" w:ascii="Times New Roman" w:hAnsi="Times New Roman" w:eastAsia="仿宋_GB2312" w:cs="Times New Roman"/>
          <w:color w:val="0C0C0C"/>
          <w:sz w:val="32"/>
          <w:szCs w:val="32"/>
        </w:rPr>
        <w:t>年基本支出共计</w:t>
      </w:r>
      <w:r>
        <w:rPr>
          <w:rFonts w:hint="eastAsia" w:ascii="仿宋_GB2312" w:hAnsi="仿宋_GB2312" w:eastAsia="仿宋_GB2312" w:cs="仿宋_GB2312"/>
          <w:color w:val="000000"/>
          <w:kern w:val="0"/>
          <w:sz w:val="31"/>
          <w:szCs w:val="31"/>
          <w:lang w:val="en-US" w:eastAsia="zh-CN" w:bidi="ar"/>
        </w:rPr>
        <w:t>585.63</w:t>
      </w:r>
      <w:r>
        <w:rPr>
          <w:rFonts w:hint="default" w:ascii="Times New Roman" w:hAnsi="Times New Roman" w:eastAsia="仿宋_GB2312" w:cs="Times New Roman"/>
          <w:color w:val="0C0C0C"/>
          <w:sz w:val="32"/>
          <w:szCs w:val="32"/>
        </w:rPr>
        <w:t>万元</w:t>
      </w:r>
      <w:r>
        <w:rPr>
          <w:rFonts w:hint="eastAsia" w:eastAsia="仿宋_GB2312" w:cs="Times New Roman"/>
          <w:color w:val="0C0C0C"/>
          <w:sz w:val="32"/>
          <w:szCs w:val="32"/>
          <w:lang w:eastAsia="zh-CN"/>
        </w:rPr>
        <w:t>，</w:t>
      </w:r>
      <w:r>
        <w:rPr>
          <w:rFonts w:hint="eastAsia" w:eastAsia="仿宋_GB2312" w:cs="Times New Roman"/>
          <w:color w:val="0C0C0C"/>
          <w:sz w:val="32"/>
          <w:szCs w:val="32"/>
          <w:lang w:val="en-US" w:eastAsia="zh-CN"/>
        </w:rPr>
        <w:t>其中</w:t>
      </w:r>
      <w:r>
        <w:rPr>
          <w:rFonts w:hint="default" w:ascii="Times New Roman" w:hAnsi="Times New Roman" w:eastAsia="仿宋_GB2312" w:cs="Times New Roman"/>
          <w:color w:val="0C0C0C"/>
          <w:sz w:val="32"/>
          <w:szCs w:val="32"/>
          <w:lang w:val="en-US" w:eastAsia="zh-CN"/>
        </w:rPr>
        <w:t>人员经费</w:t>
      </w:r>
      <w:r>
        <w:rPr>
          <w:rFonts w:hint="eastAsia" w:eastAsia="仿宋_GB2312" w:cs="Times New Roman"/>
          <w:color w:val="0C0C0C"/>
          <w:sz w:val="32"/>
          <w:szCs w:val="32"/>
          <w:lang w:val="en-US" w:eastAsia="zh-CN"/>
        </w:rPr>
        <w:t>180.47</w:t>
      </w:r>
      <w:r>
        <w:rPr>
          <w:rFonts w:hint="default" w:ascii="Times New Roman" w:hAnsi="Times New Roman" w:eastAsia="仿宋_GB2312" w:cs="Times New Roman"/>
          <w:color w:val="0C0C0C"/>
          <w:sz w:val="32"/>
          <w:szCs w:val="32"/>
          <w:lang w:val="en-US" w:eastAsia="zh-CN"/>
        </w:rPr>
        <w:t>万元</w:t>
      </w:r>
      <w:r>
        <w:rPr>
          <w:rFonts w:hint="eastAsia" w:ascii="Times New Roman" w:hAnsi="Times New Roman" w:eastAsia="仿宋_GB2312" w:cs="Times New Roman"/>
          <w:color w:val="0C0C0C"/>
          <w:sz w:val="32"/>
          <w:szCs w:val="32"/>
          <w:lang w:val="en-US" w:eastAsia="zh-CN"/>
        </w:rPr>
        <w:t>，</w:t>
      </w:r>
      <w:r>
        <w:rPr>
          <w:rFonts w:hint="eastAsia" w:eastAsia="仿宋_GB2312" w:cs="Times New Roman"/>
          <w:color w:val="0C0C0C"/>
          <w:sz w:val="32"/>
          <w:szCs w:val="32"/>
          <w:lang w:val="en-US" w:eastAsia="zh-CN"/>
        </w:rPr>
        <w:t>公用</w:t>
      </w:r>
      <w:r>
        <w:rPr>
          <w:rFonts w:hint="default" w:ascii="Times New Roman" w:hAnsi="Times New Roman" w:eastAsia="仿宋_GB2312" w:cs="Times New Roman"/>
          <w:color w:val="0C0C0C"/>
          <w:sz w:val="32"/>
          <w:szCs w:val="32"/>
          <w:lang w:val="en-US" w:eastAsia="zh-CN"/>
        </w:rPr>
        <w:t>经费</w:t>
      </w:r>
      <w:r>
        <w:rPr>
          <w:rFonts w:hint="eastAsia" w:eastAsia="仿宋_GB2312" w:cs="Times New Roman"/>
          <w:color w:val="0C0C0C"/>
          <w:sz w:val="32"/>
          <w:szCs w:val="32"/>
          <w:lang w:val="en-US" w:eastAsia="zh-CN"/>
        </w:rPr>
        <w:t>405.16</w:t>
      </w:r>
      <w:r>
        <w:rPr>
          <w:rFonts w:hint="default" w:ascii="Times New Roman" w:hAnsi="Times New Roman" w:eastAsia="仿宋_GB2312" w:cs="Times New Roman"/>
          <w:color w:val="0C0C0C"/>
          <w:sz w:val="32"/>
          <w:szCs w:val="32"/>
          <w:lang w:val="en-US" w:eastAsia="zh-CN"/>
        </w:rPr>
        <w:t>万元</w:t>
      </w:r>
      <w:r>
        <w:rPr>
          <w:rFonts w:hint="eastAsia" w:ascii="Times New Roman" w:hAnsi="Times New Roman" w:eastAsia="仿宋_GB2312" w:cs="Times New Roman"/>
          <w:color w:val="0C0C0C"/>
          <w:sz w:val="32"/>
          <w:szCs w:val="32"/>
          <w:lang w:val="en-US" w:eastAsia="zh-CN"/>
        </w:rPr>
        <w:t>。</w:t>
      </w:r>
    </w:p>
    <w:p w14:paraId="243012D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Times New Roman" w:hAnsi="Times New Roman" w:eastAsia="仿宋_GB2312" w:cs="Times New Roman"/>
          <w:color w:val="0C0C0C"/>
          <w:sz w:val="32"/>
          <w:szCs w:val="32"/>
        </w:rPr>
      </w:pPr>
      <w:r>
        <w:rPr>
          <w:rFonts w:hint="eastAsia" w:ascii="仿宋" w:hAnsi="仿宋" w:eastAsia="仿宋" w:cs="仿宋"/>
          <w:b/>
          <w:bCs/>
          <w:color w:val="0C0C0C"/>
          <w:sz w:val="32"/>
          <w:szCs w:val="32"/>
          <w:lang w:val="en-US" w:eastAsia="zh-CN"/>
        </w:rPr>
        <w:t>1.人员经费180.47万元。</w:t>
      </w:r>
      <w:r>
        <w:rPr>
          <w:rFonts w:hint="default" w:ascii="Times New Roman" w:hAnsi="Times New Roman" w:eastAsia="仿宋_GB2312" w:cs="Times New Roman"/>
          <w:color w:val="0C0C0C"/>
          <w:sz w:val="32"/>
          <w:szCs w:val="32"/>
        </w:rPr>
        <w:t>主要用于在职人员工资津补贴、奖金、离休费、社保缴费、住房公积金缴费、老干医疗费、抚恤金等。人员经费支出严格按照相关政策和标准列支。</w:t>
      </w:r>
    </w:p>
    <w:p w14:paraId="3F397D8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Times New Roman" w:hAnsi="Times New Roman" w:eastAsia="仿宋_GB2312" w:cs="Times New Roman"/>
          <w:color w:val="0C0C0C"/>
          <w:sz w:val="32"/>
          <w:szCs w:val="32"/>
        </w:rPr>
      </w:pPr>
      <w:r>
        <w:rPr>
          <w:rFonts w:hint="default" w:ascii="仿宋" w:hAnsi="仿宋" w:eastAsia="仿宋" w:cs="仿宋"/>
          <w:b/>
          <w:bCs/>
          <w:color w:val="0C0C0C"/>
          <w:sz w:val="32"/>
          <w:szCs w:val="32"/>
          <w:lang w:val="en-US" w:eastAsia="zh-CN"/>
        </w:rPr>
        <w:t>2</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公用经费</w:t>
      </w:r>
      <w:r>
        <w:rPr>
          <w:rFonts w:hint="eastAsia" w:ascii="仿宋" w:hAnsi="仿宋" w:eastAsia="仿宋" w:cs="仿宋"/>
          <w:b/>
          <w:bCs/>
          <w:color w:val="0C0C0C"/>
          <w:sz w:val="32"/>
          <w:szCs w:val="32"/>
          <w:lang w:val="en-US" w:eastAsia="zh-CN"/>
        </w:rPr>
        <w:t>405.16</w:t>
      </w:r>
      <w:r>
        <w:rPr>
          <w:rFonts w:hint="default" w:ascii="仿宋" w:hAnsi="仿宋" w:eastAsia="仿宋" w:cs="仿宋"/>
          <w:b/>
          <w:bCs/>
          <w:color w:val="0C0C0C"/>
          <w:sz w:val="32"/>
          <w:szCs w:val="32"/>
          <w:lang w:val="en-US" w:eastAsia="zh-CN"/>
        </w:rPr>
        <w:t>万元。</w:t>
      </w:r>
      <w:r>
        <w:rPr>
          <w:rFonts w:hint="default" w:ascii="Times New Roman" w:hAnsi="Times New Roman" w:eastAsia="仿宋_GB2312" w:cs="Times New Roman"/>
          <w:color w:val="0C0C0C"/>
          <w:sz w:val="32"/>
          <w:szCs w:val="32"/>
        </w:rPr>
        <w:t>主要用于为保障基本运行而发生的办公费、印刷费、邮电费、水费、电费、物业管理费、取暖费、维修费、差旅费等。公用经费支出严格执行部门预算，厉行节约，控制运行成本。</w:t>
      </w:r>
    </w:p>
    <w:p w14:paraId="7816E5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both"/>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项目支出情况</w:t>
      </w:r>
    </w:p>
    <w:p w14:paraId="3475530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202</w:t>
      </w:r>
      <w:r>
        <w:rPr>
          <w:rFonts w:hint="eastAsia" w:ascii="仿宋" w:hAnsi="仿宋" w:eastAsia="仿宋" w:cs="仿宋"/>
          <w:color w:val="0C0C0C"/>
          <w:sz w:val="32"/>
          <w:szCs w:val="32"/>
          <w:lang w:val="en-US" w:eastAsia="zh-CN"/>
        </w:rPr>
        <w:t>3</w:t>
      </w:r>
      <w:r>
        <w:rPr>
          <w:rFonts w:hint="eastAsia" w:ascii="仿宋" w:hAnsi="仿宋" w:eastAsia="仿宋" w:cs="仿宋"/>
          <w:color w:val="0C0C0C"/>
          <w:sz w:val="32"/>
          <w:szCs w:val="32"/>
        </w:rPr>
        <w:t>年项目支出共计</w:t>
      </w:r>
      <w:r>
        <w:rPr>
          <w:rFonts w:hint="eastAsia" w:ascii="仿宋" w:hAnsi="仿宋" w:eastAsia="仿宋" w:cs="仿宋"/>
          <w:color w:val="000000"/>
          <w:kern w:val="0"/>
          <w:sz w:val="32"/>
          <w:szCs w:val="32"/>
          <w:lang w:val="en-US" w:eastAsia="zh-CN" w:bidi="ar"/>
        </w:rPr>
        <w:t>333.61</w:t>
      </w:r>
      <w:r>
        <w:rPr>
          <w:rFonts w:hint="eastAsia" w:ascii="仿宋" w:hAnsi="仿宋" w:eastAsia="仿宋" w:cs="仿宋"/>
          <w:color w:val="0C0C0C"/>
          <w:sz w:val="32"/>
          <w:szCs w:val="32"/>
        </w:rPr>
        <w:t>万元，其中业务工作经费</w:t>
      </w:r>
      <w:r>
        <w:rPr>
          <w:rFonts w:hint="eastAsia" w:ascii="仿宋" w:hAnsi="仿宋" w:eastAsia="仿宋" w:cs="仿宋"/>
          <w:color w:val="000000"/>
          <w:kern w:val="0"/>
          <w:sz w:val="32"/>
          <w:szCs w:val="32"/>
          <w:lang w:val="en-US" w:eastAsia="zh-CN" w:bidi="ar"/>
        </w:rPr>
        <w:t>333.61</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运行维护</w:t>
      </w:r>
      <w:r>
        <w:rPr>
          <w:rFonts w:hint="eastAsia" w:ascii="仿宋" w:hAnsi="仿宋" w:eastAsia="仿宋" w:cs="仿宋"/>
          <w:color w:val="0C0C0C"/>
          <w:sz w:val="32"/>
          <w:szCs w:val="32"/>
        </w:rPr>
        <w:t>经费</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专项资金</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C0C0C"/>
          <w:sz w:val="32"/>
          <w:szCs w:val="32"/>
        </w:rPr>
        <w:t>万元。</w:t>
      </w:r>
    </w:p>
    <w:p w14:paraId="027D50B8">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eastAsia" w:ascii="仿宋" w:hAnsi="仿宋" w:eastAsia="仿宋" w:cs="仿宋"/>
          <w:b/>
          <w:bCs/>
          <w:color w:val="0C0C0C"/>
          <w:sz w:val="32"/>
          <w:szCs w:val="32"/>
          <w:lang w:val="en-US" w:eastAsia="zh-CN"/>
        </w:rPr>
      </w:pPr>
      <w:r>
        <w:rPr>
          <w:rFonts w:hint="default" w:ascii="仿宋" w:hAnsi="仿宋" w:eastAsia="仿宋" w:cs="仿宋"/>
          <w:b/>
          <w:bCs/>
          <w:color w:val="0C0C0C"/>
          <w:sz w:val="32"/>
          <w:szCs w:val="32"/>
          <w:lang w:val="en-US" w:eastAsia="zh-CN"/>
        </w:rPr>
        <w:t>业务工作经费</w:t>
      </w:r>
      <w:r>
        <w:rPr>
          <w:rFonts w:hint="eastAsia" w:ascii="仿宋" w:hAnsi="仿宋" w:eastAsia="仿宋" w:cs="仿宋"/>
          <w:b/>
          <w:bCs/>
          <w:color w:val="0C0C0C"/>
          <w:sz w:val="32"/>
          <w:szCs w:val="32"/>
          <w:lang w:val="en-US" w:eastAsia="zh-CN"/>
        </w:rPr>
        <w:t>333.61</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。主要用于新政务大厅搬迁工程款。</w:t>
      </w:r>
    </w:p>
    <w:p w14:paraId="4FEEF258">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left="0" w:leftChars="0" w:firstLine="643" w:firstLineChars="200"/>
        <w:jc w:val="both"/>
        <w:textAlignment w:val="auto"/>
        <w:outlineLvl w:val="9"/>
        <w:rPr>
          <w:rFonts w:hint="eastAsia" w:ascii="仿宋" w:hAnsi="仿宋" w:eastAsia="仿宋" w:cs="仿宋"/>
          <w:b/>
          <w:bCs/>
          <w:color w:val="0C0C0C"/>
          <w:sz w:val="32"/>
          <w:szCs w:val="32"/>
          <w:lang w:val="en-US" w:eastAsia="zh-CN"/>
        </w:rPr>
      </w:pPr>
      <w:r>
        <w:rPr>
          <w:rFonts w:hint="eastAsia" w:ascii="仿宋" w:hAnsi="仿宋" w:eastAsia="仿宋" w:cs="仿宋"/>
          <w:b/>
          <w:bCs/>
          <w:color w:val="0C0C0C"/>
          <w:sz w:val="32"/>
          <w:szCs w:val="32"/>
          <w:lang w:val="en-US" w:eastAsia="zh-CN"/>
        </w:rPr>
        <w:t>运行维护</w:t>
      </w:r>
      <w:r>
        <w:rPr>
          <w:rFonts w:hint="default" w:ascii="仿宋" w:hAnsi="仿宋" w:eastAsia="仿宋" w:cs="仿宋"/>
          <w:b/>
          <w:bCs/>
          <w:color w:val="0C0C0C"/>
          <w:sz w:val="32"/>
          <w:szCs w:val="32"/>
          <w:lang w:val="en-US" w:eastAsia="zh-CN"/>
        </w:rPr>
        <w:t>经费</w:t>
      </w:r>
      <w:r>
        <w:rPr>
          <w:rFonts w:hint="eastAsia" w:ascii="仿宋" w:hAnsi="仿宋" w:eastAsia="仿宋" w:cs="仿宋"/>
          <w:b/>
          <w:bCs/>
          <w:color w:val="0C0C0C"/>
          <w:sz w:val="32"/>
          <w:szCs w:val="32"/>
          <w:lang w:val="en-US" w:eastAsia="zh-CN"/>
        </w:rPr>
        <w:t>0</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p>
    <w:p w14:paraId="0B532CEE">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left="0" w:leftChars="0" w:firstLine="643" w:firstLineChars="200"/>
        <w:jc w:val="both"/>
        <w:textAlignment w:val="auto"/>
        <w:outlineLvl w:val="9"/>
        <w:rPr>
          <w:rFonts w:hint="eastAsia" w:ascii="仿宋" w:hAnsi="仿宋" w:eastAsia="仿宋" w:cs="仿宋"/>
          <w:color w:val="0C0C0C"/>
          <w:sz w:val="32"/>
          <w:szCs w:val="32"/>
          <w:lang w:val="en-US" w:eastAsia="zh-CN"/>
        </w:rPr>
      </w:pPr>
      <w:r>
        <w:rPr>
          <w:rFonts w:hint="eastAsia" w:ascii="仿宋" w:hAnsi="仿宋" w:eastAsia="仿宋" w:cs="仿宋"/>
          <w:b/>
          <w:bCs/>
          <w:color w:val="0C0C0C"/>
          <w:sz w:val="32"/>
          <w:szCs w:val="32"/>
          <w:lang w:val="en-US" w:eastAsia="zh-CN"/>
        </w:rPr>
        <w:t>上级专项资金0</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p>
    <w:p w14:paraId="72BA36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三、政府性基金预算支出情况</w:t>
      </w:r>
    </w:p>
    <w:p w14:paraId="6D8877E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color w:val="0C0C0C"/>
          <w:sz w:val="32"/>
          <w:szCs w:val="32"/>
          <w:lang w:val="en-US" w:eastAsia="zh-CN"/>
        </w:rPr>
        <w:t>2023年度政府性基金预算支出19.49万元。</w:t>
      </w:r>
    </w:p>
    <w:p w14:paraId="344FAAF7">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14:paraId="0722F0C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仿宋" w:hAnsi="仿宋" w:eastAsia="仿宋" w:cs="仿宋"/>
          <w:color w:val="0C0C0C"/>
          <w:sz w:val="32"/>
          <w:szCs w:val="32"/>
          <w:lang w:val="en-US" w:eastAsia="zh-CN"/>
        </w:rPr>
      </w:pPr>
      <w:r>
        <w:rPr>
          <w:rFonts w:hint="eastAsia" w:ascii="仿宋" w:hAnsi="仿宋" w:eastAsia="仿宋" w:cs="仿宋"/>
          <w:color w:val="0C0C0C"/>
          <w:sz w:val="32"/>
          <w:szCs w:val="32"/>
          <w:lang w:val="en-US" w:eastAsia="zh-CN"/>
        </w:rPr>
        <w:t>2023</w:t>
      </w:r>
      <w:r>
        <w:rPr>
          <w:rFonts w:hint="default" w:ascii="仿宋" w:hAnsi="仿宋" w:eastAsia="仿宋" w:cs="仿宋"/>
          <w:color w:val="0C0C0C"/>
          <w:sz w:val="32"/>
          <w:szCs w:val="32"/>
          <w:lang w:val="en-US" w:eastAsia="zh-CN"/>
        </w:rPr>
        <w:t>年度无国有资本经营预算支出。</w:t>
      </w:r>
    </w:p>
    <w:p w14:paraId="7B798423">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leftChars="0" w:right="0" w:firstLine="0" w:firstLineChars="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14:paraId="38CCB1E8">
      <w:pPr>
        <w:keepNext w:val="0"/>
        <w:keepLines w:val="0"/>
        <w:widowControl/>
        <w:suppressLineNumbers w:val="0"/>
        <w:ind w:firstLine="640" w:firstLineChars="200"/>
        <w:jc w:val="left"/>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color w:val="0C0C0C"/>
          <w:sz w:val="32"/>
          <w:szCs w:val="32"/>
          <w:lang w:val="en-US" w:eastAsia="zh-CN"/>
        </w:rPr>
        <w:t>2023</w:t>
      </w:r>
      <w:r>
        <w:rPr>
          <w:rFonts w:hint="default" w:ascii="仿宋" w:hAnsi="仿宋" w:eastAsia="仿宋" w:cs="仿宋"/>
          <w:color w:val="0C0C0C"/>
          <w:sz w:val="32"/>
          <w:szCs w:val="32"/>
          <w:lang w:val="en-US" w:eastAsia="zh-CN"/>
        </w:rPr>
        <w:t>年度无社会保险基金预算支出。</w:t>
      </w:r>
    </w:p>
    <w:p w14:paraId="1FF2B2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六、部门整体支出绩效情况</w:t>
      </w:r>
    </w:p>
    <w:p w14:paraId="1B6232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both"/>
        <w:rPr>
          <w:rFonts w:hint="eastAsia" w:ascii="仿宋" w:hAnsi="仿宋" w:eastAsia="仿宋" w:cs="仿宋"/>
          <w:color w:val="0C0C0C"/>
          <w:kern w:val="2"/>
          <w:sz w:val="32"/>
          <w:szCs w:val="32"/>
          <w:lang w:val="en-US" w:eastAsia="zh-CN" w:bidi="ar-SA"/>
        </w:rPr>
      </w:pPr>
      <w:r>
        <w:rPr>
          <w:rFonts w:hint="eastAsia" w:ascii="仿宋" w:hAnsi="仿宋" w:eastAsia="仿宋" w:cs="仿宋"/>
          <w:color w:val="0C0C0C"/>
          <w:sz w:val="32"/>
          <w:szCs w:val="32"/>
        </w:rPr>
        <w:t>202</w:t>
      </w:r>
      <w:r>
        <w:rPr>
          <w:rFonts w:hint="eastAsia" w:ascii="仿宋" w:hAnsi="仿宋" w:eastAsia="仿宋" w:cs="仿宋"/>
          <w:color w:val="0C0C0C"/>
          <w:sz w:val="32"/>
          <w:szCs w:val="32"/>
          <w:lang w:val="en-US" w:eastAsia="zh-CN"/>
        </w:rPr>
        <w:t>3</w:t>
      </w:r>
      <w:r>
        <w:rPr>
          <w:rFonts w:hint="eastAsia" w:ascii="仿宋" w:hAnsi="仿宋" w:eastAsia="仿宋" w:cs="仿宋"/>
          <w:color w:val="0C0C0C"/>
          <w:sz w:val="32"/>
          <w:szCs w:val="32"/>
        </w:rPr>
        <w:t>年</w:t>
      </w:r>
      <w:r>
        <w:rPr>
          <w:rFonts w:hint="eastAsia" w:ascii="仿宋" w:hAnsi="仿宋" w:eastAsia="仿宋" w:cs="仿宋"/>
          <w:color w:val="0C0C0C"/>
          <w:kern w:val="2"/>
          <w:sz w:val="32"/>
          <w:szCs w:val="32"/>
          <w:lang w:val="en-US" w:eastAsia="zh-CN" w:bidi="ar-SA"/>
        </w:rPr>
        <w:t>，在县委、县政府的领导下，坚持依法行政、执法为民，稳中求进，改革创新，积极作为，突出抓改革强监管促发展，各方面工作稳步推进。根据部门整体支出绩效自评评分（详见附件2），得分</w:t>
      </w:r>
      <w:r>
        <w:rPr>
          <w:rFonts w:hint="eastAsia" w:ascii="仿宋" w:hAnsi="仿宋" w:eastAsia="仿宋" w:cs="仿宋"/>
          <w:color w:val="0C0C0C"/>
          <w:sz w:val="32"/>
          <w:szCs w:val="32"/>
          <w:lang w:val="en-US" w:eastAsia="zh-CN"/>
        </w:rPr>
        <w:t>99</w:t>
      </w:r>
      <w:r>
        <w:rPr>
          <w:rFonts w:hint="eastAsia" w:ascii="仿宋" w:hAnsi="仿宋" w:eastAsia="仿宋" w:cs="仿宋"/>
          <w:color w:val="0C0C0C"/>
          <w:kern w:val="2"/>
          <w:sz w:val="32"/>
          <w:szCs w:val="32"/>
          <w:lang w:val="en-US" w:eastAsia="zh-CN" w:bidi="ar-SA"/>
        </w:rPr>
        <w:t>分，部门整体支出绩效为“优秀”。主要绩效如下：</w:t>
      </w:r>
    </w:p>
    <w:p w14:paraId="58A91A3B">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eastAsia="仿宋" w:cs="仿宋"/>
          <w:sz w:val="32"/>
          <w:szCs w:val="32"/>
          <w:lang w:val="en-US" w:eastAsia="zh-CN"/>
        </w:rPr>
      </w:pPr>
      <w:r>
        <w:rPr>
          <w:rFonts w:hint="eastAsia" w:ascii="楷体" w:hAnsi="楷体" w:eastAsia="楷体" w:cs="楷体"/>
          <w:b/>
          <w:bCs/>
          <w:i w:val="0"/>
          <w:iCs w:val="0"/>
          <w:caps w:val="0"/>
          <w:color w:val="000000"/>
          <w:spacing w:val="0"/>
          <w:sz w:val="32"/>
          <w:szCs w:val="32"/>
          <w:shd w:val="clear" w:fill="FFFFFF"/>
          <w:lang w:val="en-US" w:eastAsia="zh-CN"/>
        </w:rPr>
        <w:t>（一）成绩一。</w:t>
      </w:r>
      <w:r>
        <w:rPr>
          <w:rFonts w:hint="eastAsia" w:ascii="仿宋" w:hAnsi="仿宋" w:eastAsia="仿宋" w:cs="仿宋"/>
          <w:color w:val="auto"/>
          <w:sz w:val="32"/>
          <w:szCs w:val="32"/>
          <w:lang w:val="en-US" w:eastAsia="zh-CN"/>
        </w:rPr>
        <w:t>大力推进简政放权、行政审批制度改革等工作，“放管服”改革取得较好成效。</w:t>
      </w:r>
      <w:r>
        <w:rPr>
          <w:rFonts w:hint="eastAsia" w:ascii="Times New Roman" w:hAnsi="Times New Roman" w:eastAsia="仿宋" w:cs="仿宋"/>
          <w:sz w:val="32"/>
          <w:szCs w:val="32"/>
          <w:lang w:val="en-US" w:eastAsia="zh-CN"/>
        </w:rPr>
        <w:t>一是</w:t>
      </w:r>
      <w:r>
        <w:rPr>
          <w:rFonts w:hint="eastAsia" w:eastAsia="仿宋" w:cs="仿宋"/>
          <w:sz w:val="32"/>
          <w:szCs w:val="32"/>
          <w:lang w:val="en-US" w:eastAsia="zh-CN"/>
        </w:rPr>
        <w:t>扎实推进简政放权，</w:t>
      </w:r>
      <w:r>
        <w:rPr>
          <w:rFonts w:hint="eastAsia" w:ascii="Times New Roman" w:hAnsi="Times New Roman" w:eastAsia="仿宋" w:cs="仿宋"/>
          <w:sz w:val="32"/>
          <w:szCs w:val="32"/>
          <w:lang w:val="en-US" w:eastAsia="zh-CN"/>
        </w:rPr>
        <w:t>在继续抓好乡镇赋权的基础上大力推进园区赋权，对园区赋权落实情况进行专题调研，组织相关部门多次召开园区赋权工作专题推进会，</w:t>
      </w:r>
      <w:r>
        <w:rPr>
          <w:rFonts w:hint="eastAsia" w:ascii="Times New Roman" w:hAnsi="Times New Roman" w:eastAsia="仿宋" w:cs="仿宋"/>
          <w:sz w:val="32"/>
          <w:szCs w:val="32"/>
          <w:lang w:val="en" w:eastAsia="zh-CN"/>
        </w:rPr>
        <w:t>按照确保赋权事项“放得下、接得住、管得好”“成熟一项、赋权一项”的原则，</w:t>
      </w:r>
      <w:r>
        <w:rPr>
          <w:rFonts w:hint="eastAsia" w:ascii="Times New Roman" w:hAnsi="Times New Roman" w:eastAsia="仿宋" w:cs="仿宋"/>
          <w:sz w:val="32"/>
          <w:szCs w:val="32"/>
          <w:lang w:val="en-US" w:eastAsia="zh-CN"/>
        </w:rPr>
        <w:t>5月8日印发《绥宁县人民政府政府办公室关于印发&lt;绥宁产业开发区赋权工作方案&gt;</w:t>
      </w:r>
      <w:r>
        <w:rPr>
          <w:rFonts w:hint="eastAsia" w:ascii="Times New Roman" w:hAnsi="Times New Roman" w:eastAsia="仿宋" w:cs="仿宋"/>
          <w:sz w:val="32"/>
          <w:szCs w:val="32"/>
          <w:lang w:val="en" w:eastAsia="zh-CN"/>
        </w:rPr>
        <w:t>的</w:t>
      </w:r>
      <w:r>
        <w:rPr>
          <w:rFonts w:hint="eastAsia" w:ascii="Times New Roman" w:hAnsi="Times New Roman" w:eastAsia="仿宋" w:cs="仿宋"/>
          <w:sz w:val="32"/>
          <w:szCs w:val="32"/>
          <w:lang w:val="en-US" w:eastAsia="zh-CN"/>
        </w:rPr>
        <w:t>通知</w:t>
      </w:r>
      <w:r>
        <w:rPr>
          <w:rFonts w:hint="eastAsia" w:ascii="Times New Roman" w:hAnsi="Times New Roman" w:eastAsia="仿宋" w:cs="仿宋"/>
          <w:sz w:val="32"/>
          <w:szCs w:val="32"/>
          <w:lang w:val="en" w:eastAsia="zh-CN"/>
        </w:rPr>
        <w:t>》</w:t>
      </w:r>
      <w:r>
        <w:rPr>
          <w:rFonts w:hint="eastAsia" w:ascii="Times New Roman" w:hAnsi="Times New Roman" w:eastAsia="仿宋" w:cs="仿宋"/>
          <w:sz w:val="32"/>
          <w:szCs w:val="32"/>
          <w:lang w:val="en-US" w:eastAsia="zh-CN"/>
        </w:rPr>
        <w:t>（绥政办发[2023]11号）,调整赋权方式，</w:t>
      </w:r>
      <w:r>
        <w:rPr>
          <w:rFonts w:hint="eastAsia" w:ascii="Times New Roman" w:hAnsi="Times New Roman" w:eastAsia="仿宋" w:cs="仿宋"/>
          <w:sz w:val="32"/>
          <w:szCs w:val="32"/>
          <w:lang w:val="en" w:eastAsia="zh-CN"/>
        </w:rPr>
        <w:t>向产业开发区赋权158项（直接赋权</w:t>
      </w:r>
      <w:r>
        <w:rPr>
          <w:rFonts w:hint="eastAsia" w:ascii="Times New Roman" w:hAnsi="Times New Roman" w:eastAsia="仿宋" w:cs="仿宋"/>
          <w:sz w:val="32"/>
          <w:szCs w:val="32"/>
          <w:lang w:val="en-US" w:eastAsia="zh-CN"/>
        </w:rPr>
        <w:t>3项</w:t>
      </w:r>
      <w:r>
        <w:rPr>
          <w:rFonts w:hint="eastAsia" w:ascii="Times New Roman" w:hAnsi="Times New Roman" w:eastAsia="仿宋" w:cs="仿宋"/>
          <w:sz w:val="32"/>
          <w:szCs w:val="32"/>
          <w:lang w:val="en" w:eastAsia="zh-CN"/>
        </w:rPr>
        <w:t>、委托行使</w:t>
      </w:r>
      <w:r>
        <w:rPr>
          <w:rFonts w:hint="eastAsia" w:ascii="Times New Roman" w:hAnsi="Times New Roman" w:eastAsia="仿宋" w:cs="仿宋"/>
          <w:sz w:val="32"/>
          <w:szCs w:val="32"/>
          <w:lang w:val="en-US" w:eastAsia="zh-CN"/>
        </w:rPr>
        <w:t>10项</w:t>
      </w:r>
      <w:r>
        <w:rPr>
          <w:rFonts w:hint="eastAsia" w:ascii="Times New Roman" w:hAnsi="Times New Roman" w:eastAsia="仿宋" w:cs="仿宋"/>
          <w:sz w:val="32"/>
          <w:szCs w:val="32"/>
          <w:lang w:val="en" w:eastAsia="zh-CN"/>
        </w:rPr>
        <w:t>、服务前移</w:t>
      </w:r>
      <w:r>
        <w:rPr>
          <w:rFonts w:hint="eastAsia" w:ascii="Times New Roman" w:hAnsi="Times New Roman" w:eastAsia="仿宋" w:cs="仿宋"/>
          <w:sz w:val="32"/>
          <w:szCs w:val="32"/>
          <w:lang w:val="en-US" w:eastAsia="zh-CN"/>
        </w:rPr>
        <w:t>134项</w:t>
      </w:r>
      <w:r>
        <w:rPr>
          <w:rFonts w:hint="eastAsia" w:ascii="Times New Roman" w:hAnsi="Times New Roman" w:eastAsia="仿宋" w:cs="仿宋"/>
          <w:sz w:val="32"/>
          <w:szCs w:val="32"/>
          <w:lang w:val="en" w:eastAsia="zh-CN"/>
        </w:rPr>
        <w:t>和审批直报</w:t>
      </w:r>
      <w:r>
        <w:rPr>
          <w:rFonts w:hint="eastAsia" w:ascii="Times New Roman" w:hAnsi="Times New Roman" w:eastAsia="仿宋" w:cs="仿宋"/>
          <w:sz w:val="32"/>
          <w:szCs w:val="32"/>
          <w:lang w:val="en-US" w:eastAsia="zh-CN"/>
        </w:rPr>
        <w:t>11项</w:t>
      </w:r>
      <w:r>
        <w:rPr>
          <w:rFonts w:hint="eastAsia" w:ascii="Times New Roman" w:hAnsi="Times New Roman" w:eastAsia="仿宋" w:cs="仿宋"/>
          <w:sz w:val="32"/>
          <w:szCs w:val="32"/>
          <w:lang w:val="en" w:eastAsia="zh-CN"/>
        </w:rPr>
        <w:t>）。</w:t>
      </w:r>
      <w:r>
        <w:rPr>
          <w:rFonts w:hint="eastAsia" w:ascii="Times New Roman" w:hAnsi="Times New Roman" w:eastAsia="仿宋" w:cs="仿宋"/>
          <w:sz w:val="32"/>
          <w:szCs w:val="32"/>
          <w:lang w:val="en-US" w:eastAsia="zh-CN"/>
        </w:rPr>
        <w:t>在县政务服务中心设立“园区事园区办”综合服务窗口，园区根据审批权限委派工作人员集中办理，实现园区事项专窗、专人办理，大大提高了办事效率。二是联合县委编办、县司法局和</w:t>
      </w:r>
      <w:r>
        <w:rPr>
          <w:rFonts w:hint="eastAsia" w:ascii="Times New Roman" w:hAnsi="Times New Roman" w:eastAsia="仿宋" w:cs="仿宋"/>
          <w:sz w:val="32"/>
          <w:szCs w:val="32"/>
          <w:lang w:val="en" w:eastAsia="zh-CN"/>
        </w:rPr>
        <w:t>绥宁县消防救援大队，</w:t>
      </w:r>
      <w:r>
        <w:rPr>
          <w:rFonts w:hint="eastAsia" w:ascii="Times New Roman" w:hAnsi="Times New Roman" w:eastAsia="仿宋" w:cs="仿宋"/>
          <w:sz w:val="32"/>
          <w:szCs w:val="32"/>
          <w:lang w:val="en-US" w:eastAsia="zh-CN"/>
        </w:rPr>
        <w:t>做好居民自建房消防安全管理有关行政许可和行政处罚权限委托下放有关事项，确定了《绥宁县消防救援大队赋予乡镇人民政府自建房消防安全管理权限指导目录》，通过委托执法和授权下放的方式，将</w:t>
      </w:r>
      <w:r>
        <w:rPr>
          <w:rFonts w:hint="eastAsia" w:ascii="Times New Roman" w:hAnsi="Times New Roman" w:eastAsia="仿宋" w:cs="仿宋"/>
          <w:sz w:val="32"/>
          <w:szCs w:val="32"/>
        </w:rPr>
        <w:t>29项</w:t>
      </w:r>
      <w:r>
        <w:rPr>
          <w:rFonts w:hint="eastAsia" w:ascii="Times New Roman" w:hAnsi="Times New Roman" w:eastAsia="仿宋" w:cs="仿宋"/>
          <w:sz w:val="32"/>
          <w:szCs w:val="32"/>
          <w:lang w:val="en-US" w:eastAsia="zh-CN"/>
        </w:rPr>
        <w:t>包括消防监督检查权、行政处罚权和行政许可权下放给17个乡镇人民政府行使，以切实预防减少居民自建房火灾发生。二是认真开展生态环境保护权力清单管理、放权赋能等情况调查。3月份，根据省市要求组织相关部门对县、乡两级生态环境保护权力清单管理、放权赋能等情况进行调查摸底，经过认真梳理、汇总，我县直接或者间接涉及生态环保领域的依职权类事项4类共316项，其中行政处罚223项、行政强制26项、行政征收4项、行政检查63项，乡镇有行政检查事项2项。三是全力落实行政许可事项清单调整和填报。根据省、市要求，扎实</w:t>
      </w:r>
      <w:r>
        <w:rPr>
          <w:rFonts w:hint="eastAsia" w:ascii="Times New Roman" w:hAnsi="Times New Roman" w:eastAsia="仿宋" w:cs="仿宋"/>
          <w:sz w:val="32"/>
          <w:szCs w:val="32"/>
          <w:lang w:val="en-US" w:eastAsia="zh-Hans"/>
        </w:rPr>
        <w:t>做好</w:t>
      </w:r>
      <w:r>
        <w:rPr>
          <w:rFonts w:hint="eastAsia" w:ascii="Times New Roman" w:hAnsi="Times New Roman" w:eastAsia="仿宋" w:cs="仿宋"/>
          <w:sz w:val="32"/>
          <w:szCs w:val="32"/>
          <w:lang w:val="en-US" w:eastAsia="zh-CN"/>
        </w:rPr>
        <w:t>我县</w:t>
      </w:r>
      <w:r>
        <w:rPr>
          <w:rFonts w:hint="eastAsia" w:ascii="Times New Roman" w:hAnsi="Times New Roman" w:eastAsia="仿宋" w:cs="仿宋"/>
          <w:sz w:val="32"/>
          <w:szCs w:val="32"/>
          <w:lang w:val="en-US" w:eastAsia="zh-Hans"/>
        </w:rPr>
        <w:t>行政许可事项清单</w:t>
      </w:r>
      <w:r>
        <w:rPr>
          <w:rFonts w:hint="eastAsia" w:ascii="Times New Roman" w:hAnsi="Times New Roman" w:eastAsia="仿宋" w:cs="仿宋"/>
          <w:sz w:val="32"/>
          <w:szCs w:val="32"/>
          <w:lang w:val="en-US" w:eastAsia="zh-CN"/>
        </w:rPr>
        <w:t>调整、</w:t>
      </w:r>
      <w:r>
        <w:rPr>
          <w:rFonts w:hint="eastAsia" w:ascii="Times New Roman" w:hAnsi="Times New Roman" w:eastAsia="仿宋" w:cs="仿宋"/>
          <w:sz w:val="32"/>
          <w:szCs w:val="32"/>
          <w:lang w:val="en-US" w:eastAsia="zh-Hans"/>
        </w:rPr>
        <w:t>编制</w:t>
      </w:r>
      <w:r>
        <w:rPr>
          <w:rFonts w:hint="eastAsia" w:ascii="Times New Roman" w:hAnsi="Times New Roman" w:eastAsia="仿宋" w:cs="仿宋"/>
          <w:sz w:val="32"/>
          <w:szCs w:val="32"/>
          <w:lang w:val="en-US" w:eastAsia="zh-CN"/>
        </w:rPr>
        <w:t>和公布</w:t>
      </w:r>
      <w:r>
        <w:rPr>
          <w:rFonts w:hint="eastAsia" w:ascii="Times New Roman" w:hAnsi="Times New Roman" w:eastAsia="仿宋" w:cs="仿宋"/>
          <w:sz w:val="32"/>
          <w:szCs w:val="32"/>
          <w:lang w:val="en-US" w:eastAsia="zh-Hans"/>
        </w:rPr>
        <w:t>工作，</w:t>
      </w:r>
      <w:r>
        <w:rPr>
          <w:rFonts w:hint="eastAsia" w:ascii="Times New Roman" w:hAnsi="Times New Roman" w:eastAsia="仿宋" w:cs="仿宋"/>
          <w:sz w:val="32"/>
          <w:szCs w:val="32"/>
          <w:lang w:val="en-US" w:eastAsia="zh-CN"/>
        </w:rPr>
        <w:t>经过各部门的共同努力，全县共梳理出257项行政许可事项（其中包括251项法律、行政法规、国务院决定设定由绥宁县实施的行政许可事项，6项地方性法规设定的行政许可事项）。2023年8月份印发《绥宁县人民政府办公室关于印发&lt;绥宁县行政许可事项清单（2023年版）&gt;的通知》（绥政办发〔2023〕20号），并公开发布。10月在湖南省“互联网+政务服务”一体化平台行政许可管理系统（简称“许可管理系统”）完成</w:t>
      </w:r>
      <w:r>
        <w:rPr>
          <w:rFonts w:hint="eastAsia" w:ascii="Times New Roman" w:hAnsi="Times New Roman" w:eastAsia="仿宋" w:cs="仿宋"/>
          <w:sz w:val="32"/>
          <w:szCs w:val="32"/>
        </w:rPr>
        <w:t>行政许可事项</w:t>
      </w:r>
      <w:r>
        <w:rPr>
          <w:rFonts w:hint="eastAsia" w:ascii="Times New Roman" w:hAnsi="Times New Roman" w:eastAsia="仿宋" w:cs="仿宋"/>
          <w:sz w:val="32"/>
          <w:szCs w:val="32"/>
          <w:lang w:eastAsia="zh-CN"/>
        </w:rPr>
        <w:t>的</w:t>
      </w:r>
      <w:r>
        <w:rPr>
          <w:rFonts w:hint="eastAsia" w:ascii="Times New Roman" w:hAnsi="Times New Roman" w:eastAsia="仿宋" w:cs="仿宋"/>
          <w:sz w:val="32"/>
          <w:szCs w:val="32"/>
          <w:lang w:val="en-US" w:eastAsia="zh-CN"/>
        </w:rPr>
        <w:t>引用和填报，</w:t>
      </w:r>
      <w:r>
        <w:rPr>
          <w:rFonts w:hint="eastAsia" w:ascii="Times New Roman" w:hAnsi="Times New Roman" w:eastAsia="仿宋" w:cs="仿宋"/>
          <w:sz w:val="32"/>
          <w:szCs w:val="32"/>
        </w:rPr>
        <w:t>实施规范和办事指南</w:t>
      </w:r>
      <w:r>
        <w:rPr>
          <w:rFonts w:hint="eastAsia" w:ascii="Times New Roman" w:hAnsi="Times New Roman" w:eastAsia="仿宋" w:cs="仿宋"/>
          <w:sz w:val="32"/>
          <w:szCs w:val="32"/>
          <w:lang w:val="en-US" w:eastAsia="zh-CN"/>
        </w:rPr>
        <w:t>填报率和发布率均100%。</w:t>
      </w:r>
    </w:p>
    <w:p w14:paraId="16A7D7DC">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 w:cs="仿宋"/>
          <w:sz w:val="32"/>
          <w:szCs w:val="32"/>
          <w:lang w:val="en-US" w:eastAsia="zh-CN"/>
        </w:rPr>
      </w:pPr>
      <w:r>
        <w:rPr>
          <w:rFonts w:hint="eastAsia" w:ascii="楷体" w:hAnsi="楷体" w:eastAsia="楷体" w:cs="楷体"/>
          <w:b/>
          <w:bCs/>
          <w:i w:val="0"/>
          <w:iCs w:val="0"/>
          <w:caps w:val="0"/>
          <w:color w:val="000000"/>
          <w:spacing w:val="0"/>
          <w:kern w:val="2"/>
          <w:sz w:val="32"/>
          <w:szCs w:val="32"/>
          <w:shd w:val="clear" w:fill="FFFFFF"/>
          <w:lang w:val="en-US" w:eastAsia="zh-CN" w:bidi="ar-SA"/>
        </w:rPr>
        <w:t>（二）成绩二。</w:t>
      </w:r>
      <w:r>
        <w:rPr>
          <w:rFonts w:hint="eastAsia" w:ascii="仿宋" w:hAnsi="仿宋" w:eastAsia="仿宋" w:cs="仿宋"/>
          <w:color w:val="auto"/>
          <w:sz w:val="32"/>
          <w:szCs w:val="32"/>
        </w:rPr>
        <w:t>全力推进“</w:t>
      </w:r>
      <w:r>
        <w:rPr>
          <w:rFonts w:hint="eastAsia" w:ascii="仿宋" w:hAnsi="仿宋" w:eastAsia="仿宋" w:cs="仿宋"/>
          <w:color w:val="auto"/>
          <w:sz w:val="32"/>
          <w:szCs w:val="32"/>
          <w:lang w:val="en-US" w:eastAsia="zh-CN"/>
        </w:rPr>
        <w:t>一件事一次办</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升级版改革工作</w:t>
      </w:r>
      <w:r>
        <w:rPr>
          <w:rFonts w:hint="eastAsia" w:ascii="仿宋" w:hAnsi="仿宋" w:eastAsia="仿宋" w:cs="仿宋"/>
          <w:color w:val="auto"/>
          <w:sz w:val="32"/>
          <w:szCs w:val="32"/>
        </w:rPr>
        <w:t>。一是</w:t>
      </w:r>
      <w:r>
        <w:rPr>
          <w:rFonts w:hint="eastAsia" w:ascii="仿宋" w:hAnsi="仿宋" w:eastAsia="仿宋" w:cs="仿宋"/>
          <w:color w:val="auto"/>
          <w:sz w:val="32"/>
          <w:szCs w:val="32"/>
          <w:lang w:val="en-US" w:eastAsia="zh-CN"/>
        </w:rPr>
        <w:t>高位推动，加强专题部署力度</w:t>
      </w:r>
      <w:r>
        <w:rPr>
          <w:rFonts w:hint="eastAsia" w:ascii="仿宋" w:hAnsi="仿宋" w:eastAsia="仿宋" w:cs="仿宋"/>
          <w:color w:val="auto"/>
          <w:sz w:val="32"/>
          <w:szCs w:val="32"/>
        </w:rPr>
        <w:t>。</w:t>
      </w:r>
      <w:r>
        <w:rPr>
          <w:rFonts w:hint="eastAsia" w:ascii="Times New Roman" w:hAnsi="Times New Roman" w:eastAsia="仿宋" w:cs="仿宋"/>
          <w:sz w:val="32"/>
          <w:szCs w:val="32"/>
          <w:lang w:val="en-US" w:eastAsia="zh-CN"/>
        </w:rPr>
        <w:t>4月23日召开了绥宁县“一件事一次办”升级版工作协调会，对“一件事一次办”升级版工作落地实施的时间节点、目标任务及责任分工做了具体的部署安排，成立了绥宁县推进“一件事一次办”升级版工作领导小组，出台了《绥宁县深化“一网通办”打造“一件事一次办”升级版攻坚落实方案》；7月18日召开了绥宁县持续打造“一件事一次办”升级版工作推进会，对该项工作进行再部署、再推进、再安；9月8日，召开“一件事一次办”升级版“婚育、服务特殊群体、身后”联席会议；10月21日，召开一件事一次办升级版商讨会，优化社会保险、退休一件事等办事流程。下发了《绥宁县“社会保险一件事一办”攻坚实施方案》、《绥宁县“退休一件事一次办”攻坚实施方案》、《绥宁县公民婚育“一件事一次办”改革实施方案》、《绥宁县新生儿出生“一件事一次办”革实施方案》。</w:t>
      </w:r>
      <w:r>
        <w:rPr>
          <w:rFonts w:hint="eastAsia" w:ascii="仿宋" w:hAnsi="仿宋" w:eastAsia="仿宋" w:cs="仿宋"/>
          <w:color w:val="auto"/>
          <w:sz w:val="32"/>
          <w:szCs w:val="32"/>
        </w:rPr>
        <w:t>二是</w:t>
      </w:r>
      <w:r>
        <w:rPr>
          <w:rFonts w:hint="eastAsia" w:ascii="仿宋" w:hAnsi="仿宋" w:eastAsia="仿宋" w:cs="仿宋"/>
          <w:color w:val="auto"/>
          <w:sz w:val="32"/>
          <w:szCs w:val="32"/>
          <w:lang w:val="en-US" w:eastAsia="zh-CN"/>
        </w:rPr>
        <w:t>精心编制办事指南</w:t>
      </w:r>
      <w:r>
        <w:rPr>
          <w:rFonts w:hint="eastAsia" w:ascii="仿宋" w:hAnsi="仿宋" w:eastAsia="仿宋" w:cs="仿宋"/>
          <w:color w:val="auto"/>
          <w:sz w:val="32"/>
          <w:szCs w:val="32"/>
        </w:rPr>
        <w:t>，</w:t>
      </w:r>
      <w:r>
        <w:rPr>
          <w:rFonts w:hint="eastAsia" w:ascii="Times New Roman" w:hAnsi="Times New Roman" w:eastAsia="仿宋" w:cs="仿宋"/>
          <w:sz w:val="32"/>
          <w:szCs w:val="32"/>
          <w:lang w:val="en-US" w:eastAsia="zh-CN"/>
        </w:rPr>
        <w:t>根据省、市文件要求，按照“一次告知、一次表单、一次联办、一次送达”要求，编制了教师资格认定、就业、婚姻、身后、企业用工、员工保障、用地审批、招投标10个主题式、套餐式“一件事”的办事指南。</w:t>
      </w:r>
      <w:r>
        <w:rPr>
          <w:rFonts w:hint="eastAsia" w:eastAsia="仿宋" w:cs="仿宋"/>
          <w:sz w:val="32"/>
          <w:szCs w:val="32"/>
          <w:lang w:val="en-US" w:eastAsia="zh-CN"/>
        </w:rPr>
        <w:t>三是全面落实“三集中三到位”。</w:t>
      </w:r>
      <w:r>
        <w:rPr>
          <w:rFonts w:hint="eastAsia" w:ascii="Times New Roman" w:hAnsi="Times New Roman" w:eastAsia="仿宋" w:cs="仿宋"/>
          <w:sz w:val="32"/>
          <w:szCs w:val="32"/>
          <w:lang w:val="en-US" w:eastAsia="zh-CN"/>
        </w:rPr>
        <w:t>于</w:t>
      </w:r>
      <w:r>
        <w:rPr>
          <w:rFonts w:hint="eastAsia" w:eastAsia="仿宋" w:cs="仿宋"/>
          <w:sz w:val="32"/>
          <w:szCs w:val="32"/>
          <w:lang w:val="en-US" w:eastAsia="zh-CN"/>
        </w:rPr>
        <w:t>2023</w:t>
      </w:r>
      <w:r>
        <w:rPr>
          <w:rFonts w:hint="eastAsia" w:ascii="Times New Roman" w:hAnsi="Times New Roman" w:eastAsia="仿宋" w:cs="仿宋"/>
          <w:sz w:val="32"/>
          <w:szCs w:val="32"/>
          <w:lang w:val="en-US" w:eastAsia="zh-CN"/>
        </w:rPr>
        <w:t>年6月启动新政务大厅，新大厅面积3000余平米，一、二楼为办事窗口，三楼为局机关办公室，入驻单位34家、事项902项、人员82人。积极完善大厅功能，细心编排窗口，在县政务服务大厅设置“一件事一次办”专区；在县教育局设置“教师资格认定”综合窗口；在民政局设置“婚育一件事一次办”综合窗口；在县发改局设置“招投标”综合窗口；在县政务服务大厅人社局窗口设置“就业、员工保障”综合窗口。2023年已完成教师资格认定、就业、婚姻等10个主题式、套餐式“一件事”任务，完成全年任务的100%。目前，新生儿出生一件事办理了2件，婚育一件事办理了43件，服务特殊群体一件事办理了4件，退休一件事办理了2件，社会保险一件事办理了6件，就业一件事办理了4件。积极拓展推出了代理地方特色产品、个人创业、公益性岗位、公租房、农民自建房5个事项一件事一次办，并在绥宁县政务服务旗舰店和“湘易办”APP绥宁县旗舰店开通了办理入口，在省“一件事一次办”平台进行了配置，并产生了办件。</w:t>
      </w:r>
    </w:p>
    <w:p w14:paraId="12C931BA">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（三）成绩三。</w:t>
      </w:r>
      <w:r>
        <w:rPr>
          <w:rFonts w:hint="eastAsia" w:ascii="仿宋" w:hAnsi="仿宋" w:eastAsia="仿宋" w:cs="仿宋"/>
          <w:color w:val="auto"/>
          <w:kern w:val="0"/>
          <w:sz w:val="32"/>
          <w:szCs w:val="32"/>
          <w:lang w:val="en-US" w:eastAsia="zh-CN" w:bidi="ar"/>
        </w:rPr>
        <w:t>进一步完善“互联网+政务服务”一体化平台建设</w:t>
      </w:r>
      <w:r>
        <w:rPr>
          <w:rFonts w:hint="eastAsia" w:ascii="仿宋" w:hAnsi="仿宋" w:eastAsia="仿宋" w:cs="仿宋"/>
          <w:color w:val="auto"/>
          <w:sz w:val="32"/>
          <w:szCs w:val="32"/>
          <w:lang w:eastAsia="zh-CN"/>
        </w:rPr>
        <w:t>。</w:t>
      </w:r>
      <w:r>
        <w:rPr>
          <w:rFonts w:hint="eastAsia" w:ascii="Times New Roman" w:hAnsi="Times New Roman" w:eastAsia="仿宋" w:cs="仿宋"/>
          <w:sz w:val="32"/>
          <w:szCs w:val="32"/>
          <w:lang w:val="en-US" w:eastAsia="zh-CN"/>
        </w:rPr>
        <w:t>一是</w:t>
      </w:r>
      <w:r>
        <w:rPr>
          <w:rFonts w:hint="eastAsia" w:ascii="Times New Roman" w:hAnsi="Times New Roman" w:eastAsia="仿宋" w:cs="仿宋"/>
          <w:sz w:val="32"/>
          <w:szCs w:val="32"/>
        </w:rPr>
        <w:t>全力加强政务服务事项“三化”建设</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多次组织全县相关部门和17个乡镇业务员进行了专题培训，对全县“互联网+政务服务”一体化平台事项及办件进行了全面梳理，共梳理县本级政务服务事项54</w:t>
      </w:r>
      <w:r>
        <w:rPr>
          <w:rFonts w:hint="eastAsia" w:ascii="Times New Roman" w:hAnsi="Times New Roman" w:eastAsia="仿宋" w:cs="仿宋"/>
          <w:sz w:val="32"/>
          <w:szCs w:val="32"/>
          <w:lang w:val="en-US" w:eastAsia="zh-CN"/>
        </w:rPr>
        <w:t>47</w:t>
      </w:r>
      <w:r>
        <w:rPr>
          <w:rFonts w:hint="eastAsia" w:ascii="Times New Roman" w:hAnsi="Times New Roman" w:eastAsia="仿宋" w:cs="仿宋"/>
          <w:sz w:val="32"/>
          <w:szCs w:val="32"/>
        </w:rPr>
        <w:t>项（其中依申请六类22</w:t>
      </w:r>
      <w:r>
        <w:rPr>
          <w:rFonts w:hint="eastAsia" w:ascii="Times New Roman" w:hAnsi="Times New Roman" w:eastAsia="仿宋" w:cs="仿宋"/>
          <w:sz w:val="32"/>
          <w:szCs w:val="32"/>
          <w:lang w:val="en-US" w:eastAsia="zh-CN"/>
        </w:rPr>
        <w:t>24</w:t>
      </w:r>
      <w:r>
        <w:rPr>
          <w:rFonts w:hint="eastAsia" w:ascii="Times New Roman" w:hAnsi="Times New Roman" w:eastAsia="仿宋" w:cs="仿宋"/>
          <w:sz w:val="32"/>
          <w:szCs w:val="32"/>
        </w:rPr>
        <w:t>项，依职权四类22</w:t>
      </w:r>
      <w:r>
        <w:rPr>
          <w:rFonts w:hint="eastAsia" w:ascii="Times New Roman" w:hAnsi="Times New Roman" w:eastAsia="仿宋" w:cs="仿宋"/>
          <w:sz w:val="32"/>
          <w:szCs w:val="32"/>
          <w:lang w:val="en-US" w:eastAsia="zh-CN"/>
        </w:rPr>
        <w:t>57</w:t>
      </w:r>
      <w:r>
        <w:rPr>
          <w:rFonts w:hint="eastAsia" w:ascii="Times New Roman" w:hAnsi="Times New Roman" w:eastAsia="仿宋" w:cs="仿宋"/>
          <w:sz w:val="32"/>
          <w:szCs w:val="32"/>
        </w:rPr>
        <w:t>项，公共服务9</w:t>
      </w:r>
      <w:r>
        <w:rPr>
          <w:rFonts w:hint="eastAsia" w:ascii="Times New Roman" w:hAnsi="Times New Roman" w:eastAsia="仿宋" w:cs="仿宋"/>
          <w:sz w:val="32"/>
          <w:szCs w:val="32"/>
          <w:lang w:val="en-US" w:eastAsia="zh-CN"/>
        </w:rPr>
        <w:t>66</w:t>
      </w:r>
      <w:r>
        <w:rPr>
          <w:rFonts w:hint="eastAsia" w:ascii="Times New Roman" w:hAnsi="Times New Roman" w:eastAsia="仿宋" w:cs="仿宋"/>
          <w:sz w:val="32"/>
          <w:szCs w:val="32"/>
        </w:rPr>
        <w:t>项）</w:t>
      </w:r>
      <w:r>
        <w:rPr>
          <w:rFonts w:hint="eastAsia" w:ascii="Times New Roman" w:hAnsi="Times New Roman" w:eastAsia="仿宋" w:cs="仿宋"/>
          <w:sz w:val="32"/>
          <w:szCs w:val="32"/>
          <w:lang w:val="zh-CN"/>
        </w:rPr>
        <w:t>。</w:t>
      </w:r>
      <w:r>
        <w:rPr>
          <w:rFonts w:hint="eastAsia" w:ascii="Times New Roman" w:hAnsi="Times New Roman" w:eastAsia="仿宋" w:cs="仿宋"/>
          <w:sz w:val="32"/>
          <w:szCs w:val="32"/>
          <w:lang w:eastAsia="zh-CN"/>
        </w:rPr>
        <w:t>目前</w:t>
      </w:r>
      <w:r>
        <w:rPr>
          <w:rFonts w:hint="eastAsia" w:ascii="Times New Roman" w:hAnsi="Times New Roman" w:eastAsia="仿宋" w:cs="仿宋"/>
          <w:sz w:val="32"/>
          <w:szCs w:val="32"/>
        </w:rPr>
        <w:t>“三化”系统共梳理发布事项</w:t>
      </w:r>
      <w:r>
        <w:rPr>
          <w:rFonts w:hint="eastAsia" w:ascii="Times New Roman" w:hAnsi="Times New Roman" w:eastAsia="仿宋" w:cs="仿宋"/>
          <w:sz w:val="32"/>
          <w:szCs w:val="32"/>
          <w:lang w:val="en-US" w:eastAsia="zh-CN"/>
        </w:rPr>
        <w:t>36785</w:t>
      </w:r>
      <w:r>
        <w:rPr>
          <w:rFonts w:hint="eastAsia" w:ascii="Times New Roman" w:hAnsi="Times New Roman" w:eastAsia="仿宋" w:cs="仿宋"/>
          <w:sz w:val="32"/>
          <w:szCs w:val="32"/>
        </w:rPr>
        <w:t>条（其中业务办理项</w:t>
      </w:r>
      <w:r>
        <w:rPr>
          <w:rFonts w:hint="eastAsia" w:ascii="Times New Roman" w:hAnsi="Times New Roman" w:eastAsia="仿宋" w:cs="仿宋"/>
          <w:sz w:val="32"/>
          <w:szCs w:val="32"/>
          <w:lang w:val="en-US" w:eastAsia="zh-CN"/>
        </w:rPr>
        <w:t>15664</w:t>
      </w:r>
      <w:r>
        <w:rPr>
          <w:rFonts w:hint="eastAsia" w:ascii="Times New Roman" w:hAnsi="Times New Roman" w:eastAsia="仿宋" w:cs="仿宋"/>
          <w:sz w:val="32"/>
          <w:szCs w:val="32"/>
        </w:rPr>
        <w:t>条，县本级共发布事项</w:t>
      </w:r>
      <w:r>
        <w:rPr>
          <w:rFonts w:hint="eastAsia" w:ascii="Times New Roman" w:hAnsi="Times New Roman" w:eastAsia="仿宋" w:cs="仿宋"/>
          <w:sz w:val="32"/>
          <w:szCs w:val="32"/>
          <w:lang w:val="en-US" w:eastAsia="zh-CN"/>
        </w:rPr>
        <w:t>5447</w:t>
      </w:r>
      <w:r>
        <w:rPr>
          <w:rFonts w:hint="eastAsia" w:ascii="Times New Roman" w:hAnsi="Times New Roman" w:eastAsia="仿宋" w:cs="仿宋"/>
          <w:sz w:val="32"/>
          <w:szCs w:val="32"/>
        </w:rPr>
        <w:t>条，其中依申请六类2</w:t>
      </w:r>
      <w:r>
        <w:rPr>
          <w:rFonts w:hint="eastAsia" w:ascii="Times New Roman" w:hAnsi="Times New Roman" w:eastAsia="仿宋" w:cs="仿宋"/>
          <w:sz w:val="32"/>
          <w:szCs w:val="32"/>
          <w:lang w:val="en-US" w:eastAsia="zh-CN"/>
        </w:rPr>
        <w:t>224</w:t>
      </w:r>
      <w:r>
        <w:rPr>
          <w:rFonts w:hint="eastAsia" w:ascii="Times New Roman" w:hAnsi="Times New Roman" w:eastAsia="仿宋" w:cs="仿宋"/>
          <w:sz w:val="32"/>
          <w:szCs w:val="32"/>
        </w:rPr>
        <w:t>条，依职权四类22</w:t>
      </w:r>
      <w:r>
        <w:rPr>
          <w:rFonts w:hint="eastAsia" w:ascii="Times New Roman" w:hAnsi="Times New Roman" w:eastAsia="仿宋" w:cs="仿宋"/>
          <w:sz w:val="32"/>
          <w:szCs w:val="32"/>
          <w:lang w:val="en-US" w:eastAsia="zh-CN"/>
        </w:rPr>
        <w:t>57</w:t>
      </w:r>
      <w:r>
        <w:rPr>
          <w:rFonts w:hint="eastAsia" w:ascii="Times New Roman" w:hAnsi="Times New Roman" w:eastAsia="仿宋" w:cs="仿宋"/>
          <w:sz w:val="32"/>
          <w:szCs w:val="32"/>
        </w:rPr>
        <w:t>条，公共服务类9</w:t>
      </w:r>
      <w:r>
        <w:rPr>
          <w:rFonts w:hint="eastAsia" w:ascii="Times New Roman" w:hAnsi="Times New Roman" w:eastAsia="仿宋" w:cs="仿宋"/>
          <w:sz w:val="32"/>
          <w:szCs w:val="32"/>
          <w:lang w:val="en-US" w:eastAsia="zh-CN"/>
        </w:rPr>
        <w:t>66</w:t>
      </w:r>
      <w:r>
        <w:rPr>
          <w:rFonts w:hint="eastAsia" w:ascii="Times New Roman" w:hAnsi="Times New Roman" w:eastAsia="仿宋" w:cs="仿宋"/>
          <w:sz w:val="32"/>
          <w:szCs w:val="32"/>
        </w:rPr>
        <w:t>条）</w:t>
      </w:r>
      <w:r>
        <w:rPr>
          <w:rFonts w:hint="eastAsia" w:ascii="Times New Roman" w:hAnsi="Times New Roman" w:eastAsia="仿宋" w:cs="仿宋"/>
          <w:sz w:val="32"/>
          <w:szCs w:val="32"/>
          <w:lang w:val="en-US" w:eastAsia="zh-CN"/>
        </w:rPr>
        <w:t>。二是全力监管评价“好差评”工作。截止12月5日，共收到群众办件评价531692条（不含税务局），主动评价率99.82%，好评率100%，差评有效处置率100%，可办事项覆盖率99.39%，数据汇集及时率97.99%，数据上传准确率99.98%。评价数据三级覆盖率县直部门63.93%，乡镇100%，村（社区）100%。三是不断加大行政效能电子监察力度。制定了《绥宁县行政审批服务局行政效能预警机制》，安排专人每天对系统办件进行巡检，发现问题个案及时追查、处理。</w:t>
      </w:r>
      <w:r>
        <w:rPr>
          <w:rFonts w:hint="eastAsia" w:ascii="Times New Roman" w:hAnsi="Times New Roman" w:eastAsia="仿宋" w:cs="仿宋"/>
          <w:sz w:val="32"/>
          <w:szCs w:val="32"/>
        </w:rPr>
        <w:t>完成</w:t>
      </w:r>
      <w:r>
        <w:rPr>
          <w:rFonts w:hint="eastAsia" w:ascii="Times New Roman" w:hAnsi="Times New Roman" w:eastAsia="仿宋" w:cs="仿宋"/>
          <w:sz w:val="32"/>
          <w:szCs w:val="32"/>
          <w:lang w:val="en-US" w:eastAsia="zh-CN"/>
        </w:rPr>
        <w:t>39</w:t>
      </w:r>
      <w:r>
        <w:rPr>
          <w:rFonts w:hint="eastAsia" w:ascii="Times New Roman" w:hAnsi="Times New Roman" w:eastAsia="仿宋" w:cs="仿宋"/>
          <w:sz w:val="32"/>
          <w:szCs w:val="32"/>
        </w:rPr>
        <w:t>个县本级单位</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17个乡镇235个村（社区）</w:t>
      </w:r>
      <w:r>
        <w:rPr>
          <w:rFonts w:hint="eastAsia" w:ascii="Times New Roman" w:hAnsi="Times New Roman" w:eastAsia="仿宋" w:cs="仿宋"/>
          <w:sz w:val="32"/>
          <w:szCs w:val="32"/>
        </w:rPr>
        <w:t>日常办件的监察</w:t>
      </w:r>
      <w:r>
        <w:rPr>
          <w:rFonts w:hint="eastAsia" w:ascii="Times New Roman" w:hAnsi="Times New Roman" w:eastAsia="仿宋" w:cs="仿宋"/>
          <w:sz w:val="32"/>
          <w:szCs w:val="32"/>
          <w:lang w:eastAsia="zh-CN"/>
        </w:rPr>
        <w:t>和提醒</w:t>
      </w:r>
      <w:r>
        <w:rPr>
          <w:rFonts w:hint="eastAsia" w:ascii="Times New Roman" w:hAnsi="Times New Roman" w:eastAsia="仿宋" w:cs="仿宋"/>
          <w:sz w:val="32"/>
          <w:szCs w:val="32"/>
          <w:lang w:val="en-US" w:eastAsia="zh-CN"/>
        </w:rPr>
        <w:t>共543729件</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处理蓝牌预警件2858件。所有办件法定提速率99.57%，承诺压缩89.49%。完成“绥宁产业开发区”在市一体化平台引用的业务办理项31项。四是加大“跨省通办”力度，突破“零”的跨越。创新举措，主动出击，积极</w:t>
      </w:r>
      <w:r>
        <w:rPr>
          <w:rFonts w:hint="eastAsia" w:ascii="Times New Roman" w:hAnsi="Times New Roman" w:eastAsia="仿宋" w:cs="仿宋"/>
          <w:sz w:val="32"/>
          <w:szCs w:val="32"/>
        </w:rPr>
        <w:t>与</w:t>
      </w:r>
      <w:r>
        <w:rPr>
          <w:rFonts w:hint="eastAsia" w:ascii="Times New Roman" w:hAnsi="Times New Roman" w:eastAsia="仿宋" w:cs="仿宋"/>
          <w:sz w:val="32"/>
          <w:szCs w:val="32"/>
          <w:lang w:val="en-US" w:eastAsia="zh-CN"/>
        </w:rPr>
        <w:t>海南省、吉林省、浙江省、贵州省、广东省、</w:t>
      </w:r>
      <w:r>
        <w:rPr>
          <w:rFonts w:hint="eastAsia" w:eastAsia="仿宋" w:cs="仿宋"/>
          <w:sz w:val="32"/>
          <w:szCs w:val="32"/>
          <w:lang w:val="en-US" w:eastAsia="zh-CN"/>
        </w:rPr>
        <w:t>广西壮族自治区</w:t>
      </w:r>
      <w:r>
        <w:rPr>
          <w:rFonts w:hint="eastAsia" w:ascii="Times New Roman" w:hAnsi="Times New Roman" w:eastAsia="仿宋" w:cs="仿宋"/>
          <w:sz w:val="32"/>
          <w:szCs w:val="32"/>
          <w:lang w:val="en-US" w:eastAsia="zh-CN"/>
        </w:rPr>
        <w:t>、江苏省、湖北省等8省15市签订了“跨省通办”合作协议，跨省通办事项共58项，办件量800余件。五是全力汇聚电子证照。今年汇聚营业执照、事业单位法人证书等78种电子证照至一体化平台，汇聚证照数量55102条。在一体化旗舰店建设“绥宁县无证明城市”服务专区，涉及7个单位和部门，共上线无证明事项10项，进一步创新电子证照的应用场景。六是积极加强中介超市管理。与县发改局、县财政局联合下发《关于加强网上中介服务超市管理工作的通知》，积极推动中介服务超市相关工作。截止目前，采购公告发布数1222件，委托人入驻153家，中介机构入驻23家，及时公开中介服务。七是不断提升12345热线运行能力。组织开展12345热线政策专员培训会议，提高了工单办结质效，大幅提升了满意度。截止12月5日，绥宁县12345热线共办结群众来电4190件，线上办结1975件，线下办结2215件。按时办结率99.6%，满意率98%。八是强化监管。组织人员力量认真梳理“互联网+监管”账号，由原来302个账号梳理至现在83个账号。监管行为覆盖率从13.13%提高至100%，执法人员覆盖率100%。</w:t>
      </w:r>
    </w:p>
    <w:p w14:paraId="158FC3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七、存在的问题及原因分析</w:t>
      </w:r>
    </w:p>
    <w:p w14:paraId="7106C4D5">
      <w:pPr>
        <w:keepNext w:val="0"/>
        <w:keepLines w:val="0"/>
        <w:widowControl w:val="0"/>
        <w:suppressLineNumbers w:val="0"/>
        <w:spacing w:before="0" w:beforeAutospacing="0" w:after="0" w:afterAutospacing="0"/>
        <w:ind w:left="0" w:right="0" w:firstLine="643" w:firstLineChars="200"/>
        <w:jc w:val="both"/>
        <w:rPr>
          <w:rFonts w:hint="eastAsia" w:ascii="仿宋" w:hAnsi="仿宋" w:eastAsia="仿宋" w:cs="仿宋"/>
          <w:color w:val="0C0C0C"/>
          <w:sz w:val="32"/>
          <w:szCs w:val="32"/>
          <w:lang w:val="en-US" w:eastAsia="zh-CN"/>
        </w:rPr>
      </w:pPr>
      <w:r>
        <w:rPr>
          <w:rFonts w:hint="eastAsia" w:ascii="楷体" w:hAnsi="楷体" w:eastAsia="楷体" w:cs="楷体"/>
          <w:b/>
          <w:bCs/>
          <w:i w:val="0"/>
          <w:iCs w:val="0"/>
          <w:caps w:val="0"/>
          <w:color w:val="000000"/>
          <w:spacing w:val="0"/>
          <w:sz w:val="32"/>
          <w:szCs w:val="32"/>
          <w:shd w:val="clear" w:fill="FFFFFF"/>
          <w:lang w:val="en-US" w:eastAsia="zh-CN"/>
        </w:rPr>
        <w:t>（一）问题一</w:t>
      </w:r>
      <w:r>
        <w:rPr>
          <w:rFonts w:hint="eastAsia" w:ascii="仿宋" w:hAnsi="仿宋" w:eastAsia="仿宋" w:cs="仿宋"/>
          <w:i w:val="0"/>
          <w:iCs w:val="0"/>
          <w:caps w:val="0"/>
          <w:color w:val="000000"/>
          <w:spacing w:val="0"/>
          <w:sz w:val="32"/>
          <w:szCs w:val="32"/>
          <w:shd w:val="clear" w:fill="FFFFFF"/>
        </w:rPr>
        <w:t>。</w:t>
      </w:r>
      <w:r>
        <w:rPr>
          <w:rFonts w:ascii="仿宋" w:hAnsi="仿宋" w:eastAsia="仿宋"/>
          <w:color w:val="auto"/>
          <w:sz w:val="32"/>
          <w:szCs w:val="32"/>
        </w:rPr>
        <w:t>预算执行</w:t>
      </w:r>
      <w:r>
        <w:rPr>
          <w:rFonts w:hint="eastAsia" w:ascii="仿宋" w:hAnsi="仿宋" w:eastAsia="仿宋"/>
          <w:color w:val="auto"/>
          <w:sz w:val="32"/>
          <w:szCs w:val="32"/>
          <w:lang w:eastAsia="zh-CN"/>
        </w:rPr>
        <w:t>。</w:t>
      </w:r>
      <w:r>
        <w:rPr>
          <w:rFonts w:hint="eastAsia" w:ascii="仿宋" w:hAnsi="仿宋" w:eastAsia="仿宋" w:cs="仿宋"/>
          <w:color w:val="auto"/>
          <w:kern w:val="2"/>
          <w:sz w:val="32"/>
          <w:szCs w:val="32"/>
          <w:lang w:val="en-US" w:eastAsia="zh-CN" w:bidi="ar"/>
        </w:rPr>
        <w:t>在申报部门的项</w:t>
      </w:r>
      <w:r>
        <w:rPr>
          <w:rFonts w:hint="eastAsia" w:ascii="仿宋" w:hAnsi="仿宋" w:eastAsia="仿宋" w:cs="仿宋"/>
          <w:color w:val="auto"/>
          <w:spacing w:val="-20"/>
          <w:w w:val="1"/>
          <w:kern w:val="2"/>
          <w:sz w:val="32"/>
          <w:szCs w:val="32"/>
          <w:lang w:val="en-US" w:eastAsia="zh-CN" w:bidi="ar"/>
        </w:rPr>
        <w:t>目</w:t>
      </w:r>
      <w:r>
        <w:rPr>
          <w:rFonts w:hint="eastAsia" w:ascii="仿宋" w:hAnsi="仿宋" w:eastAsia="仿宋" w:cs="仿宋"/>
          <w:color w:val="auto"/>
          <w:kern w:val="2"/>
          <w:sz w:val="32"/>
          <w:szCs w:val="32"/>
          <w:lang w:val="en-US" w:eastAsia="zh-CN" w:bidi="ar"/>
        </w:rPr>
        <w:t>目时，会存在科学测算、</w:t>
      </w:r>
      <w:r>
        <w:rPr>
          <w:rFonts w:hint="eastAsia" w:ascii="仿宋" w:hAnsi="仿宋" w:eastAsia="仿宋" w:cs="仿宋"/>
          <w:color w:val="auto"/>
          <w:spacing w:val="-20"/>
          <w:w w:val="1"/>
          <w:kern w:val="2"/>
          <w:sz w:val="32"/>
          <w:szCs w:val="32"/>
          <w:lang w:val="en-US" w:eastAsia="zh-CN" w:bidi="ar"/>
        </w:rPr>
        <w:t>整</w:t>
      </w:r>
      <w:r>
        <w:rPr>
          <w:rFonts w:hint="eastAsia" w:ascii="仿宋" w:hAnsi="仿宋" w:eastAsia="仿宋" w:cs="仿宋"/>
          <w:color w:val="auto"/>
          <w:kern w:val="2"/>
          <w:sz w:val="32"/>
          <w:szCs w:val="32"/>
          <w:lang w:val="en-US" w:eastAsia="zh-CN" w:bidi="ar"/>
        </w:rPr>
        <w:t>整体评估、实际要求等有所偏离的现象的发生。比如有时预算做大，</w:t>
      </w:r>
      <w:r>
        <w:rPr>
          <w:rFonts w:hint="eastAsia" w:ascii="仿宋" w:hAnsi="仿宋" w:eastAsia="仿宋" w:cs="仿宋"/>
          <w:color w:val="auto"/>
          <w:spacing w:val="-20"/>
          <w:w w:val="1"/>
          <w:kern w:val="2"/>
          <w:sz w:val="32"/>
          <w:szCs w:val="32"/>
          <w:lang w:val="en-US" w:eastAsia="zh-CN" w:bidi="ar"/>
        </w:rPr>
        <w:t>等</w:t>
      </w:r>
      <w:r>
        <w:rPr>
          <w:rFonts w:hint="eastAsia" w:ascii="仿宋" w:hAnsi="仿宋" w:eastAsia="仿宋" w:cs="仿宋"/>
          <w:color w:val="auto"/>
          <w:kern w:val="2"/>
          <w:sz w:val="32"/>
          <w:szCs w:val="32"/>
          <w:lang w:val="en-US" w:eastAsia="zh-CN" w:bidi="ar"/>
        </w:rPr>
        <w:t>等财政批复、甚至资金到位</w:t>
      </w:r>
      <w:r>
        <w:rPr>
          <w:rFonts w:hint="eastAsia" w:ascii="仿宋" w:hAnsi="仿宋" w:eastAsia="仿宋" w:cs="仿宋"/>
          <w:color w:val="auto"/>
          <w:spacing w:val="-20"/>
          <w:w w:val="1"/>
          <w:kern w:val="2"/>
          <w:sz w:val="32"/>
          <w:szCs w:val="32"/>
          <w:lang w:val="en-US" w:eastAsia="zh-CN" w:bidi="ar"/>
        </w:rPr>
        <w:t>后</w:t>
      </w:r>
      <w:r>
        <w:rPr>
          <w:rFonts w:hint="eastAsia" w:ascii="仿宋" w:hAnsi="仿宋" w:eastAsia="仿宋" w:cs="仿宋"/>
          <w:color w:val="auto"/>
          <w:kern w:val="2"/>
          <w:sz w:val="32"/>
          <w:szCs w:val="32"/>
          <w:lang w:val="en-US" w:eastAsia="zh-CN" w:bidi="ar"/>
        </w:rPr>
        <w:t>后，才具体安排使用计划。这样容易造成实际建设资金有可能出现大量结余，有时又还有可能资金不足，影响了财政资</w:t>
      </w:r>
      <w:r>
        <w:rPr>
          <w:rFonts w:hint="eastAsia" w:ascii="仿宋" w:hAnsi="仿宋" w:eastAsia="仿宋" w:cs="仿宋"/>
          <w:color w:val="auto"/>
          <w:spacing w:val="-20"/>
          <w:w w:val="1"/>
          <w:kern w:val="2"/>
          <w:sz w:val="32"/>
          <w:szCs w:val="32"/>
          <w:lang w:val="en-US" w:eastAsia="zh-CN" w:bidi="ar"/>
        </w:rPr>
        <w:t>金</w:t>
      </w:r>
      <w:r>
        <w:rPr>
          <w:rFonts w:hint="eastAsia" w:ascii="仿宋" w:hAnsi="仿宋" w:eastAsia="仿宋" w:cs="仿宋"/>
          <w:color w:val="auto"/>
          <w:kern w:val="2"/>
          <w:sz w:val="32"/>
          <w:szCs w:val="32"/>
          <w:lang w:val="en-US" w:eastAsia="zh-CN" w:bidi="ar"/>
        </w:rPr>
        <w:t>金的使用效益。</w:t>
      </w:r>
    </w:p>
    <w:p w14:paraId="573C91B0">
      <w:pPr>
        <w:autoSpaceDN w:val="0"/>
        <w:ind w:firstLine="640"/>
        <w:outlineLvl w:val="0"/>
        <w:rPr>
          <w:rFonts w:hint="eastAsia" w:ascii="仿宋" w:hAnsi="仿宋" w:eastAsia="仿宋" w:cs="仿宋"/>
          <w:color w:val="0C0C0C"/>
          <w:sz w:val="32"/>
          <w:szCs w:val="32"/>
          <w:lang w:val="en-US" w:eastAsia="zh-CN"/>
        </w:rPr>
      </w:pPr>
      <w:r>
        <w:rPr>
          <w:rFonts w:hint="eastAsia" w:ascii="楷体" w:hAnsi="楷体" w:eastAsia="楷体" w:cs="楷体"/>
          <w:b/>
          <w:bCs/>
          <w:i w:val="0"/>
          <w:iCs w:val="0"/>
          <w:caps w:val="0"/>
          <w:color w:val="000000"/>
          <w:spacing w:val="0"/>
          <w:sz w:val="32"/>
          <w:szCs w:val="32"/>
          <w:shd w:val="clear" w:fill="FFFFFF"/>
          <w:lang w:val="en-US" w:eastAsia="zh-CN"/>
        </w:rPr>
        <w:t>（二）问题二。</w:t>
      </w:r>
      <w:r>
        <w:rPr>
          <w:rFonts w:ascii="仿宋" w:hAnsi="仿宋" w:eastAsia="仿宋"/>
          <w:color w:val="auto"/>
          <w:sz w:val="32"/>
          <w:szCs w:val="32"/>
        </w:rPr>
        <w:t>资产核算</w:t>
      </w:r>
      <w:r>
        <w:rPr>
          <w:rFonts w:hint="eastAsia" w:ascii="仿宋" w:hAnsi="仿宋" w:eastAsia="仿宋"/>
          <w:color w:val="auto"/>
          <w:sz w:val="32"/>
          <w:szCs w:val="32"/>
          <w:lang w:eastAsia="zh-CN"/>
        </w:rPr>
        <w:t>。</w:t>
      </w:r>
      <w:r>
        <w:rPr>
          <w:rFonts w:hint="eastAsia" w:ascii="仿宋" w:hAnsi="仿宋" w:eastAsia="仿宋" w:cs="仿宋"/>
          <w:color w:val="auto"/>
          <w:sz w:val="32"/>
          <w:szCs w:val="32"/>
          <w:lang w:val="en-US" w:eastAsia="zh-CN"/>
        </w:rPr>
        <w:t>一是</w:t>
      </w:r>
      <w:r>
        <w:rPr>
          <w:rFonts w:hint="eastAsia" w:ascii="仿宋" w:hAnsi="仿宋" w:eastAsia="仿宋" w:cs="仿宋"/>
          <w:color w:val="auto"/>
          <w:sz w:val="32"/>
          <w:szCs w:val="32"/>
          <w:lang w:eastAsia="zh-CN"/>
        </w:rPr>
        <w:t>行政事业单位的固定资产是国有资产的重要组成部分，是行政事业单位运转的必要条件。由于</w:t>
      </w:r>
      <w:r>
        <w:rPr>
          <w:rFonts w:hint="eastAsia" w:ascii="仿宋" w:hAnsi="仿宋" w:eastAsia="仿宋" w:cs="仿宋"/>
          <w:color w:val="auto"/>
          <w:sz w:val="32"/>
          <w:szCs w:val="32"/>
          <w:lang w:val="en-US" w:eastAsia="zh-CN"/>
        </w:rPr>
        <w:t>部门</w:t>
      </w:r>
      <w:r>
        <w:rPr>
          <w:rFonts w:hint="eastAsia" w:ascii="仿宋" w:hAnsi="仿宋" w:eastAsia="仿宋" w:cs="仿宋"/>
          <w:color w:val="auto"/>
          <w:sz w:val="32"/>
          <w:szCs w:val="32"/>
          <w:lang w:eastAsia="zh-CN"/>
        </w:rPr>
        <w:t>购置固定资产的资金来源大多是财政拨款，在经费支出中列支，固定资产不计提折旧，因此，</w:t>
      </w:r>
      <w:r>
        <w:rPr>
          <w:rFonts w:hint="eastAsia" w:ascii="仿宋" w:hAnsi="仿宋" w:eastAsia="仿宋" w:cs="仿宋"/>
          <w:color w:val="auto"/>
          <w:sz w:val="32"/>
          <w:szCs w:val="32"/>
          <w:lang w:val="en-US" w:eastAsia="zh-CN"/>
        </w:rPr>
        <w:t>部门</w:t>
      </w:r>
      <w:r>
        <w:rPr>
          <w:rFonts w:hint="eastAsia" w:ascii="仿宋" w:hAnsi="仿宋" w:eastAsia="仿宋" w:cs="仿宋"/>
          <w:color w:val="auto"/>
          <w:sz w:val="32"/>
          <w:szCs w:val="32"/>
          <w:lang w:eastAsia="zh-CN"/>
        </w:rPr>
        <w:t>在固定资产管理过程中，存在资产登记不全的问题。</w:t>
      </w:r>
      <w:r>
        <w:rPr>
          <w:rFonts w:hint="eastAsia" w:ascii="仿宋" w:hAnsi="仿宋" w:eastAsia="仿宋" w:cs="仿宋"/>
          <w:color w:val="auto"/>
          <w:sz w:val="32"/>
          <w:szCs w:val="32"/>
          <w:lang w:val="en-US" w:eastAsia="zh-CN"/>
        </w:rPr>
        <w:t>二是</w:t>
      </w:r>
      <w:r>
        <w:rPr>
          <w:rFonts w:hint="eastAsia" w:ascii="仿宋" w:hAnsi="仿宋" w:eastAsia="仿宋" w:cs="仿宋"/>
          <w:color w:val="auto"/>
          <w:sz w:val="32"/>
          <w:szCs w:val="32"/>
          <w:lang w:eastAsia="zh-CN"/>
        </w:rPr>
        <w:t>资产管理员与财务人员沟通不及时造成会计的资产信息不真实，无法真实反映和有效控制固定资产实物状况和增减变化情况，会计账务上会出现漏记固定资产账。</w:t>
      </w:r>
      <w:r>
        <w:rPr>
          <w:rFonts w:hint="eastAsia" w:ascii="仿宋" w:hAnsi="仿宋" w:eastAsia="仿宋" w:cs="仿宋"/>
          <w:color w:val="auto"/>
          <w:sz w:val="32"/>
          <w:szCs w:val="32"/>
          <w:lang w:val="en-US" w:eastAsia="zh-CN"/>
        </w:rPr>
        <w:t>三是部门</w:t>
      </w:r>
      <w:r>
        <w:rPr>
          <w:rFonts w:hint="eastAsia" w:ascii="仿宋" w:hAnsi="仿宋" w:eastAsia="仿宋" w:cs="仿宋"/>
          <w:color w:val="auto"/>
          <w:sz w:val="32"/>
          <w:szCs w:val="32"/>
          <w:lang w:eastAsia="zh-CN"/>
        </w:rPr>
        <w:t>由于人员的配置原因，不能实现对固定资产的定期盘点，盘点的间断和滞后造成固定资产使用过程中出现的问题难以及时发现，进而造成处理问题的时间滞后。</w:t>
      </w:r>
    </w:p>
    <w:p w14:paraId="2B0E3BE7">
      <w:pPr>
        <w:autoSpaceDN w:val="0"/>
        <w:ind w:firstLine="630"/>
        <w:outlineLvl w:val="0"/>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（三）问题三。</w:t>
      </w:r>
      <w:r>
        <w:rPr>
          <w:rFonts w:hint="eastAsia" w:ascii="仿宋" w:hAnsi="仿宋" w:eastAsia="仿宋" w:cs="仿宋"/>
          <w:color w:val="auto"/>
          <w:kern w:val="0"/>
          <w:sz w:val="32"/>
          <w:szCs w:val="32"/>
          <w:lang w:val="en-US" w:eastAsia="zh-CN" w:bidi="ar"/>
        </w:rPr>
        <w:t>经费保障</w:t>
      </w:r>
      <w:r>
        <w:rPr>
          <w:rFonts w:hint="eastAsia" w:ascii="仿宋" w:hAnsi="仿宋" w:eastAsia="仿宋"/>
          <w:color w:val="auto"/>
          <w:sz w:val="32"/>
          <w:szCs w:val="32"/>
          <w:lang w:eastAsia="zh-CN"/>
        </w:rPr>
        <w:t>。</w:t>
      </w:r>
      <w:r>
        <w:rPr>
          <w:rFonts w:hint="eastAsia" w:ascii="仿宋" w:hAnsi="仿宋" w:eastAsia="仿宋" w:cs="仿宋"/>
          <w:color w:val="0C0C0C"/>
          <w:sz w:val="32"/>
          <w:szCs w:val="32"/>
        </w:rPr>
        <w:t>202</w:t>
      </w:r>
      <w:r>
        <w:rPr>
          <w:rFonts w:hint="eastAsia" w:ascii="仿宋" w:hAnsi="仿宋" w:eastAsia="仿宋" w:cs="仿宋"/>
          <w:color w:val="0C0C0C"/>
          <w:sz w:val="32"/>
          <w:szCs w:val="32"/>
          <w:lang w:val="en-US" w:eastAsia="zh-CN"/>
        </w:rPr>
        <w:t>3</w:t>
      </w:r>
      <w:r>
        <w:rPr>
          <w:rFonts w:hint="eastAsia" w:ascii="仿宋" w:hAnsi="仿宋" w:eastAsia="仿宋" w:cs="仿宋"/>
          <w:color w:val="0C0C0C"/>
          <w:sz w:val="32"/>
          <w:szCs w:val="32"/>
        </w:rPr>
        <w:t>年</w:t>
      </w:r>
      <w:r>
        <w:rPr>
          <w:rFonts w:hint="eastAsia" w:ascii="仿宋" w:hAnsi="仿宋" w:eastAsia="仿宋" w:cs="仿宋"/>
          <w:color w:val="auto"/>
          <w:kern w:val="0"/>
          <w:sz w:val="32"/>
          <w:szCs w:val="32"/>
          <w:lang w:val="en-US" w:eastAsia="zh-CN" w:bidi="ar"/>
        </w:rPr>
        <w:t>我部门严格执行内部管理制度，但是由于内控制度复杂繁琐，工作人员缺乏专业培训，并且部门人手不足，一人身兼数职，从而使得内部控制制度与体系流于形式，在实际过程中无法将其具有的功能作用充分的发挥，无法科学合理的对内部控制体系的正常运转进行真实有效的评价。</w:t>
      </w:r>
    </w:p>
    <w:p w14:paraId="560A91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八、下一步改进措施</w:t>
      </w:r>
    </w:p>
    <w:p w14:paraId="3A95E064">
      <w:pPr>
        <w:numPr>
          <w:ilvl w:val="0"/>
          <w:numId w:val="0"/>
        </w:numPr>
        <w:autoSpaceDN w:val="0"/>
        <w:ind w:firstLine="320" w:firstLineChars="100"/>
        <w:outlineLvl w:val="0"/>
        <w:rPr>
          <w:rFonts w:hint="eastAsia" w:ascii="仿宋" w:hAnsi="仿宋" w:eastAsia="仿宋" w:cs="仿宋"/>
          <w:color w:val="auto"/>
          <w:sz w:val="32"/>
          <w:szCs w:val="32"/>
          <w:lang w:val="en-US"/>
        </w:rPr>
      </w:pPr>
      <w:r>
        <w:rPr>
          <w:rFonts w:ascii="仿宋" w:hAnsi="仿宋" w:eastAsia="仿宋"/>
          <w:color w:val="auto"/>
          <w:sz w:val="32"/>
          <w:szCs w:val="32"/>
        </w:rPr>
        <w:t>　</w:t>
      </w:r>
      <w:r>
        <w:rPr>
          <w:rFonts w:hint="eastAsia" w:ascii="仿宋" w:hAnsi="仿宋" w:eastAsia="仿宋" w:cs="仿宋"/>
          <w:color w:val="auto"/>
          <w:kern w:val="2"/>
          <w:sz w:val="32"/>
          <w:szCs w:val="32"/>
          <w:lang w:val="en-US" w:eastAsia="zh-CN" w:bidi="ar"/>
        </w:rPr>
        <w:t xml:space="preserve">1、进一步完善制度建设，做到有法可依，有规可循。 </w:t>
      </w:r>
    </w:p>
    <w:p w14:paraId="0C0832DD">
      <w:pPr>
        <w:keepNext w:val="0"/>
        <w:keepLines w:val="0"/>
        <w:widowControl w:val="0"/>
        <w:suppressLineNumbers w:val="0"/>
        <w:autoSpaceDE/>
        <w:autoSpaceDN w:val="0"/>
        <w:spacing w:before="0" w:beforeAutospacing="0" w:after="0" w:afterAutospacing="0"/>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2、加强“三公”经费管理，严控公务接待制度。</w:t>
      </w:r>
    </w:p>
    <w:p w14:paraId="10C31851">
      <w:pPr>
        <w:keepNext w:val="0"/>
        <w:keepLines w:val="0"/>
        <w:widowControl w:val="0"/>
        <w:suppressLineNumbers w:val="0"/>
        <w:autoSpaceDE/>
        <w:autoSpaceDN w:val="0"/>
        <w:spacing w:before="0" w:beforeAutospacing="0" w:after="0" w:afterAutospacing="0"/>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3、加强内部管理，严肃出纳制度。</w:t>
      </w:r>
    </w:p>
    <w:p w14:paraId="02E6F343">
      <w:pPr>
        <w:keepNext w:val="0"/>
        <w:keepLines w:val="0"/>
        <w:widowControl w:val="0"/>
        <w:suppressLineNumbers w:val="0"/>
        <w:autoSpaceDE/>
        <w:autoSpaceDN w:val="0"/>
        <w:spacing w:before="0" w:beforeAutospacing="0" w:after="0" w:afterAutospacing="0"/>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4、加强业务学习，提高思想认识，切实增强对工作的责任感和使命感，提高工作效率。</w:t>
      </w:r>
    </w:p>
    <w:p w14:paraId="32CFD6B8">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5、必须建立完善的内部控制制</w:t>
      </w:r>
      <w:r>
        <w:rPr>
          <w:rFonts w:hint="eastAsia" w:ascii="仿宋" w:hAnsi="仿宋" w:eastAsia="仿宋" w:cs="仿宋"/>
          <w:color w:val="auto"/>
          <w:spacing w:val="-20"/>
          <w:w w:val="1"/>
          <w:kern w:val="2"/>
          <w:sz w:val="32"/>
          <w:szCs w:val="32"/>
          <w:lang w:val="en-US" w:eastAsia="zh-CN" w:bidi="ar"/>
        </w:rPr>
        <w:t>度</w:t>
      </w:r>
      <w:r>
        <w:rPr>
          <w:rFonts w:hint="eastAsia" w:ascii="仿宋" w:hAnsi="仿宋" w:eastAsia="仿宋" w:cs="仿宋"/>
          <w:color w:val="auto"/>
          <w:kern w:val="2"/>
          <w:sz w:val="32"/>
          <w:szCs w:val="32"/>
          <w:lang w:val="en-US" w:eastAsia="zh-CN" w:bidi="ar"/>
        </w:rPr>
        <w:t>度，才能较好的控制预算开</w:t>
      </w:r>
      <w:r>
        <w:rPr>
          <w:rFonts w:hint="eastAsia" w:ascii="仿宋" w:hAnsi="仿宋" w:eastAsia="仿宋" w:cs="仿宋"/>
          <w:color w:val="auto"/>
          <w:spacing w:val="-20"/>
          <w:w w:val="1"/>
          <w:kern w:val="2"/>
          <w:sz w:val="32"/>
          <w:szCs w:val="32"/>
          <w:lang w:val="en-US" w:eastAsia="zh-CN" w:bidi="ar"/>
        </w:rPr>
        <w:t>支</w:t>
      </w:r>
      <w:r>
        <w:rPr>
          <w:rFonts w:hint="eastAsia" w:ascii="仿宋" w:hAnsi="仿宋" w:eastAsia="仿宋" w:cs="仿宋"/>
          <w:color w:val="auto"/>
          <w:kern w:val="2"/>
          <w:sz w:val="32"/>
          <w:szCs w:val="32"/>
          <w:lang w:val="en-US" w:eastAsia="zh-CN" w:bidi="ar"/>
        </w:rPr>
        <w:t>支的量和度，做到财尽其用</w:t>
      </w:r>
      <w:r>
        <w:rPr>
          <w:rFonts w:hint="eastAsia" w:ascii="仿宋" w:hAnsi="仿宋" w:eastAsia="仿宋" w:cs="仿宋"/>
          <w:color w:val="auto"/>
          <w:spacing w:val="-20"/>
          <w:w w:val="1"/>
          <w:kern w:val="2"/>
          <w:sz w:val="32"/>
          <w:szCs w:val="32"/>
          <w:lang w:val="en-US" w:eastAsia="zh-CN" w:bidi="ar"/>
        </w:rPr>
        <w:t>，</w:t>
      </w:r>
      <w:r>
        <w:rPr>
          <w:rFonts w:hint="eastAsia" w:ascii="仿宋" w:hAnsi="仿宋" w:eastAsia="仿宋" w:cs="仿宋"/>
          <w:color w:val="auto"/>
          <w:kern w:val="2"/>
          <w:sz w:val="32"/>
          <w:szCs w:val="32"/>
          <w:lang w:val="en-US" w:eastAsia="zh-CN" w:bidi="ar"/>
        </w:rPr>
        <w:t>，用得其所。</w:t>
      </w:r>
    </w:p>
    <w:p w14:paraId="333C1C92">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6、增强预算编制的科学性和可行性</w:t>
      </w:r>
      <w:r>
        <w:rPr>
          <w:rFonts w:hint="eastAsia" w:ascii="仿宋" w:hAnsi="仿宋" w:eastAsia="仿宋" w:cs="仿宋"/>
          <w:color w:val="auto"/>
          <w:spacing w:val="-20"/>
          <w:w w:val="1"/>
          <w:kern w:val="2"/>
          <w:sz w:val="32"/>
          <w:szCs w:val="32"/>
          <w:lang w:val="en-US" w:eastAsia="zh-CN" w:bidi="ar"/>
        </w:rPr>
        <w:t>。</w:t>
      </w:r>
      <w:r>
        <w:rPr>
          <w:rFonts w:hint="eastAsia" w:ascii="仿宋" w:hAnsi="仿宋" w:eastAsia="仿宋" w:cs="仿宋"/>
          <w:color w:val="auto"/>
          <w:kern w:val="2"/>
          <w:sz w:val="32"/>
          <w:szCs w:val="32"/>
          <w:lang w:val="en-US" w:eastAsia="zh-CN" w:bidi="ar"/>
        </w:rPr>
        <w:t>。部门编制年初预算要根据</w:t>
      </w:r>
      <w:r>
        <w:rPr>
          <w:rFonts w:hint="eastAsia" w:ascii="仿宋" w:hAnsi="仿宋" w:eastAsia="仿宋" w:cs="仿宋"/>
          <w:color w:val="auto"/>
          <w:spacing w:val="-20"/>
          <w:w w:val="1"/>
          <w:kern w:val="2"/>
          <w:sz w:val="32"/>
          <w:szCs w:val="32"/>
          <w:lang w:val="en-US" w:eastAsia="zh-CN" w:bidi="ar"/>
        </w:rPr>
        <w:t>自</w:t>
      </w:r>
      <w:r>
        <w:rPr>
          <w:rFonts w:hint="eastAsia" w:ascii="仿宋" w:hAnsi="仿宋" w:eastAsia="仿宋" w:cs="仿宋"/>
          <w:color w:val="auto"/>
          <w:kern w:val="2"/>
          <w:sz w:val="32"/>
          <w:szCs w:val="32"/>
          <w:lang w:val="en-US" w:eastAsia="zh-CN" w:bidi="ar"/>
        </w:rPr>
        <w:t>自身职能目标拟定，参考上</w:t>
      </w:r>
      <w:r>
        <w:rPr>
          <w:rFonts w:hint="eastAsia" w:ascii="仿宋" w:hAnsi="仿宋" w:eastAsia="仿宋" w:cs="仿宋"/>
          <w:color w:val="auto"/>
          <w:spacing w:val="-20"/>
          <w:w w:val="1"/>
          <w:kern w:val="2"/>
          <w:sz w:val="32"/>
          <w:szCs w:val="32"/>
          <w:lang w:val="en-US" w:eastAsia="zh-CN" w:bidi="ar"/>
        </w:rPr>
        <w:t>年</w:t>
      </w:r>
      <w:r>
        <w:rPr>
          <w:rFonts w:hint="eastAsia" w:ascii="仿宋" w:hAnsi="仿宋" w:eastAsia="仿宋" w:cs="仿宋"/>
          <w:color w:val="auto"/>
          <w:kern w:val="2"/>
          <w:sz w:val="32"/>
          <w:szCs w:val="32"/>
          <w:lang w:val="en-US" w:eastAsia="zh-CN" w:bidi="ar"/>
        </w:rPr>
        <w:t>年度预算执行情况、相关支</w:t>
      </w:r>
      <w:r>
        <w:rPr>
          <w:rFonts w:hint="eastAsia" w:ascii="仿宋" w:hAnsi="仿宋" w:eastAsia="仿宋" w:cs="仿宋"/>
          <w:color w:val="auto"/>
          <w:spacing w:val="-20"/>
          <w:w w:val="1"/>
          <w:kern w:val="2"/>
          <w:sz w:val="32"/>
          <w:szCs w:val="32"/>
          <w:lang w:val="en-US" w:eastAsia="zh-CN" w:bidi="ar"/>
        </w:rPr>
        <w:t>出</w:t>
      </w:r>
      <w:r>
        <w:rPr>
          <w:rFonts w:hint="eastAsia" w:ascii="仿宋" w:hAnsi="仿宋" w:eastAsia="仿宋" w:cs="仿宋"/>
          <w:color w:val="auto"/>
          <w:kern w:val="2"/>
          <w:sz w:val="32"/>
          <w:szCs w:val="32"/>
          <w:lang w:val="en-US" w:eastAsia="zh-CN" w:bidi="ar"/>
        </w:rPr>
        <w:t>出绩效评价结果和本年度的</w:t>
      </w:r>
      <w:r>
        <w:rPr>
          <w:rFonts w:hint="eastAsia" w:ascii="仿宋" w:hAnsi="仿宋" w:eastAsia="仿宋" w:cs="仿宋"/>
          <w:color w:val="auto"/>
          <w:spacing w:val="-20"/>
          <w:w w:val="1"/>
          <w:kern w:val="2"/>
          <w:sz w:val="32"/>
          <w:szCs w:val="32"/>
          <w:lang w:val="en-US" w:eastAsia="zh-CN" w:bidi="ar"/>
        </w:rPr>
        <w:t>收</w:t>
      </w:r>
      <w:r>
        <w:rPr>
          <w:rFonts w:hint="eastAsia" w:ascii="仿宋" w:hAnsi="仿宋" w:eastAsia="仿宋" w:cs="仿宋"/>
          <w:color w:val="auto"/>
          <w:kern w:val="2"/>
          <w:sz w:val="32"/>
          <w:szCs w:val="32"/>
          <w:lang w:val="en-US" w:eastAsia="zh-CN" w:bidi="ar"/>
        </w:rPr>
        <w:t>收支预测，按照规定程序多</w:t>
      </w:r>
      <w:r>
        <w:rPr>
          <w:rFonts w:hint="eastAsia" w:ascii="仿宋" w:hAnsi="仿宋" w:eastAsia="仿宋" w:cs="仿宋"/>
          <w:color w:val="auto"/>
          <w:spacing w:val="-20"/>
          <w:w w:val="1"/>
          <w:kern w:val="2"/>
          <w:sz w:val="32"/>
          <w:szCs w:val="32"/>
          <w:lang w:val="en-US" w:eastAsia="zh-CN" w:bidi="ar"/>
        </w:rPr>
        <w:t>方</w:t>
      </w:r>
      <w:r>
        <w:rPr>
          <w:rFonts w:hint="eastAsia" w:ascii="仿宋" w:hAnsi="仿宋" w:eastAsia="仿宋" w:cs="仿宋"/>
          <w:color w:val="auto"/>
          <w:kern w:val="2"/>
          <w:sz w:val="32"/>
          <w:szCs w:val="32"/>
          <w:lang w:val="en-US" w:eastAsia="zh-CN" w:bidi="ar"/>
        </w:rPr>
        <w:t>方征求意见。</w:t>
      </w:r>
    </w:p>
    <w:p w14:paraId="6885214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firstLine="640" w:firstLineChars="200"/>
        <w:jc w:val="left"/>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color w:val="auto"/>
          <w:kern w:val="2"/>
          <w:sz w:val="32"/>
          <w:szCs w:val="32"/>
          <w:lang w:val="en-US" w:eastAsia="zh-CN" w:bidi="ar"/>
        </w:rPr>
        <w:t xml:space="preserve"> 7、由于机构改革，工作职能职责增加，工作人员增加，可经费预算基本维持在以前的水平，建议财政增加年初预算。</w:t>
      </w:r>
    </w:p>
    <w:p w14:paraId="1E9164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p>
    <w:p w14:paraId="3707CF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p>
    <w:p w14:paraId="15DE73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附件：1.部门整体支出绩效评价基础数据表</w:t>
      </w:r>
    </w:p>
    <w:p w14:paraId="540BD7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609" w:firstLineChars="503"/>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2.部门整体支出绩效自评表</w:t>
      </w:r>
    </w:p>
    <w:p w14:paraId="373F31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670379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78A018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31F404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693428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367ABC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00DA57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392F21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1D5454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6C2F6F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425E3C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21B3F0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3515F4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0E5838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24"/>
          <w:szCs w:val="24"/>
          <w:lang w:val="en-US" w:eastAsia="zh-CN"/>
        </w:rPr>
      </w:pPr>
      <w:r>
        <w:rPr>
          <w:rFonts w:hint="eastAsia" w:ascii="黑体" w:hAnsi="黑体" w:eastAsia="黑体" w:cs="黑体"/>
          <w:i w:val="0"/>
          <w:iCs w:val="0"/>
          <w:caps w:val="0"/>
          <w:color w:val="000000"/>
          <w:spacing w:val="0"/>
          <w:sz w:val="32"/>
          <w:szCs w:val="32"/>
          <w:shd w:val="clear" w:fill="FFFFFF"/>
        </w:rPr>
        <w:t>附件</w:t>
      </w:r>
      <w:r>
        <w:rPr>
          <w:rFonts w:hint="eastAsia" w:ascii="黑体" w:hAnsi="黑体" w:eastAsia="黑体" w:cs="黑体"/>
          <w:i w:val="0"/>
          <w:iCs w:val="0"/>
          <w:caps w:val="0"/>
          <w:color w:val="000000"/>
          <w:spacing w:val="0"/>
          <w:sz w:val="32"/>
          <w:szCs w:val="32"/>
          <w:shd w:val="clear" w:fill="FFFFFF"/>
          <w:lang w:val="en-US" w:eastAsia="zh-CN"/>
        </w:rPr>
        <w:t>1</w:t>
      </w:r>
    </w:p>
    <w:p w14:paraId="3D4307FD">
      <w:pPr>
        <w:spacing w:line="740" w:lineRule="exact"/>
        <w:jc w:val="center"/>
        <w:rPr>
          <w:rFonts w:hint="eastAsia" w:ascii="黑体" w:hAnsi="黑体" w:eastAsia="黑体" w:cs="黑体"/>
          <w:spacing w:val="-20"/>
          <w:sz w:val="44"/>
          <w:szCs w:val="44"/>
        </w:rPr>
      </w:pPr>
      <w:r>
        <w:rPr>
          <w:rFonts w:hint="eastAsia" w:ascii="黑体" w:hAnsi="黑体" w:eastAsia="黑体" w:cs="黑体"/>
          <w:spacing w:val="-20"/>
          <w:sz w:val="44"/>
          <w:szCs w:val="44"/>
          <w:lang w:eastAsia="zh-CN"/>
        </w:rPr>
        <w:t>2023</w:t>
      </w:r>
      <w:r>
        <w:rPr>
          <w:rFonts w:hint="eastAsia" w:ascii="黑体" w:hAnsi="黑体" w:eastAsia="黑体" w:cs="黑体"/>
          <w:spacing w:val="-20"/>
          <w:sz w:val="44"/>
          <w:szCs w:val="44"/>
        </w:rPr>
        <w:t>年度部门整体支出绩效评价基础数据表</w:t>
      </w:r>
    </w:p>
    <w:p w14:paraId="62CE9F5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方正小标宋_GBK" w:cs="Times New Roman"/>
          <w:sz w:val="44"/>
        </w:rPr>
      </w:pPr>
    </w:p>
    <w:tbl>
      <w:tblPr>
        <w:tblStyle w:val="5"/>
        <w:tblW w:w="10045" w:type="dxa"/>
        <w:jc w:val="center"/>
        <w:tblLayout w:type="fixed"/>
        <w:tblCellMar>
          <w:top w:w="0" w:type="dxa"/>
          <w:left w:w="108" w:type="dxa"/>
          <w:bottom w:w="0" w:type="dxa"/>
          <w:right w:w="108" w:type="dxa"/>
        </w:tblCellMar>
      </w:tblPr>
      <w:tblGrid>
        <w:gridCol w:w="3543"/>
        <w:gridCol w:w="1207"/>
        <w:gridCol w:w="930"/>
        <w:gridCol w:w="945"/>
        <w:gridCol w:w="1110"/>
        <w:gridCol w:w="1155"/>
        <w:gridCol w:w="1155"/>
      </w:tblGrid>
      <w:tr w14:paraId="4209B4E7">
        <w:tblPrEx>
          <w:tblCellMar>
            <w:top w:w="0" w:type="dxa"/>
            <w:left w:w="108" w:type="dxa"/>
            <w:bottom w:w="0" w:type="dxa"/>
            <w:right w:w="108" w:type="dxa"/>
          </w:tblCellMar>
        </w:tblPrEx>
        <w:trPr>
          <w:jc w:val="center"/>
        </w:trPr>
        <w:tc>
          <w:tcPr>
            <w:tcW w:w="3543" w:type="dxa"/>
            <w:vMerge w:val="restart"/>
            <w:tcBorders>
              <w:top w:val="single" w:color="auto" w:sz="4" w:space="0"/>
              <w:left w:val="single" w:color="auto" w:sz="4" w:space="0"/>
              <w:bottom w:val="single" w:color="auto" w:sz="4" w:space="0"/>
              <w:right w:val="single" w:color="auto" w:sz="4" w:space="0"/>
            </w:tcBorders>
            <w:noWrap w:val="0"/>
            <w:vAlign w:val="center"/>
          </w:tcPr>
          <w:p w14:paraId="195775B4">
            <w:pPr>
              <w:widowControl/>
              <w:spacing w:line="320" w:lineRule="exact"/>
              <w:jc w:val="center"/>
              <w:rPr>
                <w:rFonts w:hint="eastAsia" w:ascii="仿宋" w:hAnsi="仿宋" w:eastAsia="仿宋" w:cs="仿宋"/>
                <w:kern w:val="0"/>
                <w:sz w:val="32"/>
                <w:szCs w:val="21"/>
              </w:rPr>
            </w:pPr>
            <w:r>
              <w:rPr>
                <w:rFonts w:hint="eastAsia" w:ascii="仿宋" w:hAnsi="仿宋" w:eastAsia="仿宋" w:cs="仿宋"/>
                <w:b/>
                <w:bCs/>
                <w:kern w:val="0"/>
                <w:sz w:val="21"/>
                <w:szCs w:val="21"/>
              </w:rPr>
              <w:t>财政供养人员情况（人）</w:t>
            </w:r>
          </w:p>
        </w:tc>
        <w:tc>
          <w:tcPr>
            <w:tcW w:w="2137" w:type="dxa"/>
            <w:gridSpan w:val="2"/>
            <w:tcBorders>
              <w:top w:val="single" w:color="auto" w:sz="4" w:space="0"/>
              <w:left w:val="nil"/>
              <w:bottom w:val="single" w:color="auto" w:sz="4" w:space="0"/>
              <w:right w:val="single" w:color="auto" w:sz="4" w:space="0"/>
            </w:tcBorders>
            <w:noWrap w:val="0"/>
            <w:vAlign w:val="center"/>
          </w:tcPr>
          <w:p w14:paraId="65DB2E2E">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编制数</w:t>
            </w:r>
          </w:p>
        </w:tc>
        <w:tc>
          <w:tcPr>
            <w:tcW w:w="2055" w:type="dxa"/>
            <w:gridSpan w:val="2"/>
            <w:tcBorders>
              <w:top w:val="single" w:color="auto" w:sz="4" w:space="0"/>
              <w:left w:val="nil"/>
              <w:bottom w:val="single" w:color="auto" w:sz="4" w:space="0"/>
              <w:right w:val="single" w:color="auto" w:sz="4" w:space="0"/>
            </w:tcBorders>
            <w:noWrap w:val="0"/>
            <w:vAlign w:val="center"/>
          </w:tcPr>
          <w:p w14:paraId="45DDAB70">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2023</w:t>
            </w:r>
            <w:r>
              <w:rPr>
                <w:rFonts w:hint="eastAsia" w:ascii="仿宋" w:hAnsi="仿宋" w:eastAsia="仿宋" w:cs="仿宋"/>
                <w:b/>
                <w:bCs/>
                <w:kern w:val="0"/>
                <w:sz w:val="21"/>
                <w:szCs w:val="21"/>
              </w:rPr>
              <w:t>年实际在职人数</w:t>
            </w:r>
          </w:p>
        </w:tc>
        <w:tc>
          <w:tcPr>
            <w:tcW w:w="2310" w:type="dxa"/>
            <w:gridSpan w:val="2"/>
            <w:tcBorders>
              <w:top w:val="single" w:color="auto" w:sz="4" w:space="0"/>
              <w:left w:val="nil"/>
              <w:bottom w:val="single" w:color="auto" w:sz="4" w:space="0"/>
              <w:right w:val="single" w:color="auto" w:sz="4" w:space="0"/>
            </w:tcBorders>
            <w:noWrap w:val="0"/>
            <w:vAlign w:val="center"/>
          </w:tcPr>
          <w:p w14:paraId="72F584A6">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控制率</w:t>
            </w:r>
          </w:p>
        </w:tc>
      </w:tr>
      <w:tr w14:paraId="3F11DB47">
        <w:tblPrEx>
          <w:tblCellMar>
            <w:top w:w="0" w:type="dxa"/>
            <w:left w:w="108" w:type="dxa"/>
            <w:bottom w:w="0" w:type="dxa"/>
            <w:right w:w="108" w:type="dxa"/>
          </w:tblCellMar>
        </w:tblPrEx>
        <w:trPr>
          <w:jc w:val="center"/>
        </w:trPr>
        <w:tc>
          <w:tcPr>
            <w:tcW w:w="3543" w:type="dxa"/>
            <w:vMerge w:val="continue"/>
            <w:tcBorders>
              <w:top w:val="single" w:color="auto" w:sz="4" w:space="0"/>
              <w:left w:val="single" w:color="auto" w:sz="4" w:space="0"/>
              <w:bottom w:val="single" w:color="auto" w:sz="4" w:space="0"/>
              <w:right w:val="single" w:color="auto" w:sz="4" w:space="0"/>
            </w:tcBorders>
            <w:noWrap w:val="0"/>
            <w:vAlign w:val="center"/>
          </w:tcPr>
          <w:p w14:paraId="4B69EA64">
            <w:pPr>
              <w:widowControl/>
              <w:spacing w:line="320" w:lineRule="exact"/>
              <w:jc w:val="left"/>
              <w:rPr>
                <w:rFonts w:hint="eastAsia" w:ascii="仿宋" w:hAnsi="仿宋" w:eastAsia="仿宋" w:cs="仿宋"/>
                <w:kern w:val="0"/>
                <w:sz w:val="32"/>
                <w:szCs w:val="21"/>
              </w:rPr>
            </w:pPr>
          </w:p>
        </w:tc>
        <w:tc>
          <w:tcPr>
            <w:tcW w:w="2137" w:type="dxa"/>
            <w:gridSpan w:val="2"/>
            <w:tcBorders>
              <w:top w:val="single" w:color="auto" w:sz="4" w:space="0"/>
              <w:left w:val="nil"/>
              <w:bottom w:val="single" w:color="auto" w:sz="4" w:space="0"/>
              <w:right w:val="single" w:color="auto" w:sz="4" w:space="0"/>
            </w:tcBorders>
            <w:noWrap w:val="0"/>
            <w:vAlign w:val="center"/>
          </w:tcPr>
          <w:p w14:paraId="7A1888E9">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16</w:t>
            </w:r>
          </w:p>
        </w:tc>
        <w:tc>
          <w:tcPr>
            <w:tcW w:w="2055" w:type="dxa"/>
            <w:gridSpan w:val="2"/>
            <w:tcBorders>
              <w:top w:val="single" w:color="auto" w:sz="4" w:space="0"/>
              <w:left w:val="nil"/>
              <w:bottom w:val="single" w:color="auto" w:sz="4" w:space="0"/>
              <w:right w:val="single" w:color="auto" w:sz="4" w:space="0"/>
            </w:tcBorders>
            <w:noWrap w:val="0"/>
            <w:vAlign w:val="center"/>
          </w:tcPr>
          <w:p w14:paraId="33EECAA8">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15</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auto" w:sz="4" w:space="0"/>
            </w:tcBorders>
            <w:noWrap w:val="0"/>
            <w:vAlign w:val="center"/>
          </w:tcPr>
          <w:p w14:paraId="58D564B0">
            <w:pPr>
              <w:widowControl/>
              <w:spacing w:line="320" w:lineRule="exact"/>
              <w:jc w:val="center"/>
              <w:rPr>
                <w:rFonts w:hint="eastAsia" w:ascii="仿宋" w:hAnsi="仿宋" w:eastAsia="仿宋" w:cs="仿宋"/>
                <w:kern w:val="0"/>
                <w:sz w:val="21"/>
                <w:szCs w:val="21"/>
                <w:lang w:val="en-US" w:eastAsia="zh-CN" w:bidi="ar-SA"/>
              </w:rPr>
            </w:pPr>
          </w:p>
        </w:tc>
      </w:tr>
      <w:tr w14:paraId="5F2DDBE1">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1A6935E4">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经费控制情况（万元）</w:t>
            </w:r>
          </w:p>
        </w:tc>
        <w:tc>
          <w:tcPr>
            <w:tcW w:w="2137" w:type="dxa"/>
            <w:gridSpan w:val="2"/>
            <w:tcBorders>
              <w:top w:val="single" w:color="auto" w:sz="4" w:space="0"/>
              <w:left w:val="nil"/>
              <w:bottom w:val="single" w:color="auto" w:sz="4" w:space="0"/>
              <w:right w:val="single" w:color="000000" w:sz="4" w:space="0"/>
            </w:tcBorders>
            <w:noWrap w:val="0"/>
            <w:vAlign w:val="center"/>
          </w:tcPr>
          <w:p w14:paraId="4B78D371">
            <w:pPr>
              <w:widowControl/>
              <w:spacing w:line="320" w:lineRule="exact"/>
              <w:jc w:val="center"/>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2</w:t>
            </w:r>
            <w:r>
              <w:rPr>
                <w:rFonts w:hint="eastAsia" w:ascii="仿宋" w:hAnsi="仿宋" w:eastAsia="仿宋" w:cs="仿宋"/>
                <w:b/>
                <w:bCs/>
                <w:kern w:val="0"/>
                <w:sz w:val="21"/>
                <w:szCs w:val="21"/>
              </w:rPr>
              <w:t>年决算数</w:t>
            </w:r>
          </w:p>
        </w:tc>
        <w:tc>
          <w:tcPr>
            <w:tcW w:w="2055" w:type="dxa"/>
            <w:gridSpan w:val="2"/>
            <w:tcBorders>
              <w:top w:val="single" w:color="auto" w:sz="4" w:space="0"/>
              <w:left w:val="nil"/>
              <w:bottom w:val="single" w:color="auto" w:sz="4" w:space="0"/>
              <w:right w:val="single" w:color="000000" w:sz="4" w:space="0"/>
            </w:tcBorders>
            <w:noWrap w:val="0"/>
            <w:vAlign w:val="center"/>
          </w:tcPr>
          <w:p w14:paraId="74004020">
            <w:pPr>
              <w:widowControl/>
              <w:spacing w:line="320" w:lineRule="exact"/>
              <w:jc w:val="center"/>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eastAsia="zh-CN"/>
              </w:rPr>
              <w:t>2023</w:t>
            </w:r>
            <w:r>
              <w:rPr>
                <w:rFonts w:hint="eastAsia" w:ascii="仿宋" w:hAnsi="仿宋" w:eastAsia="仿宋" w:cs="仿宋"/>
                <w:b/>
                <w:bCs/>
                <w:kern w:val="0"/>
                <w:sz w:val="21"/>
                <w:szCs w:val="21"/>
              </w:rPr>
              <w:t>年预算数</w:t>
            </w:r>
          </w:p>
        </w:tc>
        <w:tc>
          <w:tcPr>
            <w:tcW w:w="2310" w:type="dxa"/>
            <w:gridSpan w:val="2"/>
            <w:tcBorders>
              <w:top w:val="single" w:color="auto" w:sz="4" w:space="0"/>
              <w:left w:val="nil"/>
              <w:bottom w:val="single" w:color="auto" w:sz="4" w:space="0"/>
              <w:right w:val="single" w:color="000000" w:sz="4" w:space="0"/>
            </w:tcBorders>
            <w:noWrap w:val="0"/>
            <w:vAlign w:val="center"/>
          </w:tcPr>
          <w:p w14:paraId="38C84C85">
            <w:pPr>
              <w:widowControl/>
              <w:spacing w:line="320" w:lineRule="exact"/>
              <w:jc w:val="center"/>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eastAsia="zh-CN"/>
              </w:rPr>
              <w:t>2023</w:t>
            </w:r>
            <w:r>
              <w:rPr>
                <w:rFonts w:hint="eastAsia" w:ascii="仿宋" w:hAnsi="仿宋" w:eastAsia="仿宋" w:cs="仿宋"/>
                <w:b/>
                <w:bCs/>
                <w:kern w:val="0"/>
                <w:sz w:val="21"/>
                <w:szCs w:val="21"/>
              </w:rPr>
              <w:t>年决算数</w:t>
            </w:r>
          </w:p>
        </w:tc>
      </w:tr>
      <w:tr w14:paraId="018E9BFE">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74BB13D9">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三公经费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0A723196">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0.33</w:t>
            </w:r>
          </w:p>
        </w:tc>
        <w:tc>
          <w:tcPr>
            <w:tcW w:w="2055" w:type="dxa"/>
            <w:gridSpan w:val="2"/>
            <w:tcBorders>
              <w:top w:val="single" w:color="auto" w:sz="4" w:space="0"/>
              <w:left w:val="nil"/>
              <w:bottom w:val="single" w:color="auto" w:sz="4" w:space="0"/>
              <w:right w:val="single" w:color="000000" w:sz="4" w:space="0"/>
            </w:tcBorders>
            <w:noWrap w:val="0"/>
            <w:vAlign w:val="center"/>
          </w:tcPr>
          <w:p w14:paraId="2E8E3724">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1.5</w:t>
            </w:r>
          </w:p>
        </w:tc>
        <w:tc>
          <w:tcPr>
            <w:tcW w:w="2310" w:type="dxa"/>
            <w:gridSpan w:val="2"/>
            <w:tcBorders>
              <w:top w:val="single" w:color="auto" w:sz="4" w:space="0"/>
              <w:left w:val="nil"/>
              <w:bottom w:val="single" w:color="auto" w:sz="4" w:space="0"/>
              <w:right w:val="single" w:color="000000" w:sz="4" w:space="0"/>
            </w:tcBorders>
            <w:noWrap w:val="0"/>
            <w:vAlign w:val="center"/>
          </w:tcPr>
          <w:p w14:paraId="535450B0">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1.5</w:t>
            </w:r>
          </w:p>
        </w:tc>
      </w:tr>
      <w:tr w14:paraId="33565E5A">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3830C73D">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1、公务用车购置和维护经费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2DF8721F">
            <w:pPr>
              <w:widowControl/>
              <w:spacing w:line="320" w:lineRule="exact"/>
              <w:jc w:val="center"/>
              <w:rPr>
                <w:rFonts w:hint="eastAsia" w:ascii="仿宋" w:hAnsi="仿宋" w:eastAsia="仿宋" w:cs="仿宋"/>
                <w:kern w:val="0"/>
                <w:sz w:val="21"/>
                <w:szCs w:val="21"/>
                <w:lang w:val="en-US" w:eastAsia="zh-CN" w:bidi="ar-SA"/>
              </w:rPr>
            </w:pPr>
          </w:p>
        </w:tc>
        <w:tc>
          <w:tcPr>
            <w:tcW w:w="2055" w:type="dxa"/>
            <w:gridSpan w:val="2"/>
            <w:tcBorders>
              <w:top w:val="single" w:color="auto" w:sz="4" w:space="0"/>
              <w:left w:val="nil"/>
              <w:bottom w:val="single" w:color="auto" w:sz="4" w:space="0"/>
              <w:right w:val="single" w:color="000000" w:sz="4" w:space="0"/>
            </w:tcBorders>
            <w:noWrap w:val="0"/>
            <w:vAlign w:val="center"/>
          </w:tcPr>
          <w:p w14:paraId="36DB04D6">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58C11A18">
            <w:pPr>
              <w:widowControl/>
              <w:spacing w:line="320" w:lineRule="exact"/>
              <w:jc w:val="center"/>
              <w:rPr>
                <w:rFonts w:hint="eastAsia" w:ascii="仿宋" w:hAnsi="仿宋" w:eastAsia="仿宋" w:cs="仿宋"/>
                <w:kern w:val="0"/>
                <w:sz w:val="21"/>
                <w:szCs w:val="21"/>
                <w:lang w:val="en-US" w:eastAsia="zh-CN" w:bidi="ar-SA"/>
              </w:rPr>
            </w:pPr>
          </w:p>
        </w:tc>
      </w:tr>
      <w:tr w14:paraId="3008289E">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71953F03">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其中：公车购置</w:t>
            </w:r>
          </w:p>
        </w:tc>
        <w:tc>
          <w:tcPr>
            <w:tcW w:w="2137" w:type="dxa"/>
            <w:gridSpan w:val="2"/>
            <w:tcBorders>
              <w:top w:val="single" w:color="auto" w:sz="4" w:space="0"/>
              <w:left w:val="nil"/>
              <w:bottom w:val="single" w:color="auto" w:sz="4" w:space="0"/>
              <w:right w:val="single" w:color="000000" w:sz="4" w:space="0"/>
            </w:tcBorders>
            <w:noWrap w:val="0"/>
            <w:vAlign w:val="center"/>
          </w:tcPr>
          <w:p w14:paraId="5DDA32B2">
            <w:pPr>
              <w:widowControl/>
              <w:spacing w:line="320" w:lineRule="exact"/>
              <w:jc w:val="center"/>
              <w:rPr>
                <w:rFonts w:hint="eastAsia" w:ascii="仿宋" w:hAnsi="仿宋" w:eastAsia="仿宋" w:cs="仿宋"/>
                <w:kern w:val="0"/>
                <w:sz w:val="21"/>
                <w:szCs w:val="21"/>
                <w:lang w:val="en-US" w:eastAsia="zh-CN" w:bidi="ar-SA"/>
              </w:rPr>
            </w:pPr>
          </w:p>
        </w:tc>
        <w:tc>
          <w:tcPr>
            <w:tcW w:w="2055" w:type="dxa"/>
            <w:gridSpan w:val="2"/>
            <w:tcBorders>
              <w:top w:val="single" w:color="auto" w:sz="4" w:space="0"/>
              <w:left w:val="nil"/>
              <w:bottom w:val="single" w:color="auto" w:sz="4" w:space="0"/>
              <w:right w:val="single" w:color="000000" w:sz="4" w:space="0"/>
            </w:tcBorders>
            <w:noWrap w:val="0"/>
            <w:vAlign w:val="center"/>
          </w:tcPr>
          <w:p w14:paraId="315682B3">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797116A8">
            <w:pPr>
              <w:widowControl/>
              <w:spacing w:line="320" w:lineRule="exact"/>
              <w:jc w:val="center"/>
              <w:rPr>
                <w:rFonts w:hint="eastAsia" w:ascii="仿宋" w:hAnsi="仿宋" w:eastAsia="仿宋" w:cs="仿宋"/>
                <w:kern w:val="0"/>
                <w:sz w:val="21"/>
                <w:szCs w:val="21"/>
                <w:lang w:val="en-US" w:eastAsia="zh-CN" w:bidi="ar-SA"/>
              </w:rPr>
            </w:pPr>
          </w:p>
        </w:tc>
      </w:tr>
      <w:tr w14:paraId="502B04B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0CDB6FC9">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公车运行维护</w:t>
            </w:r>
          </w:p>
        </w:tc>
        <w:tc>
          <w:tcPr>
            <w:tcW w:w="2137" w:type="dxa"/>
            <w:gridSpan w:val="2"/>
            <w:tcBorders>
              <w:top w:val="single" w:color="auto" w:sz="4" w:space="0"/>
              <w:left w:val="nil"/>
              <w:bottom w:val="single" w:color="auto" w:sz="4" w:space="0"/>
              <w:right w:val="single" w:color="000000" w:sz="4" w:space="0"/>
            </w:tcBorders>
            <w:noWrap w:val="0"/>
            <w:vAlign w:val="center"/>
          </w:tcPr>
          <w:p w14:paraId="3DFF6B3D">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527FEBA0">
            <w:pPr>
              <w:widowControl/>
              <w:spacing w:line="320" w:lineRule="exact"/>
              <w:jc w:val="center"/>
              <w:rPr>
                <w:rFonts w:hint="eastAsia" w:ascii="仿宋" w:hAnsi="仿宋" w:eastAsia="仿宋" w:cs="仿宋"/>
                <w:kern w:val="0"/>
                <w:sz w:val="21"/>
                <w:szCs w:val="21"/>
                <w:lang w:val="en-US" w:eastAsia="zh-CN" w:bidi="ar-SA"/>
              </w:rPr>
            </w:pPr>
          </w:p>
        </w:tc>
        <w:tc>
          <w:tcPr>
            <w:tcW w:w="2310" w:type="dxa"/>
            <w:gridSpan w:val="2"/>
            <w:tcBorders>
              <w:top w:val="single" w:color="auto" w:sz="4" w:space="0"/>
              <w:left w:val="nil"/>
              <w:bottom w:val="single" w:color="auto" w:sz="4" w:space="0"/>
              <w:right w:val="single" w:color="000000" w:sz="4" w:space="0"/>
            </w:tcBorders>
            <w:noWrap w:val="0"/>
            <w:vAlign w:val="center"/>
          </w:tcPr>
          <w:p w14:paraId="1387F5BE">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p>
        </w:tc>
      </w:tr>
      <w:tr w14:paraId="516B987B">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0CB42344">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2、出国经费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1D343ADC">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4E4131E9">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30355401">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p>
        </w:tc>
      </w:tr>
      <w:tr w14:paraId="453CE5E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0615479E">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3、公务接待</w:t>
            </w:r>
          </w:p>
        </w:tc>
        <w:tc>
          <w:tcPr>
            <w:tcW w:w="2137" w:type="dxa"/>
            <w:gridSpan w:val="2"/>
            <w:tcBorders>
              <w:top w:val="single" w:color="auto" w:sz="4" w:space="0"/>
              <w:left w:val="nil"/>
              <w:bottom w:val="single" w:color="auto" w:sz="4" w:space="0"/>
              <w:right w:val="single" w:color="000000" w:sz="4" w:space="0"/>
            </w:tcBorders>
            <w:noWrap w:val="0"/>
            <w:vAlign w:val="center"/>
          </w:tcPr>
          <w:p w14:paraId="4DE04F04">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0.33</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75B2E695">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1.5</w:t>
            </w:r>
          </w:p>
        </w:tc>
        <w:tc>
          <w:tcPr>
            <w:tcW w:w="2310" w:type="dxa"/>
            <w:gridSpan w:val="2"/>
            <w:tcBorders>
              <w:top w:val="single" w:color="auto" w:sz="4" w:space="0"/>
              <w:left w:val="nil"/>
              <w:bottom w:val="single" w:color="auto" w:sz="4" w:space="0"/>
              <w:right w:val="single" w:color="000000" w:sz="4" w:space="0"/>
            </w:tcBorders>
            <w:noWrap w:val="0"/>
            <w:vAlign w:val="center"/>
          </w:tcPr>
          <w:p w14:paraId="2DFC8974">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1.5</w:t>
            </w:r>
            <w:r>
              <w:rPr>
                <w:rFonts w:hint="eastAsia" w:ascii="仿宋" w:hAnsi="仿宋" w:eastAsia="仿宋" w:cs="仿宋"/>
                <w:kern w:val="0"/>
                <w:sz w:val="21"/>
                <w:szCs w:val="21"/>
              </w:rPr>
              <w:t>　</w:t>
            </w:r>
          </w:p>
        </w:tc>
      </w:tr>
      <w:tr w14:paraId="6D60EDE5">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51E8228E">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项目支出</w:t>
            </w:r>
          </w:p>
        </w:tc>
        <w:tc>
          <w:tcPr>
            <w:tcW w:w="2137" w:type="dxa"/>
            <w:gridSpan w:val="2"/>
            <w:tcBorders>
              <w:top w:val="single" w:color="auto" w:sz="4" w:space="0"/>
              <w:left w:val="nil"/>
              <w:bottom w:val="single" w:color="auto" w:sz="4" w:space="0"/>
              <w:right w:val="single" w:color="000000" w:sz="4" w:space="0"/>
            </w:tcBorders>
            <w:noWrap w:val="0"/>
            <w:vAlign w:val="center"/>
          </w:tcPr>
          <w:p w14:paraId="5C454BED">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0</w:t>
            </w:r>
          </w:p>
        </w:tc>
        <w:tc>
          <w:tcPr>
            <w:tcW w:w="2055" w:type="dxa"/>
            <w:gridSpan w:val="2"/>
            <w:tcBorders>
              <w:top w:val="single" w:color="auto" w:sz="4" w:space="0"/>
              <w:left w:val="nil"/>
              <w:bottom w:val="single" w:color="auto" w:sz="4" w:space="0"/>
              <w:right w:val="single" w:color="000000" w:sz="4" w:space="0"/>
            </w:tcBorders>
            <w:noWrap w:val="0"/>
            <w:vAlign w:val="center"/>
          </w:tcPr>
          <w:p w14:paraId="6B5D860F">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333.61</w:t>
            </w:r>
          </w:p>
        </w:tc>
        <w:tc>
          <w:tcPr>
            <w:tcW w:w="2310" w:type="dxa"/>
            <w:gridSpan w:val="2"/>
            <w:tcBorders>
              <w:top w:val="single" w:color="auto" w:sz="4" w:space="0"/>
              <w:left w:val="nil"/>
              <w:bottom w:val="single" w:color="auto" w:sz="4" w:space="0"/>
              <w:right w:val="single" w:color="000000" w:sz="4" w:space="0"/>
            </w:tcBorders>
            <w:noWrap w:val="0"/>
            <w:vAlign w:val="center"/>
          </w:tcPr>
          <w:p w14:paraId="4E3D7B7F">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333.61</w:t>
            </w:r>
          </w:p>
        </w:tc>
      </w:tr>
      <w:tr w14:paraId="15838D90">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36495D33">
            <w:pPr>
              <w:widowControl/>
              <w:spacing w:line="320" w:lineRule="exact"/>
              <w:ind w:firstLine="315" w:firstLineChars="150"/>
              <w:rPr>
                <w:rFonts w:hint="eastAsia" w:ascii="仿宋" w:hAnsi="仿宋" w:eastAsia="仿宋" w:cs="仿宋"/>
                <w:kern w:val="0"/>
                <w:sz w:val="21"/>
                <w:szCs w:val="21"/>
              </w:rPr>
            </w:pPr>
            <w:r>
              <w:rPr>
                <w:rFonts w:hint="eastAsia" w:ascii="仿宋" w:hAnsi="仿宋" w:eastAsia="仿宋" w:cs="仿宋"/>
                <w:kern w:val="0"/>
                <w:sz w:val="21"/>
                <w:szCs w:val="21"/>
              </w:rPr>
              <w:t xml:space="preserve"> 1、业务工作经费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6CBECCC9">
            <w:pPr>
              <w:widowControl/>
              <w:spacing w:line="320" w:lineRule="exact"/>
              <w:jc w:val="center"/>
              <w:rPr>
                <w:rFonts w:hint="eastAsia" w:ascii="仿宋" w:hAnsi="仿宋" w:eastAsia="仿宋" w:cs="仿宋"/>
                <w:kern w:val="0"/>
                <w:sz w:val="21"/>
                <w:szCs w:val="21"/>
                <w:lang w:val="en-US" w:eastAsia="zh-CN" w:bidi="ar-SA"/>
              </w:rPr>
            </w:pPr>
          </w:p>
        </w:tc>
        <w:tc>
          <w:tcPr>
            <w:tcW w:w="2055" w:type="dxa"/>
            <w:gridSpan w:val="2"/>
            <w:tcBorders>
              <w:top w:val="single" w:color="auto" w:sz="4" w:space="0"/>
              <w:left w:val="nil"/>
              <w:bottom w:val="single" w:color="auto" w:sz="4" w:space="0"/>
              <w:right w:val="single" w:color="000000" w:sz="4" w:space="0"/>
            </w:tcBorders>
            <w:noWrap w:val="0"/>
            <w:vAlign w:val="center"/>
          </w:tcPr>
          <w:p w14:paraId="0B59BD23">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333.61</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41C9D0AF">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333.61</w:t>
            </w:r>
          </w:p>
        </w:tc>
      </w:tr>
      <w:tr w14:paraId="6269FAEC">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5CB8DCDA">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运行维护</w:t>
            </w:r>
            <w:r>
              <w:rPr>
                <w:rFonts w:hint="eastAsia" w:ascii="仿宋" w:hAnsi="仿宋" w:eastAsia="仿宋" w:cs="仿宋"/>
                <w:kern w:val="0"/>
                <w:sz w:val="21"/>
                <w:szCs w:val="21"/>
              </w:rPr>
              <w:t>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2107B7B4">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2EBCC82D">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7405F6F1">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p>
        </w:tc>
      </w:tr>
      <w:tr w14:paraId="00B3CCA7">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4F5F8AE3">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上级</w:t>
            </w:r>
            <w:r>
              <w:rPr>
                <w:rFonts w:hint="eastAsia" w:ascii="仿宋" w:hAnsi="仿宋" w:eastAsia="仿宋" w:cs="仿宋"/>
                <w:kern w:val="0"/>
                <w:sz w:val="21"/>
                <w:szCs w:val="21"/>
              </w:rPr>
              <w:t>专项资金</w:t>
            </w:r>
          </w:p>
        </w:tc>
        <w:tc>
          <w:tcPr>
            <w:tcW w:w="2137" w:type="dxa"/>
            <w:gridSpan w:val="2"/>
            <w:tcBorders>
              <w:top w:val="single" w:color="auto" w:sz="4" w:space="0"/>
              <w:left w:val="nil"/>
              <w:bottom w:val="single" w:color="auto" w:sz="4" w:space="0"/>
              <w:right w:val="single" w:color="000000" w:sz="4" w:space="0"/>
            </w:tcBorders>
            <w:noWrap w:val="0"/>
            <w:vAlign w:val="center"/>
          </w:tcPr>
          <w:p w14:paraId="050DFE38">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000F6EB7">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0E1CC1B2">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p>
        </w:tc>
      </w:tr>
      <w:tr w14:paraId="5B491FE4">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543E97A9">
            <w:pPr>
              <w:widowControl/>
              <w:spacing w:line="320" w:lineRule="exact"/>
              <w:ind w:firstLine="420" w:firstLineChars="20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其中：××专项资金</w:t>
            </w:r>
          </w:p>
        </w:tc>
        <w:tc>
          <w:tcPr>
            <w:tcW w:w="2137" w:type="dxa"/>
            <w:gridSpan w:val="2"/>
            <w:tcBorders>
              <w:top w:val="single" w:color="auto" w:sz="4" w:space="0"/>
              <w:left w:val="nil"/>
              <w:bottom w:val="single" w:color="auto" w:sz="4" w:space="0"/>
              <w:right w:val="single" w:color="000000" w:sz="4" w:space="0"/>
            </w:tcBorders>
            <w:noWrap w:val="0"/>
            <w:vAlign w:val="center"/>
          </w:tcPr>
          <w:p w14:paraId="75498946">
            <w:pPr>
              <w:widowControl/>
              <w:spacing w:line="320" w:lineRule="exact"/>
              <w:jc w:val="center"/>
              <w:rPr>
                <w:rFonts w:hint="eastAsia" w:ascii="仿宋" w:hAnsi="仿宋" w:eastAsia="仿宋" w:cs="仿宋"/>
                <w:kern w:val="0"/>
                <w:sz w:val="21"/>
                <w:szCs w:val="21"/>
                <w:lang w:val="en-US" w:eastAsia="zh-CN" w:bidi="ar-SA"/>
              </w:rPr>
            </w:pPr>
          </w:p>
        </w:tc>
        <w:tc>
          <w:tcPr>
            <w:tcW w:w="2055" w:type="dxa"/>
            <w:gridSpan w:val="2"/>
            <w:tcBorders>
              <w:top w:val="single" w:color="auto" w:sz="4" w:space="0"/>
              <w:left w:val="nil"/>
              <w:bottom w:val="single" w:color="auto" w:sz="4" w:space="0"/>
              <w:right w:val="single" w:color="000000" w:sz="4" w:space="0"/>
            </w:tcBorders>
            <w:noWrap w:val="0"/>
            <w:vAlign w:val="center"/>
          </w:tcPr>
          <w:p w14:paraId="33875227">
            <w:pPr>
              <w:widowControl/>
              <w:spacing w:line="320" w:lineRule="exact"/>
              <w:jc w:val="center"/>
              <w:rPr>
                <w:rFonts w:hint="eastAsia" w:ascii="仿宋" w:hAnsi="仿宋" w:eastAsia="仿宋" w:cs="仿宋"/>
                <w:kern w:val="0"/>
                <w:sz w:val="21"/>
                <w:szCs w:val="21"/>
                <w:lang w:val="en-US" w:eastAsia="zh-CN" w:bidi="ar-SA"/>
              </w:rPr>
            </w:pPr>
          </w:p>
        </w:tc>
        <w:tc>
          <w:tcPr>
            <w:tcW w:w="2310" w:type="dxa"/>
            <w:gridSpan w:val="2"/>
            <w:tcBorders>
              <w:top w:val="single" w:color="auto" w:sz="4" w:space="0"/>
              <w:left w:val="nil"/>
              <w:bottom w:val="single" w:color="auto" w:sz="4" w:space="0"/>
              <w:right w:val="single" w:color="000000" w:sz="4" w:space="0"/>
            </w:tcBorders>
            <w:noWrap w:val="0"/>
            <w:vAlign w:val="center"/>
          </w:tcPr>
          <w:p w14:paraId="1D5770D8">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p>
        </w:tc>
      </w:tr>
      <w:tr w14:paraId="0DAD54A2">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7419302D">
            <w:pPr>
              <w:widowControl/>
              <w:spacing w:line="32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 xml:space="preserve"> </w:t>
            </w:r>
            <w:r>
              <w:rPr>
                <w:rFonts w:hint="eastAsia" w:ascii="仿宋" w:hAnsi="仿宋" w:eastAsia="仿宋" w:cs="仿宋"/>
                <w:kern w:val="0"/>
                <w:sz w:val="21"/>
                <w:szCs w:val="21"/>
                <w:lang w:val="en-US" w:eastAsia="zh-CN"/>
              </w:rPr>
              <w:t xml:space="preserve">         ××专项资金</w:t>
            </w:r>
          </w:p>
        </w:tc>
        <w:tc>
          <w:tcPr>
            <w:tcW w:w="2137" w:type="dxa"/>
            <w:gridSpan w:val="2"/>
            <w:tcBorders>
              <w:top w:val="single" w:color="auto" w:sz="4" w:space="0"/>
              <w:left w:val="nil"/>
              <w:bottom w:val="single" w:color="auto" w:sz="4" w:space="0"/>
              <w:right w:val="single" w:color="000000" w:sz="4" w:space="0"/>
            </w:tcBorders>
            <w:noWrap w:val="0"/>
            <w:vAlign w:val="center"/>
          </w:tcPr>
          <w:p w14:paraId="7B2070C5">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7CCCFCA6">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2C987486">
            <w:pPr>
              <w:widowControl/>
              <w:spacing w:line="320" w:lineRule="exact"/>
              <w:jc w:val="center"/>
              <w:rPr>
                <w:rFonts w:hint="eastAsia" w:ascii="仿宋" w:hAnsi="仿宋" w:eastAsia="仿宋" w:cs="仿宋"/>
                <w:kern w:val="0"/>
                <w:sz w:val="21"/>
                <w:szCs w:val="21"/>
                <w:lang w:val="en-US" w:eastAsia="zh-CN" w:bidi="ar-SA"/>
              </w:rPr>
            </w:pPr>
          </w:p>
        </w:tc>
      </w:tr>
      <w:tr w14:paraId="360C2E2E">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568DDB6A">
            <w:pPr>
              <w:widowControl/>
              <w:spacing w:line="320" w:lineRule="exact"/>
              <w:rPr>
                <w:rFonts w:hint="eastAsia" w:ascii="仿宋" w:hAnsi="仿宋" w:eastAsia="仿宋" w:cs="仿宋"/>
                <w:kern w:val="0"/>
                <w:sz w:val="21"/>
                <w:szCs w:val="21"/>
                <w:lang w:val="en-US" w:eastAsia="zh-CN"/>
              </w:rPr>
            </w:pPr>
            <w:r>
              <w:rPr>
                <w:rFonts w:hint="eastAsia" w:ascii="仿宋" w:hAnsi="仿宋" w:eastAsia="仿宋" w:cs="仿宋"/>
                <w:b/>
                <w:bCs/>
                <w:kern w:val="0"/>
                <w:sz w:val="21"/>
                <w:szCs w:val="21"/>
                <w:lang w:val="en-US" w:eastAsia="zh-CN"/>
              </w:rPr>
              <w:t>公用经费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78229209">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387.83</w:t>
            </w:r>
          </w:p>
        </w:tc>
        <w:tc>
          <w:tcPr>
            <w:tcW w:w="2055" w:type="dxa"/>
            <w:gridSpan w:val="2"/>
            <w:tcBorders>
              <w:top w:val="single" w:color="auto" w:sz="4" w:space="0"/>
              <w:left w:val="nil"/>
              <w:bottom w:val="single" w:color="auto" w:sz="4" w:space="0"/>
              <w:right w:val="single" w:color="000000" w:sz="4" w:space="0"/>
            </w:tcBorders>
            <w:noWrap w:val="0"/>
            <w:vAlign w:val="center"/>
          </w:tcPr>
          <w:p w14:paraId="45814CE3">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19.81</w:t>
            </w:r>
          </w:p>
        </w:tc>
        <w:tc>
          <w:tcPr>
            <w:tcW w:w="2310" w:type="dxa"/>
            <w:gridSpan w:val="2"/>
            <w:tcBorders>
              <w:top w:val="single" w:color="auto" w:sz="4" w:space="0"/>
              <w:left w:val="nil"/>
              <w:bottom w:val="single" w:color="auto" w:sz="4" w:space="0"/>
              <w:right w:val="single" w:color="000000" w:sz="4" w:space="0"/>
            </w:tcBorders>
            <w:noWrap w:val="0"/>
            <w:vAlign w:val="center"/>
          </w:tcPr>
          <w:p w14:paraId="7F5D3957">
            <w:pPr>
              <w:widowControl/>
              <w:spacing w:line="320" w:lineRule="exact"/>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405.16</w:t>
            </w:r>
          </w:p>
        </w:tc>
      </w:tr>
      <w:tr w14:paraId="1502235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2335D21E">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其中：办公经费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00C42C7C">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3.07</w:t>
            </w:r>
          </w:p>
        </w:tc>
        <w:tc>
          <w:tcPr>
            <w:tcW w:w="2055" w:type="dxa"/>
            <w:gridSpan w:val="2"/>
            <w:tcBorders>
              <w:top w:val="single" w:color="auto" w:sz="4" w:space="0"/>
              <w:left w:val="nil"/>
              <w:bottom w:val="single" w:color="auto" w:sz="4" w:space="0"/>
              <w:right w:val="single" w:color="000000" w:sz="4" w:space="0"/>
            </w:tcBorders>
            <w:noWrap w:val="0"/>
            <w:vAlign w:val="center"/>
          </w:tcPr>
          <w:p w14:paraId="53FFDAF0">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15.81</w:t>
            </w:r>
          </w:p>
        </w:tc>
        <w:tc>
          <w:tcPr>
            <w:tcW w:w="2310" w:type="dxa"/>
            <w:gridSpan w:val="2"/>
            <w:tcBorders>
              <w:top w:val="single" w:color="auto" w:sz="4" w:space="0"/>
              <w:left w:val="nil"/>
              <w:bottom w:val="single" w:color="auto" w:sz="4" w:space="0"/>
              <w:right w:val="single" w:color="000000" w:sz="4" w:space="0"/>
            </w:tcBorders>
            <w:noWrap w:val="0"/>
            <w:vAlign w:val="center"/>
          </w:tcPr>
          <w:p w14:paraId="50C885A5">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11.23</w:t>
            </w:r>
            <w:r>
              <w:rPr>
                <w:rFonts w:hint="eastAsia" w:ascii="仿宋" w:hAnsi="仿宋" w:eastAsia="仿宋" w:cs="仿宋"/>
                <w:kern w:val="0"/>
                <w:sz w:val="21"/>
                <w:szCs w:val="21"/>
              </w:rPr>
              <w:t>　</w:t>
            </w:r>
          </w:p>
        </w:tc>
      </w:tr>
      <w:tr w14:paraId="4AF370AE">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7698211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水费、电费、差旅费</w:t>
            </w:r>
          </w:p>
        </w:tc>
        <w:tc>
          <w:tcPr>
            <w:tcW w:w="2137" w:type="dxa"/>
            <w:gridSpan w:val="2"/>
            <w:tcBorders>
              <w:top w:val="single" w:color="auto" w:sz="4" w:space="0"/>
              <w:left w:val="nil"/>
              <w:bottom w:val="single" w:color="auto" w:sz="4" w:space="0"/>
              <w:right w:val="single" w:color="000000" w:sz="4" w:space="0"/>
            </w:tcBorders>
            <w:noWrap w:val="0"/>
            <w:vAlign w:val="center"/>
          </w:tcPr>
          <w:p w14:paraId="24CEFB75">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8.2</w:t>
            </w:r>
          </w:p>
        </w:tc>
        <w:tc>
          <w:tcPr>
            <w:tcW w:w="2055" w:type="dxa"/>
            <w:gridSpan w:val="2"/>
            <w:tcBorders>
              <w:top w:val="single" w:color="auto" w:sz="4" w:space="0"/>
              <w:left w:val="nil"/>
              <w:bottom w:val="single" w:color="auto" w:sz="4" w:space="0"/>
              <w:right w:val="single" w:color="000000" w:sz="4" w:space="0"/>
            </w:tcBorders>
            <w:noWrap w:val="0"/>
            <w:vAlign w:val="center"/>
          </w:tcPr>
          <w:p w14:paraId="29172DAF">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510ABA22">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35.67</w:t>
            </w:r>
            <w:r>
              <w:rPr>
                <w:rFonts w:hint="eastAsia" w:ascii="仿宋" w:hAnsi="仿宋" w:eastAsia="仿宋" w:cs="仿宋"/>
                <w:kern w:val="0"/>
                <w:sz w:val="21"/>
                <w:szCs w:val="21"/>
              </w:rPr>
              <w:t>　</w:t>
            </w:r>
          </w:p>
        </w:tc>
      </w:tr>
      <w:tr w14:paraId="2D262E04">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0994C741">
            <w:pPr>
              <w:widowControl/>
              <w:spacing w:line="320" w:lineRule="exact"/>
              <w:jc w:val="center"/>
              <w:rPr>
                <w:rFonts w:hint="eastAsia" w:ascii="仿宋" w:hAnsi="仿宋" w:eastAsia="仿宋" w:cs="仿宋"/>
                <w:kern w:val="0"/>
                <w:sz w:val="21"/>
                <w:szCs w:val="21"/>
                <w:lang w:val="en-US"/>
              </w:rPr>
            </w:pPr>
            <w:r>
              <w:rPr>
                <w:rFonts w:hint="eastAsia" w:ascii="仿宋" w:hAnsi="仿宋" w:eastAsia="仿宋" w:cs="仿宋"/>
                <w:kern w:val="0"/>
                <w:sz w:val="21"/>
                <w:szCs w:val="21"/>
                <w:lang w:val="en-US"/>
              </w:rPr>
              <w:t xml:space="preserve"> 会议费、培训费</w:t>
            </w:r>
          </w:p>
        </w:tc>
        <w:tc>
          <w:tcPr>
            <w:tcW w:w="2137" w:type="dxa"/>
            <w:gridSpan w:val="2"/>
            <w:tcBorders>
              <w:top w:val="single" w:color="auto" w:sz="4" w:space="0"/>
              <w:left w:val="nil"/>
              <w:bottom w:val="single" w:color="auto" w:sz="4" w:space="0"/>
              <w:right w:val="single" w:color="000000" w:sz="4" w:space="0"/>
            </w:tcBorders>
            <w:noWrap w:val="0"/>
            <w:vAlign w:val="center"/>
          </w:tcPr>
          <w:p w14:paraId="59876F8C">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0.15</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1500BF91">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5471AAB7">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r>
      <w:tr w14:paraId="381150D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2E10B808">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政府采购金额</w:t>
            </w:r>
          </w:p>
        </w:tc>
        <w:tc>
          <w:tcPr>
            <w:tcW w:w="2137" w:type="dxa"/>
            <w:gridSpan w:val="2"/>
            <w:tcBorders>
              <w:top w:val="single" w:color="auto" w:sz="4" w:space="0"/>
              <w:left w:val="nil"/>
              <w:bottom w:val="single" w:color="auto" w:sz="4" w:space="0"/>
              <w:right w:val="single" w:color="000000" w:sz="4" w:space="0"/>
            </w:tcBorders>
            <w:noWrap w:val="0"/>
            <w:vAlign w:val="center"/>
          </w:tcPr>
          <w:p w14:paraId="37DDDAEF">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15AA7EE0">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1F093487">
            <w:pPr>
              <w:widowControl/>
              <w:spacing w:line="320" w:lineRule="exact"/>
              <w:jc w:val="center"/>
              <w:rPr>
                <w:rFonts w:hint="eastAsia" w:ascii="仿宋" w:hAnsi="仿宋" w:eastAsia="仿宋" w:cs="仿宋"/>
                <w:kern w:val="0"/>
                <w:sz w:val="21"/>
                <w:szCs w:val="21"/>
              </w:rPr>
            </w:pPr>
          </w:p>
        </w:tc>
      </w:tr>
      <w:tr w14:paraId="64139C43">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0015EB01">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部门基本支出预算调整</w:t>
            </w:r>
          </w:p>
        </w:tc>
        <w:tc>
          <w:tcPr>
            <w:tcW w:w="2137" w:type="dxa"/>
            <w:gridSpan w:val="2"/>
            <w:tcBorders>
              <w:top w:val="single" w:color="auto" w:sz="4" w:space="0"/>
              <w:left w:val="nil"/>
              <w:bottom w:val="single" w:color="auto" w:sz="4" w:space="0"/>
              <w:right w:val="single" w:color="000000" w:sz="4" w:space="0"/>
            </w:tcBorders>
            <w:noWrap w:val="0"/>
            <w:vAlign w:val="center"/>
          </w:tcPr>
          <w:p w14:paraId="173DE0D9">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14:paraId="4C90F838">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14:paraId="5CDE6193">
            <w:pPr>
              <w:widowControl/>
              <w:spacing w:line="320" w:lineRule="exact"/>
              <w:jc w:val="center"/>
              <w:rPr>
                <w:rFonts w:hint="eastAsia" w:ascii="仿宋" w:hAnsi="仿宋" w:eastAsia="仿宋" w:cs="仿宋"/>
                <w:kern w:val="0"/>
                <w:sz w:val="21"/>
                <w:szCs w:val="21"/>
              </w:rPr>
            </w:pPr>
          </w:p>
        </w:tc>
      </w:tr>
      <w:tr w14:paraId="50FB3B74">
        <w:tblPrEx>
          <w:tblCellMar>
            <w:top w:w="0" w:type="dxa"/>
            <w:left w:w="108" w:type="dxa"/>
            <w:bottom w:w="0" w:type="dxa"/>
            <w:right w:w="108" w:type="dxa"/>
          </w:tblCellMar>
        </w:tblPrEx>
        <w:trPr>
          <w:trHeight w:val="795" w:hRule="atLeast"/>
          <w:jc w:val="center"/>
        </w:trPr>
        <w:tc>
          <w:tcPr>
            <w:tcW w:w="3543" w:type="dxa"/>
            <w:vMerge w:val="restart"/>
            <w:tcBorders>
              <w:top w:val="nil"/>
              <w:left w:val="single" w:color="auto" w:sz="4" w:space="0"/>
              <w:bottom w:val="single" w:color="auto" w:sz="4" w:space="0"/>
              <w:right w:val="single" w:color="auto" w:sz="4" w:space="0"/>
            </w:tcBorders>
            <w:noWrap w:val="0"/>
            <w:vAlign w:val="center"/>
          </w:tcPr>
          <w:p w14:paraId="51B1AC7C">
            <w:pPr>
              <w:widowControl/>
              <w:spacing w:line="320" w:lineRule="exact"/>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rPr>
              <w:t>楼堂馆所控制情况</w:t>
            </w:r>
          </w:p>
          <w:p w14:paraId="3FCB8B68">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w:t>
            </w:r>
            <w:r>
              <w:rPr>
                <w:rFonts w:hint="eastAsia" w:ascii="仿宋" w:hAnsi="仿宋" w:eastAsia="仿宋" w:cs="仿宋"/>
                <w:b/>
                <w:bCs/>
                <w:kern w:val="0"/>
                <w:sz w:val="21"/>
                <w:szCs w:val="21"/>
                <w:lang w:eastAsia="zh-CN"/>
              </w:rPr>
              <w:t>2023</w:t>
            </w:r>
            <w:r>
              <w:rPr>
                <w:rFonts w:hint="eastAsia" w:ascii="仿宋" w:hAnsi="仿宋" w:eastAsia="仿宋" w:cs="仿宋"/>
                <w:b/>
                <w:bCs/>
                <w:kern w:val="0"/>
                <w:sz w:val="21"/>
                <w:szCs w:val="21"/>
              </w:rPr>
              <w:t>年完工项目）</w:t>
            </w:r>
          </w:p>
        </w:tc>
        <w:tc>
          <w:tcPr>
            <w:tcW w:w="1207" w:type="dxa"/>
            <w:tcBorders>
              <w:top w:val="nil"/>
              <w:left w:val="nil"/>
              <w:bottom w:val="single" w:color="auto" w:sz="4" w:space="0"/>
              <w:right w:val="single" w:color="auto" w:sz="4" w:space="0"/>
            </w:tcBorders>
            <w:noWrap w:val="0"/>
            <w:vAlign w:val="center"/>
          </w:tcPr>
          <w:p w14:paraId="03605D71">
            <w:pPr>
              <w:widowControl/>
              <w:spacing w:line="32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批复规模</w:t>
            </w:r>
          </w:p>
          <w:p w14:paraId="66C10EA3">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930" w:type="dxa"/>
            <w:tcBorders>
              <w:top w:val="nil"/>
              <w:left w:val="nil"/>
              <w:bottom w:val="single" w:color="auto" w:sz="4" w:space="0"/>
              <w:right w:val="single" w:color="auto" w:sz="4" w:space="0"/>
            </w:tcBorders>
            <w:noWrap w:val="0"/>
            <w:vAlign w:val="center"/>
          </w:tcPr>
          <w:p w14:paraId="503ED448">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实际规模（㎡）</w:t>
            </w:r>
          </w:p>
        </w:tc>
        <w:tc>
          <w:tcPr>
            <w:tcW w:w="945" w:type="dxa"/>
            <w:tcBorders>
              <w:top w:val="nil"/>
              <w:left w:val="nil"/>
              <w:bottom w:val="single" w:color="auto" w:sz="4" w:space="0"/>
              <w:right w:val="single" w:color="auto" w:sz="4" w:space="0"/>
            </w:tcBorders>
            <w:noWrap w:val="0"/>
            <w:vAlign w:val="center"/>
          </w:tcPr>
          <w:p w14:paraId="39072ED4">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规模控制率</w:t>
            </w:r>
          </w:p>
        </w:tc>
        <w:tc>
          <w:tcPr>
            <w:tcW w:w="1110" w:type="dxa"/>
            <w:tcBorders>
              <w:top w:val="nil"/>
              <w:left w:val="nil"/>
              <w:bottom w:val="single" w:color="auto" w:sz="4" w:space="0"/>
              <w:right w:val="single" w:color="auto" w:sz="4" w:space="0"/>
            </w:tcBorders>
            <w:noWrap w:val="0"/>
            <w:vAlign w:val="center"/>
          </w:tcPr>
          <w:p w14:paraId="059ECAA9">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预算投资（万元）</w:t>
            </w:r>
          </w:p>
        </w:tc>
        <w:tc>
          <w:tcPr>
            <w:tcW w:w="1155" w:type="dxa"/>
            <w:tcBorders>
              <w:top w:val="nil"/>
              <w:left w:val="nil"/>
              <w:bottom w:val="single" w:color="auto" w:sz="4" w:space="0"/>
              <w:right w:val="single" w:color="auto" w:sz="4" w:space="0"/>
            </w:tcBorders>
            <w:noWrap w:val="0"/>
            <w:vAlign w:val="center"/>
          </w:tcPr>
          <w:p w14:paraId="496F0AAB">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实际投资（万元）</w:t>
            </w:r>
          </w:p>
        </w:tc>
        <w:tc>
          <w:tcPr>
            <w:tcW w:w="1155" w:type="dxa"/>
            <w:tcBorders>
              <w:top w:val="nil"/>
              <w:left w:val="nil"/>
              <w:bottom w:val="single" w:color="auto" w:sz="4" w:space="0"/>
              <w:right w:val="single" w:color="auto" w:sz="4" w:space="0"/>
            </w:tcBorders>
            <w:noWrap w:val="0"/>
            <w:vAlign w:val="center"/>
          </w:tcPr>
          <w:p w14:paraId="23654A0E">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投资概算控制率</w:t>
            </w:r>
          </w:p>
        </w:tc>
      </w:tr>
      <w:tr w14:paraId="35CBDCBC">
        <w:tblPrEx>
          <w:tblCellMar>
            <w:top w:w="0" w:type="dxa"/>
            <w:left w:w="108" w:type="dxa"/>
            <w:bottom w:w="0" w:type="dxa"/>
            <w:right w:w="108" w:type="dxa"/>
          </w:tblCellMar>
        </w:tblPrEx>
        <w:trPr>
          <w:jc w:val="center"/>
        </w:trPr>
        <w:tc>
          <w:tcPr>
            <w:tcW w:w="3543" w:type="dxa"/>
            <w:vMerge w:val="continue"/>
            <w:tcBorders>
              <w:top w:val="nil"/>
              <w:left w:val="single" w:color="auto" w:sz="4" w:space="0"/>
              <w:bottom w:val="single" w:color="auto" w:sz="4" w:space="0"/>
              <w:right w:val="single" w:color="auto" w:sz="4" w:space="0"/>
            </w:tcBorders>
            <w:noWrap w:val="0"/>
            <w:vAlign w:val="center"/>
          </w:tcPr>
          <w:p w14:paraId="293154B4">
            <w:pPr>
              <w:widowControl/>
              <w:spacing w:line="320" w:lineRule="exact"/>
              <w:jc w:val="center"/>
              <w:rPr>
                <w:rFonts w:hint="eastAsia" w:ascii="仿宋" w:hAnsi="仿宋" w:eastAsia="仿宋" w:cs="仿宋"/>
                <w:kern w:val="0"/>
                <w:sz w:val="21"/>
                <w:szCs w:val="21"/>
              </w:rPr>
            </w:pPr>
          </w:p>
        </w:tc>
        <w:tc>
          <w:tcPr>
            <w:tcW w:w="1207" w:type="dxa"/>
            <w:tcBorders>
              <w:top w:val="nil"/>
              <w:left w:val="nil"/>
              <w:bottom w:val="single" w:color="auto" w:sz="4" w:space="0"/>
              <w:right w:val="single" w:color="auto" w:sz="4" w:space="0"/>
            </w:tcBorders>
            <w:noWrap w:val="0"/>
            <w:vAlign w:val="center"/>
          </w:tcPr>
          <w:p w14:paraId="1F3C2B12">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30" w:type="dxa"/>
            <w:tcBorders>
              <w:top w:val="nil"/>
              <w:left w:val="nil"/>
              <w:bottom w:val="single" w:color="auto" w:sz="4" w:space="0"/>
              <w:right w:val="single" w:color="auto" w:sz="4" w:space="0"/>
            </w:tcBorders>
            <w:noWrap w:val="0"/>
            <w:vAlign w:val="center"/>
          </w:tcPr>
          <w:p w14:paraId="71557EE8">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45" w:type="dxa"/>
            <w:tcBorders>
              <w:top w:val="nil"/>
              <w:left w:val="nil"/>
              <w:bottom w:val="single" w:color="auto" w:sz="4" w:space="0"/>
              <w:right w:val="single" w:color="auto" w:sz="4" w:space="0"/>
            </w:tcBorders>
            <w:noWrap w:val="0"/>
            <w:vAlign w:val="center"/>
          </w:tcPr>
          <w:p w14:paraId="2CE36143">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10" w:type="dxa"/>
            <w:tcBorders>
              <w:top w:val="nil"/>
              <w:left w:val="nil"/>
              <w:bottom w:val="single" w:color="auto" w:sz="4" w:space="0"/>
              <w:right w:val="single" w:color="auto" w:sz="4" w:space="0"/>
            </w:tcBorders>
            <w:noWrap w:val="0"/>
            <w:vAlign w:val="center"/>
          </w:tcPr>
          <w:p w14:paraId="3FB3FA29">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noWrap w:val="0"/>
            <w:vAlign w:val="center"/>
          </w:tcPr>
          <w:p w14:paraId="0F7B4437">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noWrap w:val="0"/>
            <w:vAlign w:val="center"/>
          </w:tcPr>
          <w:p w14:paraId="4269CB06">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739A2E12">
        <w:tblPrEx>
          <w:tblCellMar>
            <w:top w:w="0" w:type="dxa"/>
            <w:left w:w="108" w:type="dxa"/>
            <w:bottom w:w="0" w:type="dxa"/>
            <w:right w:w="108" w:type="dxa"/>
          </w:tblCellMar>
        </w:tblPrEx>
        <w:trPr>
          <w:trHeight w:val="1210" w:hRule="atLeast"/>
          <w:jc w:val="center"/>
        </w:trPr>
        <w:tc>
          <w:tcPr>
            <w:tcW w:w="3543" w:type="dxa"/>
            <w:tcBorders>
              <w:top w:val="nil"/>
              <w:left w:val="single" w:color="auto" w:sz="4" w:space="0"/>
              <w:bottom w:val="single" w:color="auto" w:sz="4" w:space="0"/>
              <w:right w:val="single" w:color="auto" w:sz="4" w:space="0"/>
            </w:tcBorders>
            <w:noWrap w:val="0"/>
            <w:vAlign w:val="center"/>
          </w:tcPr>
          <w:p w14:paraId="04B94F8F">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厉行节约保障措施</w:t>
            </w:r>
          </w:p>
        </w:tc>
        <w:tc>
          <w:tcPr>
            <w:tcW w:w="6502" w:type="dxa"/>
            <w:gridSpan w:val="6"/>
            <w:tcBorders>
              <w:top w:val="single" w:color="auto" w:sz="4" w:space="0"/>
              <w:left w:val="nil"/>
              <w:bottom w:val="single" w:color="auto" w:sz="4" w:space="0"/>
              <w:right w:val="single" w:color="000000" w:sz="4" w:space="0"/>
            </w:tcBorders>
            <w:noWrap w:val="0"/>
            <w:vAlign w:val="center"/>
          </w:tcPr>
          <w:p w14:paraId="6C94D64C">
            <w:pPr>
              <w:spacing w:line="240" w:lineRule="exact"/>
              <w:ind w:firstLine="315" w:firstLineChars="150"/>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1、严格控制三公经费支出。2、办公用品采购，严格按照程序审批后方可购置。</w:t>
            </w:r>
          </w:p>
        </w:tc>
      </w:tr>
      <w:tr w14:paraId="6E03AFBE">
        <w:tblPrEx>
          <w:tblCellMar>
            <w:top w:w="0" w:type="dxa"/>
            <w:left w:w="108" w:type="dxa"/>
            <w:bottom w:w="0" w:type="dxa"/>
            <w:right w:w="108" w:type="dxa"/>
          </w:tblCellMar>
        </w:tblPrEx>
        <w:trPr>
          <w:trHeight w:val="865" w:hRule="atLeast"/>
          <w:jc w:val="center"/>
        </w:trPr>
        <w:tc>
          <w:tcPr>
            <w:tcW w:w="10045" w:type="dxa"/>
            <w:gridSpan w:val="7"/>
            <w:tcBorders>
              <w:top w:val="single" w:color="auto" w:sz="4" w:space="0"/>
              <w:left w:val="single" w:color="auto" w:sz="4" w:space="0"/>
              <w:bottom w:val="single" w:color="auto" w:sz="4" w:space="0"/>
              <w:right w:val="single" w:color="000000" w:sz="4" w:space="0"/>
            </w:tcBorders>
            <w:noWrap w:val="0"/>
            <w:vAlign w:val="center"/>
          </w:tcPr>
          <w:p w14:paraId="65C7889E">
            <w:pPr>
              <w:widowControl/>
              <w:spacing w:line="240" w:lineRule="exact"/>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说明：“项目支出”需要填报基本支出以外的所有项目支出情况，“公用经费”填报基本支出中的一般商品和服务支出。</w:t>
            </w:r>
          </w:p>
          <w:p w14:paraId="65325189">
            <w:pPr>
              <w:spacing w:line="240" w:lineRule="exact"/>
              <w:ind w:firstLine="315" w:firstLineChars="150"/>
              <w:rPr>
                <w:rFonts w:hint="eastAsia" w:ascii="仿宋" w:hAnsi="仿宋" w:eastAsia="仿宋" w:cs="仿宋"/>
                <w:kern w:val="0"/>
                <w:sz w:val="21"/>
                <w:szCs w:val="21"/>
              </w:rPr>
            </w:pPr>
          </w:p>
        </w:tc>
      </w:tr>
    </w:tbl>
    <w:p w14:paraId="5438A30D">
      <w:pPr>
        <w:widowControl/>
        <w:spacing w:line="240" w:lineRule="exact"/>
        <w:jc w:val="left"/>
        <w:rPr>
          <w:rFonts w:hint="default" w:ascii="Times New Roman" w:hAnsi="Times New Roman" w:eastAsia="仿宋_GB2312" w:cs="Times New Roman"/>
          <w:kern w:val="0"/>
          <w:sz w:val="21"/>
          <w:szCs w:val="21"/>
        </w:rPr>
      </w:pPr>
    </w:p>
    <w:p w14:paraId="1893DF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p>
    <w:p w14:paraId="6F68E6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eastAsia" w:ascii="宋体" w:hAnsi="宋体" w:eastAsia="宋体" w:cs="宋体"/>
          <w:i w:val="0"/>
          <w:iCs w:val="0"/>
          <w:caps w:val="0"/>
          <w:color w:val="000000"/>
          <w:spacing w:val="0"/>
          <w:sz w:val="24"/>
          <w:szCs w:val="24"/>
        </w:rPr>
      </w:pPr>
    </w:p>
    <w:p w14:paraId="02AFA67F">
      <w:pPr>
        <w:spacing w:line="579"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2</w:t>
      </w:r>
    </w:p>
    <w:p w14:paraId="589D3C96">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黑体" w:cs="Times New Roman"/>
          <w:color w:val="000000"/>
          <w:sz w:val="32"/>
          <w:szCs w:val="32"/>
        </w:rPr>
      </w:pPr>
    </w:p>
    <w:p w14:paraId="140DE1E5">
      <w:pPr>
        <w:spacing w:line="740" w:lineRule="exact"/>
        <w:jc w:val="center"/>
        <w:rPr>
          <w:rFonts w:hint="eastAsia" w:ascii="黑体" w:hAnsi="黑体" w:eastAsia="黑体" w:cs="黑体"/>
          <w:sz w:val="44"/>
        </w:rPr>
      </w:pPr>
      <w:r>
        <w:rPr>
          <w:rFonts w:hint="eastAsia" w:ascii="黑体" w:hAnsi="黑体" w:eastAsia="黑体" w:cs="黑体"/>
          <w:sz w:val="44"/>
          <w:lang w:eastAsia="zh-CN"/>
        </w:rPr>
        <w:t>2023</w:t>
      </w:r>
      <w:r>
        <w:rPr>
          <w:rFonts w:hint="eastAsia" w:ascii="黑体" w:hAnsi="黑体" w:eastAsia="黑体" w:cs="黑体"/>
          <w:sz w:val="44"/>
        </w:rPr>
        <w:t>年度部门整体支出绩效自评表</w:t>
      </w:r>
    </w:p>
    <w:p w14:paraId="7F3C9E7D">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小标宋_GBK" w:cs="Times New Roman"/>
          <w:sz w:val="44"/>
        </w:rPr>
      </w:pPr>
    </w:p>
    <w:tbl>
      <w:tblPr>
        <w:tblStyle w:val="5"/>
        <w:tblW w:w="10415" w:type="dxa"/>
        <w:jc w:val="center"/>
        <w:tblLayout w:type="fixed"/>
        <w:tblCellMar>
          <w:top w:w="0" w:type="dxa"/>
          <w:left w:w="108" w:type="dxa"/>
          <w:bottom w:w="0" w:type="dxa"/>
          <w:right w:w="108" w:type="dxa"/>
        </w:tblCellMar>
      </w:tblPr>
      <w:tblGrid>
        <w:gridCol w:w="716"/>
        <w:gridCol w:w="851"/>
        <w:gridCol w:w="770"/>
        <w:gridCol w:w="1350"/>
        <w:gridCol w:w="253"/>
        <w:gridCol w:w="1487"/>
        <w:gridCol w:w="1635"/>
        <w:gridCol w:w="825"/>
        <w:gridCol w:w="1455"/>
        <w:gridCol w:w="1073"/>
      </w:tblGrid>
      <w:tr w14:paraId="2304D586">
        <w:tblPrEx>
          <w:tblCellMar>
            <w:top w:w="0" w:type="dxa"/>
            <w:left w:w="108" w:type="dxa"/>
            <w:bottom w:w="0" w:type="dxa"/>
            <w:right w:w="108" w:type="dxa"/>
          </w:tblCellMar>
        </w:tblPrEx>
        <w:trPr>
          <w:trHeight w:val="44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162600E2">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单位名称</w:t>
            </w:r>
          </w:p>
        </w:tc>
        <w:tc>
          <w:tcPr>
            <w:tcW w:w="9699" w:type="dxa"/>
            <w:gridSpan w:val="9"/>
            <w:tcBorders>
              <w:top w:val="single" w:color="auto" w:sz="4" w:space="0"/>
              <w:left w:val="nil"/>
              <w:bottom w:val="single" w:color="auto" w:sz="4" w:space="0"/>
              <w:right w:val="single" w:color="auto" w:sz="4" w:space="0"/>
            </w:tcBorders>
            <w:noWrap w:val="0"/>
            <w:vAlign w:val="center"/>
          </w:tcPr>
          <w:p w14:paraId="203C14AC">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绥宁县行政审批服务局</w:t>
            </w:r>
            <w:r>
              <w:rPr>
                <w:rFonts w:hint="eastAsia" w:ascii="仿宋" w:hAnsi="仿宋" w:eastAsia="仿宋" w:cs="仿宋"/>
                <w:color w:val="000000"/>
                <w:kern w:val="0"/>
                <w:sz w:val="21"/>
                <w:szCs w:val="21"/>
              </w:rPr>
              <w:t>　</w:t>
            </w:r>
          </w:p>
        </w:tc>
      </w:tr>
      <w:tr w14:paraId="37E6351D">
        <w:tblPrEx>
          <w:tblCellMar>
            <w:top w:w="0" w:type="dxa"/>
            <w:left w:w="108" w:type="dxa"/>
            <w:bottom w:w="0" w:type="dxa"/>
            <w:right w:w="108" w:type="dxa"/>
          </w:tblCellMar>
        </w:tblPrEx>
        <w:trPr>
          <w:trHeight w:val="460" w:hRule="atLeast"/>
          <w:jc w:val="center"/>
        </w:trPr>
        <w:tc>
          <w:tcPr>
            <w:tcW w:w="716" w:type="dxa"/>
            <w:vMerge w:val="restart"/>
            <w:tcBorders>
              <w:top w:val="nil"/>
              <w:left w:val="single" w:color="auto" w:sz="4" w:space="0"/>
              <w:right w:val="single" w:color="auto" w:sz="4" w:space="0"/>
            </w:tcBorders>
            <w:noWrap w:val="0"/>
            <w:vAlign w:val="center"/>
          </w:tcPr>
          <w:p w14:paraId="6529FFBE">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年度预算申请（万元）</w:t>
            </w:r>
          </w:p>
        </w:tc>
        <w:tc>
          <w:tcPr>
            <w:tcW w:w="1621" w:type="dxa"/>
            <w:gridSpan w:val="2"/>
            <w:tcBorders>
              <w:top w:val="nil"/>
              <w:left w:val="nil"/>
              <w:bottom w:val="single" w:color="auto" w:sz="4" w:space="0"/>
              <w:right w:val="single" w:color="auto" w:sz="4" w:space="0"/>
            </w:tcBorders>
            <w:noWrap w:val="0"/>
            <w:vAlign w:val="center"/>
          </w:tcPr>
          <w:p w14:paraId="722F7636">
            <w:pPr>
              <w:spacing w:line="220" w:lineRule="exact"/>
              <w:jc w:val="center"/>
              <w:rPr>
                <w:rFonts w:hint="eastAsia" w:ascii="仿宋" w:hAnsi="仿宋" w:eastAsia="仿宋" w:cs="仿宋"/>
                <w:color w:val="000000"/>
                <w:kern w:val="0"/>
                <w:sz w:val="21"/>
                <w:szCs w:val="21"/>
              </w:rPr>
            </w:pPr>
          </w:p>
        </w:tc>
        <w:tc>
          <w:tcPr>
            <w:tcW w:w="1350" w:type="dxa"/>
            <w:tcBorders>
              <w:top w:val="nil"/>
              <w:left w:val="nil"/>
              <w:bottom w:val="single" w:color="auto" w:sz="4" w:space="0"/>
              <w:right w:val="single" w:color="auto" w:sz="4" w:space="0"/>
            </w:tcBorders>
            <w:noWrap w:val="0"/>
            <w:vAlign w:val="center"/>
          </w:tcPr>
          <w:p w14:paraId="471AE799">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年初预算数</w:t>
            </w:r>
          </w:p>
        </w:tc>
        <w:tc>
          <w:tcPr>
            <w:tcW w:w="1740" w:type="dxa"/>
            <w:gridSpan w:val="2"/>
            <w:tcBorders>
              <w:top w:val="nil"/>
              <w:left w:val="nil"/>
              <w:bottom w:val="single" w:color="auto" w:sz="4" w:space="0"/>
              <w:right w:val="single" w:color="auto" w:sz="4" w:space="0"/>
            </w:tcBorders>
            <w:noWrap w:val="0"/>
            <w:vAlign w:val="center"/>
          </w:tcPr>
          <w:p w14:paraId="73754511">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全年预算数</w:t>
            </w:r>
            <w:r>
              <w:rPr>
                <w:rFonts w:hint="eastAsia" w:ascii="仿宋" w:hAnsi="仿宋" w:eastAsia="仿宋" w:cs="仿宋"/>
                <w:color w:val="000000"/>
                <w:kern w:val="0"/>
                <w:sz w:val="21"/>
                <w:szCs w:val="21"/>
                <w:lang w:val="en-US" w:eastAsia="zh-CN"/>
              </w:rPr>
              <w:t>(A)</w:t>
            </w:r>
          </w:p>
        </w:tc>
        <w:tc>
          <w:tcPr>
            <w:tcW w:w="1635" w:type="dxa"/>
            <w:tcBorders>
              <w:top w:val="nil"/>
              <w:left w:val="nil"/>
              <w:bottom w:val="single" w:color="auto" w:sz="4" w:space="0"/>
              <w:right w:val="single" w:color="auto" w:sz="4" w:space="0"/>
            </w:tcBorders>
            <w:noWrap w:val="0"/>
            <w:vAlign w:val="center"/>
          </w:tcPr>
          <w:p w14:paraId="4D0F14F7">
            <w:pPr>
              <w:spacing w:line="220" w:lineRule="exact"/>
              <w:jc w:val="both"/>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全年执行数</w:t>
            </w:r>
            <w:r>
              <w:rPr>
                <w:rFonts w:hint="eastAsia" w:ascii="仿宋" w:hAnsi="仿宋" w:eastAsia="仿宋" w:cs="仿宋"/>
                <w:color w:val="000000"/>
                <w:kern w:val="0"/>
                <w:sz w:val="21"/>
                <w:szCs w:val="21"/>
                <w:lang w:val="en-US" w:eastAsia="zh-CN"/>
              </w:rPr>
              <w:t>(B)</w:t>
            </w:r>
          </w:p>
        </w:tc>
        <w:tc>
          <w:tcPr>
            <w:tcW w:w="825" w:type="dxa"/>
            <w:tcBorders>
              <w:top w:val="nil"/>
              <w:left w:val="nil"/>
              <w:bottom w:val="single" w:color="auto" w:sz="4" w:space="0"/>
              <w:right w:val="single" w:color="auto" w:sz="4" w:space="0"/>
            </w:tcBorders>
            <w:noWrap w:val="0"/>
            <w:vAlign w:val="center"/>
          </w:tcPr>
          <w:p w14:paraId="0EED3936">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nil"/>
              <w:left w:val="nil"/>
              <w:bottom w:val="single" w:color="auto" w:sz="4" w:space="0"/>
              <w:right w:val="single" w:color="auto" w:sz="4" w:space="0"/>
            </w:tcBorders>
            <w:noWrap w:val="0"/>
            <w:vAlign w:val="center"/>
          </w:tcPr>
          <w:p w14:paraId="0E99F94F">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执行率</w:t>
            </w:r>
            <w:r>
              <w:rPr>
                <w:rFonts w:hint="eastAsia" w:ascii="仿宋" w:hAnsi="仿宋" w:eastAsia="仿宋" w:cs="仿宋"/>
                <w:color w:val="000000"/>
                <w:kern w:val="0"/>
                <w:sz w:val="21"/>
                <w:szCs w:val="21"/>
                <w:lang w:val="en-US" w:eastAsia="zh-CN"/>
              </w:rPr>
              <w:t>(B/A)</w:t>
            </w:r>
          </w:p>
        </w:tc>
        <w:tc>
          <w:tcPr>
            <w:tcW w:w="1073" w:type="dxa"/>
            <w:tcBorders>
              <w:top w:val="nil"/>
              <w:left w:val="nil"/>
              <w:bottom w:val="single" w:color="auto" w:sz="4" w:space="0"/>
              <w:right w:val="single" w:color="auto" w:sz="4" w:space="0"/>
            </w:tcBorders>
            <w:noWrap w:val="0"/>
            <w:vAlign w:val="center"/>
          </w:tcPr>
          <w:p w14:paraId="544C45D6">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r>
      <w:tr w14:paraId="7AB7D58D">
        <w:tblPrEx>
          <w:tblCellMar>
            <w:top w:w="0" w:type="dxa"/>
            <w:left w:w="108" w:type="dxa"/>
            <w:bottom w:w="0" w:type="dxa"/>
            <w:right w:w="108" w:type="dxa"/>
          </w:tblCellMar>
        </w:tblPrEx>
        <w:trPr>
          <w:trHeight w:val="465" w:hRule="atLeast"/>
          <w:jc w:val="center"/>
        </w:trPr>
        <w:tc>
          <w:tcPr>
            <w:tcW w:w="716" w:type="dxa"/>
            <w:vMerge w:val="continue"/>
            <w:tcBorders>
              <w:top w:val="nil"/>
              <w:left w:val="single" w:color="auto" w:sz="4" w:space="0"/>
              <w:right w:val="single" w:color="auto" w:sz="4" w:space="0"/>
            </w:tcBorders>
            <w:noWrap w:val="0"/>
            <w:vAlign w:val="center"/>
          </w:tcPr>
          <w:p w14:paraId="0675C228">
            <w:pPr>
              <w:widowControl/>
              <w:spacing w:line="220" w:lineRule="exact"/>
              <w:jc w:val="left"/>
              <w:rPr>
                <w:rFonts w:hint="eastAsia" w:ascii="仿宋" w:hAnsi="仿宋" w:eastAsia="仿宋" w:cs="仿宋"/>
                <w:color w:val="000000"/>
                <w:kern w:val="0"/>
                <w:sz w:val="21"/>
                <w:szCs w:val="21"/>
              </w:rPr>
            </w:pPr>
          </w:p>
        </w:tc>
        <w:tc>
          <w:tcPr>
            <w:tcW w:w="1621" w:type="dxa"/>
            <w:gridSpan w:val="2"/>
            <w:tcBorders>
              <w:top w:val="nil"/>
              <w:left w:val="nil"/>
              <w:bottom w:val="single" w:color="auto" w:sz="4" w:space="0"/>
              <w:right w:val="single" w:color="auto" w:sz="4" w:space="0"/>
            </w:tcBorders>
            <w:noWrap w:val="0"/>
            <w:vAlign w:val="center"/>
          </w:tcPr>
          <w:p w14:paraId="19155287">
            <w:pPr>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年度资金总额</w:t>
            </w:r>
          </w:p>
        </w:tc>
        <w:tc>
          <w:tcPr>
            <w:tcW w:w="1350" w:type="dxa"/>
            <w:tcBorders>
              <w:top w:val="nil"/>
              <w:left w:val="nil"/>
              <w:bottom w:val="single" w:color="auto" w:sz="4" w:space="0"/>
              <w:right w:val="single" w:color="auto" w:sz="4" w:space="0"/>
            </w:tcBorders>
            <w:noWrap w:val="0"/>
            <w:vAlign w:val="center"/>
          </w:tcPr>
          <w:p w14:paraId="512A0E61">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340.34</w:t>
            </w:r>
          </w:p>
        </w:tc>
        <w:tc>
          <w:tcPr>
            <w:tcW w:w="1740" w:type="dxa"/>
            <w:gridSpan w:val="2"/>
            <w:tcBorders>
              <w:top w:val="nil"/>
              <w:left w:val="nil"/>
              <w:bottom w:val="single" w:color="auto" w:sz="4" w:space="0"/>
              <w:right w:val="single" w:color="auto" w:sz="4" w:space="0"/>
            </w:tcBorders>
            <w:noWrap w:val="0"/>
            <w:vAlign w:val="center"/>
          </w:tcPr>
          <w:p w14:paraId="087A155A">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940.47</w:t>
            </w:r>
          </w:p>
        </w:tc>
        <w:tc>
          <w:tcPr>
            <w:tcW w:w="1635" w:type="dxa"/>
            <w:tcBorders>
              <w:top w:val="nil"/>
              <w:left w:val="nil"/>
              <w:bottom w:val="single" w:color="auto" w:sz="4" w:space="0"/>
              <w:right w:val="single" w:color="auto" w:sz="4" w:space="0"/>
            </w:tcBorders>
            <w:noWrap w:val="0"/>
            <w:vAlign w:val="center"/>
          </w:tcPr>
          <w:p w14:paraId="4BE503A8">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940.47</w:t>
            </w:r>
          </w:p>
        </w:tc>
        <w:tc>
          <w:tcPr>
            <w:tcW w:w="825" w:type="dxa"/>
            <w:tcBorders>
              <w:top w:val="nil"/>
              <w:left w:val="nil"/>
              <w:bottom w:val="single" w:color="auto" w:sz="4" w:space="0"/>
              <w:right w:val="single" w:color="auto" w:sz="4" w:space="0"/>
            </w:tcBorders>
            <w:noWrap w:val="0"/>
            <w:vAlign w:val="center"/>
          </w:tcPr>
          <w:p w14:paraId="4DEAC3A2">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nil"/>
              <w:left w:val="nil"/>
              <w:bottom w:val="single" w:color="auto" w:sz="4" w:space="0"/>
              <w:right w:val="single" w:color="auto" w:sz="4" w:space="0"/>
            </w:tcBorders>
            <w:noWrap w:val="0"/>
            <w:vAlign w:val="center"/>
          </w:tcPr>
          <w:p w14:paraId="383061E4">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1073" w:type="dxa"/>
            <w:tcBorders>
              <w:top w:val="nil"/>
              <w:left w:val="nil"/>
              <w:bottom w:val="single" w:color="auto" w:sz="4" w:space="0"/>
              <w:right w:val="single" w:color="auto" w:sz="4" w:space="0"/>
            </w:tcBorders>
            <w:noWrap w:val="0"/>
            <w:vAlign w:val="center"/>
          </w:tcPr>
          <w:p w14:paraId="20B8BFE9">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r>
      <w:tr w14:paraId="4BE5F3EC">
        <w:tblPrEx>
          <w:tblCellMar>
            <w:top w:w="0" w:type="dxa"/>
            <w:left w:w="108" w:type="dxa"/>
            <w:bottom w:w="0" w:type="dxa"/>
            <w:right w:w="108" w:type="dxa"/>
          </w:tblCellMar>
        </w:tblPrEx>
        <w:trPr>
          <w:trHeight w:val="435" w:hRule="atLeast"/>
          <w:jc w:val="center"/>
        </w:trPr>
        <w:tc>
          <w:tcPr>
            <w:tcW w:w="716" w:type="dxa"/>
            <w:vMerge w:val="continue"/>
            <w:tcBorders>
              <w:left w:val="single" w:color="auto" w:sz="4" w:space="0"/>
              <w:right w:val="single" w:color="auto" w:sz="4" w:space="0"/>
            </w:tcBorders>
            <w:noWrap w:val="0"/>
            <w:vAlign w:val="center"/>
          </w:tcPr>
          <w:p w14:paraId="096D68A6">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1A399FF0">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按收入性质分：</w:t>
            </w:r>
            <w:r>
              <w:rPr>
                <w:rFonts w:hint="eastAsia" w:ascii="仿宋" w:hAnsi="仿宋" w:eastAsia="仿宋" w:cs="仿宋"/>
                <w:color w:val="000000"/>
                <w:kern w:val="0"/>
                <w:sz w:val="21"/>
                <w:szCs w:val="21"/>
                <w:lang w:val="en-US" w:eastAsia="zh-CN"/>
              </w:rPr>
              <w:t>940.47</w:t>
            </w:r>
          </w:p>
        </w:tc>
        <w:tc>
          <w:tcPr>
            <w:tcW w:w="4988" w:type="dxa"/>
            <w:gridSpan w:val="4"/>
            <w:tcBorders>
              <w:top w:val="nil"/>
              <w:left w:val="nil"/>
              <w:bottom w:val="single" w:color="auto" w:sz="4" w:space="0"/>
              <w:right w:val="single" w:color="auto" w:sz="4" w:space="0"/>
            </w:tcBorders>
            <w:noWrap w:val="0"/>
            <w:vAlign w:val="center"/>
          </w:tcPr>
          <w:p w14:paraId="3010A11D">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按支出性质分：</w:t>
            </w:r>
            <w:r>
              <w:rPr>
                <w:rFonts w:hint="eastAsia" w:ascii="仿宋" w:hAnsi="仿宋" w:eastAsia="仿宋" w:cs="仿宋"/>
                <w:color w:val="000000"/>
                <w:kern w:val="0"/>
                <w:sz w:val="21"/>
                <w:szCs w:val="21"/>
                <w:lang w:val="en-US" w:eastAsia="zh-CN"/>
              </w:rPr>
              <w:t>942.94</w:t>
            </w:r>
          </w:p>
        </w:tc>
      </w:tr>
      <w:tr w14:paraId="41079453">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noWrap w:val="0"/>
            <w:vAlign w:val="center"/>
          </w:tcPr>
          <w:p w14:paraId="59679A1B">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1482932E">
            <w:pPr>
              <w:widowControl/>
              <w:spacing w:line="220" w:lineRule="exact"/>
              <w:ind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其中：一般公共预算：</w:t>
            </w:r>
            <w:r>
              <w:rPr>
                <w:rFonts w:hint="eastAsia" w:ascii="仿宋" w:hAnsi="仿宋" w:eastAsia="仿宋" w:cs="仿宋"/>
                <w:color w:val="000000"/>
                <w:kern w:val="0"/>
                <w:sz w:val="21"/>
                <w:szCs w:val="21"/>
                <w:lang w:val="en-US" w:eastAsia="zh-CN"/>
              </w:rPr>
              <w:t>916.77</w:t>
            </w:r>
          </w:p>
        </w:tc>
        <w:tc>
          <w:tcPr>
            <w:tcW w:w="4988" w:type="dxa"/>
            <w:gridSpan w:val="4"/>
            <w:tcBorders>
              <w:top w:val="nil"/>
              <w:left w:val="nil"/>
              <w:bottom w:val="single" w:color="auto" w:sz="4" w:space="0"/>
              <w:right w:val="single" w:color="auto" w:sz="4" w:space="0"/>
            </w:tcBorders>
            <w:noWrap w:val="0"/>
            <w:vAlign w:val="center"/>
          </w:tcPr>
          <w:p w14:paraId="3886837D">
            <w:pPr>
              <w:widowControl/>
              <w:spacing w:line="220" w:lineRule="exact"/>
              <w:ind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其中：基本支出：</w:t>
            </w:r>
            <w:r>
              <w:rPr>
                <w:rFonts w:hint="eastAsia" w:ascii="仿宋" w:hAnsi="仿宋" w:eastAsia="仿宋" w:cs="仿宋"/>
                <w:color w:val="000000"/>
                <w:kern w:val="0"/>
                <w:sz w:val="21"/>
                <w:szCs w:val="21"/>
                <w:lang w:val="en-US" w:eastAsia="zh-CN"/>
              </w:rPr>
              <w:t>609.33</w:t>
            </w:r>
          </w:p>
        </w:tc>
      </w:tr>
      <w:tr w14:paraId="4FA06FF1">
        <w:tblPrEx>
          <w:tblCellMar>
            <w:top w:w="0" w:type="dxa"/>
            <w:left w:w="108" w:type="dxa"/>
            <w:bottom w:w="0" w:type="dxa"/>
            <w:right w:w="108" w:type="dxa"/>
          </w:tblCellMar>
        </w:tblPrEx>
        <w:trPr>
          <w:trHeight w:val="450" w:hRule="atLeast"/>
          <w:jc w:val="center"/>
        </w:trPr>
        <w:tc>
          <w:tcPr>
            <w:tcW w:w="716" w:type="dxa"/>
            <w:vMerge w:val="continue"/>
            <w:tcBorders>
              <w:left w:val="single" w:color="auto" w:sz="4" w:space="0"/>
              <w:right w:val="single" w:color="auto" w:sz="4" w:space="0"/>
            </w:tcBorders>
            <w:noWrap w:val="0"/>
            <w:vAlign w:val="center"/>
          </w:tcPr>
          <w:p w14:paraId="3AA53E9F">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7BE095E6">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政府性基金拨款：</w:t>
            </w:r>
            <w:r>
              <w:rPr>
                <w:rFonts w:hint="eastAsia" w:ascii="仿宋" w:hAnsi="仿宋" w:eastAsia="仿宋" w:cs="仿宋"/>
                <w:color w:val="000000"/>
                <w:kern w:val="0"/>
                <w:sz w:val="21"/>
                <w:szCs w:val="21"/>
                <w:lang w:val="en-US" w:eastAsia="zh-CN"/>
              </w:rPr>
              <w:t>19.49</w:t>
            </w:r>
          </w:p>
        </w:tc>
        <w:tc>
          <w:tcPr>
            <w:tcW w:w="4988" w:type="dxa"/>
            <w:gridSpan w:val="4"/>
            <w:tcBorders>
              <w:top w:val="nil"/>
              <w:left w:val="nil"/>
              <w:bottom w:val="single" w:color="auto" w:sz="4" w:space="0"/>
              <w:right w:val="single" w:color="auto" w:sz="4" w:space="0"/>
            </w:tcBorders>
            <w:noWrap w:val="0"/>
            <w:vAlign w:val="center"/>
          </w:tcPr>
          <w:p w14:paraId="280A639F">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项目支出：</w:t>
            </w:r>
            <w:r>
              <w:rPr>
                <w:rFonts w:hint="eastAsia" w:ascii="仿宋" w:hAnsi="仿宋" w:eastAsia="仿宋" w:cs="仿宋"/>
                <w:color w:val="000000"/>
                <w:kern w:val="0"/>
                <w:sz w:val="21"/>
                <w:szCs w:val="21"/>
                <w:lang w:val="en-US" w:eastAsia="zh-CN"/>
              </w:rPr>
              <w:t>333.61</w:t>
            </w:r>
          </w:p>
        </w:tc>
      </w:tr>
      <w:tr w14:paraId="679FDC76">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noWrap w:val="0"/>
            <w:vAlign w:val="center"/>
          </w:tcPr>
          <w:p w14:paraId="25DA155F">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1D09F488">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纳入专户管理的非税收入拨款：</w:t>
            </w:r>
          </w:p>
        </w:tc>
        <w:tc>
          <w:tcPr>
            <w:tcW w:w="4988" w:type="dxa"/>
            <w:gridSpan w:val="4"/>
            <w:tcBorders>
              <w:top w:val="nil"/>
              <w:left w:val="nil"/>
              <w:bottom w:val="single" w:color="auto" w:sz="4" w:space="0"/>
              <w:right w:val="single" w:color="auto" w:sz="4" w:space="0"/>
            </w:tcBorders>
            <w:noWrap w:val="0"/>
            <w:vAlign w:val="center"/>
          </w:tcPr>
          <w:p w14:paraId="2D06B14D">
            <w:pPr>
              <w:widowControl/>
              <w:spacing w:line="220" w:lineRule="exact"/>
              <w:jc w:val="left"/>
              <w:rPr>
                <w:rFonts w:hint="eastAsia" w:ascii="仿宋" w:hAnsi="仿宋" w:eastAsia="仿宋" w:cs="仿宋"/>
                <w:color w:val="000000"/>
                <w:kern w:val="0"/>
                <w:sz w:val="21"/>
                <w:szCs w:val="21"/>
              </w:rPr>
            </w:pPr>
          </w:p>
        </w:tc>
      </w:tr>
      <w:tr w14:paraId="2BD50E0E">
        <w:tblPrEx>
          <w:tblCellMar>
            <w:top w:w="0" w:type="dxa"/>
            <w:left w:w="108" w:type="dxa"/>
            <w:bottom w:w="0" w:type="dxa"/>
            <w:right w:w="108" w:type="dxa"/>
          </w:tblCellMar>
        </w:tblPrEx>
        <w:trPr>
          <w:trHeight w:val="430" w:hRule="atLeast"/>
          <w:jc w:val="center"/>
        </w:trPr>
        <w:tc>
          <w:tcPr>
            <w:tcW w:w="716" w:type="dxa"/>
            <w:vMerge w:val="continue"/>
            <w:tcBorders>
              <w:left w:val="single" w:color="auto" w:sz="4" w:space="0"/>
              <w:bottom w:val="single" w:color="000000" w:sz="4" w:space="0"/>
              <w:right w:val="single" w:color="auto" w:sz="4" w:space="0"/>
            </w:tcBorders>
            <w:noWrap w:val="0"/>
            <w:vAlign w:val="center"/>
          </w:tcPr>
          <w:p w14:paraId="78F9AA01">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40F0C2ED">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其他资金：</w:t>
            </w:r>
            <w:r>
              <w:rPr>
                <w:rFonts w:hint="eastAsia" w:ascii="仿宋" w:hAnsi="仿宋" w:eastAsia="仿宋" w:cs="仿宋"/>
                <w:color w:val="000000"/>
                <w:kern w:val="0"/>
                <w:sz w:val="21"/>
                <w:szCs w:val="21"/>
                <w:lang w:val="en-US" w:eastAsia="zh-CN"/>
              </w:rPr>
              <w:t>4.21</w:t>
            </w:r>
          </w:p>
        </w:tc>
        <w:tc>
          <w:tcPr>
            <w:tcW w:w="4988" w:type="dxa"/>
            <w:gridSpan w:val="4"/>
            <w:tcBorders>
              <w:top w:val="nil"/>
              <w:left w:val="nil"/>
              <w:bottom w:val="single" w:color="auto" w:sz="4" w:space="0"/>
              <w:right w:val="single" w:color="auto" w:sz="4" w:space="0"/>
            </w:tcBorders>
            <w:noWrap w:val="0"/>
            <w:vAlign w:val="center"/>
          </w:tcPr>
          <w:p w14:paraId="3951A5F8">
            <w:pPr>
              <w:widowControl/>
              <w:spacing w:line="220" w:lineRule="exact"/>
              <w:jc w:val="left"/>
              <w:rPr>
                <w:rFonts w:hint="eastAsia" w:ascii="仿宋" w:hAnsi="仿宋" w:eastAsia="仿宋" w:cs="仿宋"/>
                <w:color w:val="000000"/>
                <w:kern w:val="0"/>
                <w:sz w:val="21"/>
                <w:szCs w:val="21"/>
              </w:rPr>
            </w:pPr>
          </w:p>
        </w:tc>
      </w:tr>
      <w:tr w14:paraId="58B231F7">
        <w:tblPrEx>
          <w:tblCellMar>
            <w:top w:w="0" w:type="dxa"/>
            <w:left w:w="108" w:type="dxa"/>
            <w:bottom w:w="0" w:type="dxa"/>
            <w:right w:w="108" w:type="dxa"/>
          </w:tblCellMar>
        </w:tblPrEx>
        <w:trPr>
          <w:trHeight w:val="445" w:hRule="atLeast"/>
          <w:jc w:val="center"/>
        </w:trPr>
        <w:tc>
          <w:tcPr>
            <w:tcW w:w="716" w:type="dxa"/>
            <w:vMerge w:val="restart"/>
            <w:tcBorders>
              <w:top w:val="nil"/>
              <w:left w:val="single" w:color="auto" w:sz="4" w:space="0"/>
              <w:bottom w:val="single" w:color="000000" w:sz="4" w:space="0"/>
              <w:right w:val="single" w:color="auto" w:sz="4" w:space="0"/>
            </w:tcBorders>
            <w:noWrap w:val="0"/>
            <w:vAlign w:val="center"/>
          </w:tcPr>
          <w:p w14:paraId="6045A6D0">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年度总体目标</w:t>
            </w:r>
          </w:p>
        </w:tc>
        <w:tc>
          <w:tcPr>
            <w:tcW w:w="4711" w:type="dxa"/>
            <w:gridSpan w:val="5"/>
            <w:tcBorders>
              <w:top w:val="single" w:color="auto" w:sz="4" w:space="0"/>
              <w:left w:val="nil"/>
              <w:bottom w:val="single" w:color="auto" w:sz="4" w:space="0"/>
              <w:right w:val="single" w:color="000000" w:sz="4" w:space="0"/>
            </w:tcBorders>
            <w:noWrap w:val="0"/>
            <w:vAlign w:val="center"/>
          </w:tcPr>
          <w:p w14:paraId="66927A8A">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年初目标设定</w:t>
            </w:r>
          </w:p>
        </w:tc>
        <w:tc>
          <w:tcPr>
            <w:tcW w:w="4988" w:type="dxa"/>
            <w:gridSpan w:val="4"/>
            <w:tcBorders>
              <w:top w:val="single" w:color="auto" w:sz="4" w:space="0"/>
              <w:left w:val="nil"/>
              <w:bottom w:val="single" w:color="auto" w:sz="4" w:space="0"/>
              <w:right w:val="single" w:color="auto" w:sz="4" w:space="0"/>
            </w:tcBorders>
            <w:noWrap w:val="0"/>
            <w:vAlign w:val="center"/>
          </w:tcPr>
          <w:p w14:paraId="67FFE14B">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全年</w:t>
            </w:r>
            <w:r>
              <w:rPr>
                <w:rFonts w:hint="eastAsia" w:ascii="仿宋" w:hAnsi="仿宋" w:eastAsia="仿宋" w:cs="仿宋"/>
                <w:color w:val="000000"/>
                <w:kern w:val="0"/>
                <w:sz w:val="21"/>
                <w:szCs w:val="21"/>
              </w:rPr>
              <w:t>实际完成情况</w:t>
            </w:r>
          </w:p>
        </w:tc>
      </w:tr>
      <w:tr w14:paraId="2894227D">
        <w:tblPrEx>
          <w:tblCellMar>
            <w:top w:w="0" w:type="dxa"/>
            <w:left w:w="108" w:type="dxa"/>
            <w:bottom w:w="0" w:type="dxa"/>
            <w:right w:w="108" w:type="dxa"/>
          </w:tblCellMar>
        </w:tblPrEx>
        <w:trPr>
          <w:trHeight w:val="1470" w:hRule="atLeast"/>
          <w:jc w:val="center"/>
        </w:trPr>
        <w:tc>
          <w:tcPr>
            <w:tcW w:w="716" w:type="dxa"/>
            <w:vMerge w:val="continue"/>
            <w:tcBorders>
              <w:top w:val="nil"/>
              <w:left w:val="single" w:color="auto" w:sz="4" w:space="0"/>
              <w:bottom w:val="single" w:color="auto" w:sz="4" w:space="0"/>
              <w:right w:val="single" w:color="auto" w:sz="4" w:space="0"/>
            </w:tcBorders>
            <w:noWrap w:val="0"/>
            <w:vAlign w:val="center"/>
          </w:tcPr>
          <w:p w14:paraId="67F08C1C">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single" w:color="auto" w:sz="4" w:space="0"/>
              <w:left w:val="nil"/>
              <w:bottom w:val="single" w:color="auto" w:sz="4" w:space="0"/>
              <w:right w:val="single" w:color="000000" w:sz="4" w:space="0"/>
            </w:tcBorders>
            <w:noWrap w:val="0"/>
            <w:vAlign w:val="center"/>
          </w:tcPr>
          <w:p w14:paraId="5593C36C">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提高行政管理水平，提高行政服务效能，提高政务公信力和透明度，提高人民群众满意度。</w:t>
            </w:r>
          </w:p>
        </w:tc>
        <w:tc>
          <w:tcPr>
            <w:tcW w:w="4988" w:type="dxa"/>
            <w:gridSpan w:val="4"/>
            <w:tcBorders>
              <w:top w:val="single" w:color="auto" w:sz="4" w:space="0"/>
              <w:left w:val="nil"/>
              <w:bottom w:val="single" w:color="auto" w:sz="4" w:space="0"/>
              <w:right w:val="single" w:color="auto" w:sz="4" w:space="0"/>
            </w:tcBorders>
            <w:noWrap w:val="0"/>
            <w:vAlign w:val="center"/>
          </w:tcPr>
          <w:p w14:paraId="45A72DA1">
            <w:pPr>
              <w:spacing w:line="240" w:lineRule="exact"/>
              <w:ind w:firstLine="420" w:firstLineChars="200"/>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已全部完成。</w:t>
            </w:r>
          </w:p>
        </w:tc>
      </w:tr>
      <w:tr w14:paraId="16C4E094">
        <w:tblPrEx>
          <w:tblCellMar>
            <w:top w:w="0" w:type="dxa"/>
            <w:left w:w="108" w:type="dxa"/>
            <w:bottom w:w="0" w:type="dxa"/>
            <w:right w:w="108" w:type="dxa"/>
          </w:tblCellMar>
        </w:tblPrEx>
        <w:trPr>
          <w:trHeight w:val="850" w:hRule="atLeast"/>
          <w:jc w:val="center"/>
        </w:trPr>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14:paraId="624B4B27">
            <w:pPr>
              <w:widowControl/>
              <w:spacing w:line="220" w:lineRule="exact"/>
              <w:jc w:val="both"/>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绩效</w:t>
            </w:r>
          </w:p>
          <w:p w14:paraId="29F22BDF">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b/>
                <w:bCs/>
                <w:color w:val="000000"/>
                <w:kern w:val="0"/>
                <w:sz w:val="21"/>
                <w:szCs w:val="21"/>
              </w:rPr>
              <w:t>指标</w:t>
            </w:r>
            <w:r>
              <w:rPr>
                <w:rFonts w:hint="eastAsia" w:ascii="仿宋" w:hAnsi="仿宋" w:eastAsia="仿宋" w:cs="仿宋"/>
                <w:b/>
                <w:bCs/>
                <w:color w:val="000000"/>
                <w:kern w:val="0"/>
                <w:sz w:val="21"/>
                <w:szCs w:val="21"/>
                <w:lang w:val="en-US" w:eastAsia="zh-CN"/>
              </w:rPr>
              <w:t>（90分）</w:t>
            </w:r>
          </w:p>
        </w:tc>
        <w:tc>
          <w:tcPr>
            <w:tcW w:w="851" w:type="dxa"/>
            <w:tcBorders>
              <w:top w:val="single" w:color="auto" w:sz="4" w:space="0"/>
              <w:left w:val="nil"/>
              <w:bottom w:val="single" w:color="auto" w:sz="4" w:space="0"/>
              <w:right w:val="single" w:color="auto" w:sz="4" w:space="0"/>
            </w:tcBorders>
            <w:noWrap w:val="0"/>
            <w:vAlign w:val="center"/>
          </w:tcPr>
          <w:p w14:paraId="4633BBC2">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一级指标</w:t>
            </w:r>
          </w:p>
        </w:tc>
        <w:tc>
          <w:tcPr>
            <w:tcW w:w="770" w:type="dxa"/>
            <w:tcBorders>
              <w:top w:val="single" w:color="auto" w:sz="4" w:space="0"/>
              <w:left w:val="nil"/>
              <w:bottom w:val="single" w:color="auto" w:sz="4" w:space="0"/>
              <w:right w:val="single" w:color="auto" w:sz="4" w:space="0"/>
            </w:tcBorders>
            <w:noWrap w:val="0"/>
            <w:vAlign w:val="center"/>
          </w:tcPr>
          <w:p w14:paraId="1D2A247E">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二级指标</w:t>
            </w:r>
          </w:p>
        </w:tc>
        <w:tc>
          <w:tcPr>
            <w:tcW w:w="1603" w:type="dxa"/>
            <w:gridSpan w:val="2"/>
            <w:tcBorders>
              <w:top w:val="single" w:color="auto" w:sz="4" w:space="0"/>
              <w:left w:val="nil"/>
              <w:bottom w:val="single" w:color="auto" w:sz="4" w:space="0"/>
              <w:right w:val="single" w:color="auto" w:sz="4" w:space="0"/>
            </w:tcBorders>
            <w:noWrap w:val="0"/>
            <w:vAlign w:val="center"/>
          </w:tcPr>
          <w:p w14:paraId="171156DC">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三级指标</w:t>
            </w:r>
          </w:p>
        </w:tc>
        <w:tc>
          <w:tcPr>
            <w:tcW w:w="1487" w:type="dxa"/>
            <w:tcBorders>
              <w:top w:val="single" w:color="auto" w:sz="4" w:space="0"/>
              <w:left w:val="nil"/>
              <w:bottom w:val="single" w:color="auto" w:sz="4" w:space="0"/>
              <w:right w:val="single" w:color="auto" w:sz="4" w:space="0"/>
            </w:tcBorders>
            <w:noWrap w:val="0"/>
            <w:vAlign w:val="center"/>
          </w:tcPr>
          <w:p w14:paraId="4C807621">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w:t>
            </w:r>
          </w:p>
          <w:p w14:paraId="6CF65E7C">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指标值</w:t>
            </w:r>
          </w:p>
        </w:tc>
        <w:tc>
          <w:tcPr>
            <w:tcW w:w="1635" w:type="dxa"/>
            <w:tcBorders>
              <w:top w:val="single" w:color="auto" w:sz="4" w:space="0"/>
              <w:left w:val="nil"/>
              <w:bottom w:val="single" w:color="auto" w:sz="4" w:space="0"/>
              <w:right w:val="single" w:color="auto" w:sz="4" w:space="0"/>
            </w:tcBorders>
            <w:noWrap w:val="0"/>
            <w:vAlign w:val="center"/>
          </w:tcPr>
          <w:p w14:paraId="7FD5CD2B">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实际完成值</w:t>
            </w:r>
          </w:p>
        </w:tc>
        <w:tc>
          <w:tcPr>
            <w:tcW w:w="825" w:type="dxa"/>
            <w:tcBorders>
              <w:top w:val="single" w:color="auto" w:sz="4" w:space="0"/>
              <w:left w:val="nil"/>
              <w:bottom w:val="single" w:color="auto" w:sz="4" w:space="0"/>
              <w:right w:val="single" w:color="auto" w:sz="4" w:space="0"/>
            </w:tcBorders>
            <w:noWrap w:val="0"/>
            <w:vAlign w:val="center"/>
          </w:tcPr>
          <w:p w14:paraId="07749C01">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single" w:color="auto" w:sz="4" w:space="0"/>
              <w:left w:val="nil"/>
              <w:bottom w:val="single" w:color="auto" w:sz="4" w:space="0"/>
              <w:right w:val="single" w:color="auto" w:sz="4" w:space="0"/>
            </w:tcBorders>
            <w:noWrap w:val="0"/>
            <w:vAlign w:val="center"/>
          </w:tcPr>
          <w:p w14:paraId="26CF85C4">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c>
          <w:tcPr>
            <w:tcW w:w="1073" w:type="dxa"/>
            <w:tcBorders>
              <w:top w:val="single" w:color="auto" w:sz="4" w:space="0"/>
              <w:left w:val="nil"/>
              <w:bottom w:val="single" w:color="auto" w:sz="4" w:space="0"/>
              <w:right w:val="single" w:color="auto" w:sz="4" w:space="0"/>
            </w:tcBorders>
            <w:noWrap w:val="0"/>
            <w:vAlign w:val="center"/>
          </w:tcPr>
          <w:p w14:paraId="7FC1F46D">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偏差原因</w:t>
            </w:r>
          </w:p>
          <w:p w14:paraId="2123F7B0">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分析及</w:t>
            </w:r>
          </w:p>
          <w:p w14:paraId="6BB3A7D5">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改进措施</w:t>
            </w:r>
          </w:p>
        </w:tc>
      </w:tr>
      <w:tr w14:paraId="16C1D4BF">
        <w:tblPrEx>
          <w:tblCellMar>
            <w:top w:w="0" w:type="dxa"/>
            <w:left w:w="108" w:type="dxa"/>
            <w:bottom w:w="0" w:type="dxa"/>
            <w:right w:w="108" w:type="dxa"/>
          </w:tblCellMar>
        </w:tblPrEx>
        <w:trPr>
          <w:trHeight w:val="486"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267851EF">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nil"/>
              <w:bottom w:val="single" w:color="auto" w:sz="4" w:space="0"/>
              <w:right w:val="single" w:color="auto" w:sz="4" w:space="0"/>
            </w:tcBorders>
            <w:noWrap w:val="0"/>
            <w:vAlign w:val="center"/>
          </w:tcPr>
          <w:p w14:paraId="0885C1B0">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产出指标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50分）</w:t>
            </w:r>
          </w:p>
        </w:tc>
        <w:tc>
          <w:tcPr>
            <w:tcW w:w="770" w:type="dxa"/>
            <w:vMerge w:val="restart"/>
            <w:tcBorders>
              <w:top w:val="single" w:color="auto" w:sz="4" w:space="0"/>
              <w:left w:val="nil"/>
              <w:bottom w:val="single" w:color="auto" w:sz="4" w:space="0"/>
              <w:right w:val="single" w:color="auto" w:sz="4" w:space="0"/>
            </w:tcBorders>
            <w:noWrap w:val="0"/>
            <w:vAlign w:val="center"/>
          </w:tcPr>
          <w:p w14:paraId="604FB5F9">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数量   指标</w:t>
            </w:r>
          </w:p>
          <w:p w14:paraId="18BD7F3F">
            <w:pPr>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14:paraId="0DF75DBA">
            <w:pPr>
              <w:spacing w:line="240" w:lineRule="exact"/>
              <w:jc w:val="center"/>
              <w:rPr>
                <w:rFonts w:hint="default" w:ascii="仿宋" w:hAnsi="仿宋" w:eastAsia="仿宋" w:cs="仿宋"/>
                <w:sz w:val="20"/>
                <w:szCs w:val="20"/>
                <w:lang w:val="en-US"/>
              </w:rPr>
            </w:pPr>
            <w:r>
              <w:rPr>
                <w:rFonts w:hint="eastAsia" w:ascii="仿宋" w:hAnsi="仿宋" w:eastAsia="仿宋" w:cs="仿宋"/>
                <w:sz w:val="20"/>
                <w:szCs w:val="20"/>
                <w:lang w:val="en-US" w:eastAsia="zh-CN"/>
              </w:rPr>
              <w:t>组织开展“政务公开日”主题活动</w:t>
            </w:r>
          </w:p>
        </w:tc>
        <w:tc>
          <w:tcPr>
            <w:tcW w:w="1487" w:type="dxa"/>
            <w:tcBorders>
              <w:top w:val="single" w:color="auto" w:sz="4" w:space="0"/>
              <w:left w:val="nil"/>
              <w:bottom w:val="single" w:color="auto" w:sz="4" w:space="0"/>
              <w:right w:val="single" w:color="auto" w:sz="4" w:space="0"/>
            </w:tcBorders>
            <w:noWrap w:val="0"/>
            <w:vAlign w:val="center"/>
          </w:tcPr>
          <w:p w14:paraId="65950BE5">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30</w:t>
            </w:r>
          </w:p>
        </w:tc>
        <w:tc>
          <w:tcPr>
            <w:tcW w:w="1635" w:type="dxa"/>
            <w:tcBorders>
              <w:top w:val="single" w:color="auto" w:sz="4" w:space="0"/>
              <w:left w:val="nil"/>
              <w:bottom w:val="single" w:color="auto" w:sz="4" w:space="0"/>
              <w:right w:val="single" w:color="auto" w:sz="4" w:space="0"/>
            </w:tcBorders>
            <w:noWrap w:val="0"/>
            <w:vAlign w:val="center"/>
          </w:tcPr>
          <w:p w14:paraId="22411AA8">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50</w:t>
            </w:r>
          </w:p>
        </w:tc>
        <w:tc>
          <w:tcPr>
            <w:tcW w:w="825" w:type="dxa"/>
            <w:tcBorders>
              <w:top w:val="single" w:color="auto" w:sz="4" w:space="0"/>
              <w:left w:val="nil"/>
              <w:bottom w:val="single" w:color="auto" w:sz="4" w:space="0"/>
              <w:right w:val="single" w:color="auto" w:sz="4" w:space="0"/>
            </w:tcBorders>
            <w:noWrap w:val="0"/>
            <w:vAlign w:val="center"/>
          </w:tcPr>
          <w:p w14:paraId="7CF620C8">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single" w:color="auto" w:sz="4" w:space="0"/>
              <w:left w:val="nil"/>
              <w:bottom w:val="single" w:color="auto" w:sz="4" w:space="0"/>
              <w:right w:val="single" w:color="auto" w:sz="4" w:space="0"/>
            </w:tcBorders>
            <w:noWrap w:val="0"/>
            <w:vAlign w:val="center"/>
          </w:tcPr>
          <w:p w14:paraId="0E986CF4">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073" w:type="dxa"/>
            <w:tcBorders>
              <w:top w:val="single" w:color="auto" w:sz="4" w:space="0"/>
              <w:left w:val="nil"/>
              <w:bottom w:val="single" w:color="auto" w:sz="4" w:space="0"/>
              <w:right w:val="single" w:color="auto" w:sz="4" w:space="0"/>
            </w:tcBorders>
            <w:noWrap w:val="0"/>
            <w:vAlign w:val="center"/>
          </w:tcPr>
          <w:p w14:paraId="436B9C5D">
            <w:pPr>
              <w:widowControl/>
              <w:spacing w:line="220" w:lineRule="exact"/>
              <w:jc w:val="center"/>
              <w:rPr>
                <w:rFonts w:hint="eastAsia" w:ascii="仿宋" w:hAnsi="仿宋" w:eastAsia="仿宋" w:cs="仿宋"/>
                <w:color w:val="000000"/>
                <w:kern w:val="0"/>
                <w:sz w:val="21"/>
                <w:szCs w:val="21"/>
              </w:rPr>
            </w:pPr>
          </w:p>
        </w:tc>
      </w:tr>
      <w:tr w14:paraId="0E82D267">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2B2E2EDC">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noWrap w:val="0"/>
            <w:vAlign w:val="center"/>
          </w:tcPr>
          <w:p w14:paraId="7A4034B4">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noWrap w:val="0"/>
            <w:vAlign w:val="center"/>
          </w:tcPr>
          <w:p w14:paraId="3E9EA101">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14:paraId="0D2ED1F2">
            <w:pPr>
              <w:spacing w:line="24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编制主题式、套餐式“一件事一次办”的办事指南</w:t>
            </w:r>
          </w:p>
          <w:p w14:paraId="089B9393">
            <w:pPr>
              <w:spacing w:line="240" w:lineRule="exact"/>
              <w:jc w:val="center"/>
              <w:rPr>
                <w:rFonts w:hint="default" w:ascii="仿宋" w:hAnsi="仿宋" w:eastAsia="仿宋" w:cs="仿宋"/>
                <w:sz w:val="20"/>
                <w:szCs w:val="20"/>
                <w:lang w:val="en-US" w:eastAsia="zh-CN"/>
              </w:rPr>
            </w:pPr>
          </w:p>
        </w:tc>
        <w:tc>
          <w:tcPr>
            <w:tcW w:w="1487" w:type="dxa"/>
            <w:tcBorders>
              <w:top w:val="single" w:color="auto" w:sz="4" w:space="0"/>
              <w:left w:val="nil"/>
              <w:bottom w:val="single" w:color="auto" w:sz="4" w:space="0"/>
              <w:right w:val="single" w:color="auto" w:sz="4" w:space="0"/>
            </w:tcBorders>
            <w:noWrap w:val="0"/>
            <w:vAlign w:val="center"/>
          </w:tcPr>
          <w:p w14:paraId="56A63DEB">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1635" w:type="dxa"/>
            <w:tcBorders>
              <w:top w:val="single" w:color="auto" w:sz="4" w:space="0"/>
              <w:left w:val="nil"/>
              <w:bottom w:val="single" w:color="auto" w:sz="4" w:space="0"/>
              <w:right w:val="single" w:color="auto" w:sz="4" w:space="0"/>
            </w:tcBorders>
            <w:noWrap w:val="0"/>
            <w:vAlign w:val="center"/>
          </w:tcPr>
          <w:p w14:paraId="0D99BEFD">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825" w:type="dxa"/>
            <w:tcBorders>
              <w:top w:val="single" w:color="auto" w:sz="4" w:space="0"/>
              <w:left w:val="nil"/>
              <w:bottom w:val="single" w:color="auto" w:sz="4" w:space="0"/>
              <w:right w:val="single" w:color="auto" w:sz="4" w:space="0"/>
            </w:tcBorders>
            <w:noWrap w:val="0"/>
            <w:vAlign w:val="center"/>
          </w:tcPr>
          <w:p w14:paraId="19175994">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single" w:color="auto" w:sz="4" w:space="0"/>
              <w:left w:val="nil"/>
              <w:bottom w:val="single" w:color="auto" w:sz="4" w:space="0"/>
              <w:right w:val="single" w:color="auto" w:sz="4" w:space="0"/>
            </w:tcBorders>
            <w:noWrap w:val="0"/>
            <w:vAlign w:val="center"/>
          </w:tcPr>
          <w:p w14:paraId="2D4083B4">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073" w:type="dxa"/>
            <w:tcBorders>
              <w:top w:val="single" w:color="auto" w:sz="4" w:space="0"/>
              <w:left w:val="nil"/>
              <w:bottom w:val="single" w:color="auto" w:sz="4" w:space="0"/>
              <w:right w:val="single" w:color="auto" w:sz="4" w:space="0"/>
            </w:tcBorders>
            <w:noWrap w:val="0"/>
            <w:vAlign w:val="center"/>
          </w:tcPr>
          <w:p w14:paraId="161D1605">
            <w:pPr>
              <w:widowControl/>
              <w:spacing w:line="220" w:lineRule="exact"/>
              <w:jc w:val="center"/>
              <w:rPr>
                <w:rFonts w:hint="eastAsia" w:ascii="仿宋" w:hAnsi="仿宋" w:eastAsia="仿宋" w:cs="仿宋"/>
                <w:color w:val="000000"/>
                <w:kern w:val="0"/>
                <w:sz w:val="21"/>
                <w:szCs w:val="21"/>
              </w:rPr>
            </w:pPr>
          </w:p>
        </w:tc>
      </w:tr>
      <w:tr w14:paraId="48F87655">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724380A1">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noWrap w:val="0"/>
            <w:vAlign w:val="center"/>
          </w:tcPr>
          <w:p w14:paraId="3EF26683">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noWrap w:val="0"/>
            <w:vAlign w:val="center"/>
          </w:tcPr>
          <w:p w14:paraId="446AC26E">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14:paraId="26B4C57F">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电子证照种类</w:t>
            </w:r>
          </w:p>
        </w:tc>
        <w:tc>
          <w:tcPr>
            <w:tcW w:w="1487" w:type="dxa"/>
            <w:tcBorders>
              <w:top w:val="single" w:color="auto" w:sz="4" w:space="0"/>
              <w:left w:val="nil"/>
              <w:bottom w:val="single" w:color="auto" w:sz="4" w:space="0"/>
              <w:right w:val="single" w:color="auto" w:sz="4" w:space="0"/>
            </w:tcBorders>
            <w:noWrap w:val="0"/>
            <w:vAlign w:val="center"/>
          </w:tcPr>
          <w:p w14:paraId="6DCACFF8">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59</w:t>
            </w:r>
          </w:p>
        </w:tc>
        <w:tc>
          <w:tcPr>
            <w:tcW w:w="1635" w:type="dxa"/>
            <w:tcBorders>
              <w:top w:val="single" w:color="auto" w:sz="4" w:space="0"/>
              <w:left w:val="nil"/>
              <w:bottom w:val="single" w:color="auto" w:sz="4" w:space="0"/>
              <w:right w:val="single" w:color="auto" w:sz="4" w:space="0"/>
            </w:tcBorders>
            <w:noWrap w:val="0"/>
            <w:vAlign w:val="center"/>
          </w:tcPr>
          <w:p w14:paraId="5FA9352D">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78</w:t>
            </w:r>
          </w:p>
        </w:tc>
        <w:tc>
          <w:tcPr>
            <w:tcW w:w="825" w:type="dxa"/>
            <w:tcBorders>
              <w:top w:val="single" w:color="auto" w:sz="4" w:space="0"/>
              <w:left w:val="nil"/>
              <w:bottom w:val="single" w:color="auto" w:sz="4" w:space="0"/>
              <w:right w:val="single" w:color="auto" w:sz="4" w:space="0"/>
            </w:tcBorders>
            <w:noWrap w:val="0"/>
            <w:vAlign w:val="center"/>
          </w:tcPr>
          <w:p w14:paraId="24EE493D">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single" w:color="auto" w:sz="4" w:space="0"/>
              <w:left w:val="nil"/>
              <w:bottom w:val="single" w:color="auto" w:sz="4" w:space="0"/>
              <w:right w:val="single" w:color="auto" w:sz="4" w:space="0"/>
            </w:tcBorders>
            <w:noWrap w:val="0"/>
            <w:vAlign w:val="center"/>
          </w:tcPr>
          <w:p w14:paraId="66A088D0">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073" w:type="dxa"/>
            <w:tcBorders>
              <w:top w:val="single" w:color="auto" w:sz="4" w:space="0"/>
              <w:left w:val="nil"/>
              <w:bottom w:val="single" w:color="auto" w:sz="4" w:space="0"/>
              <w:right w:val="single" w:color="auto" w:sz="4" w:space="0"/>
            </w:tcBorders>
            <w:noWrap w:val="0"/>
            <w:vAlign w:val="center"/>
          </w:tcPr>
          <w:p w14:paraId="2FD38448">
            <w:pPr>
              <w:widowControl/>
              <w:spacing w:line="220" w:lineRule="exact"/>
              <w:jc w:val="center"/>
              <w:rPr>
                <w:rFonts w:hint="eastAsia" w:ascii="仿宋" w:hAnsi="仿宋" w:eastAsia="仿宋" w:cs="仿宋"/>
                <w:color w:val="000000"/>
                <w:kern w:val="0"/>
                <w:sz w:val="21"/>
                <w:szCs w:val="21"/>
              </w:rPr>
            </w:pPr>
          </w:p>
        </w:tc>
      </w:tr>
      <w:tr w14:paraId="1E8190E2">
        <w:tblPrEx>
          <w:tblCellMar>
            <w:top w:w="0" w:type="dxa"/>
            <w:left w:w="108" w:type="dxa"/>
            <w:bottom w:w="0" w:type="dxa"/>
            <w:right w:w="108" w:type="dxa"/>
          </w:tblCellMar>
        </w:tblPrEx>
        <w:trPr>
          <w:trHeight w:val="510" w:hRule="atLeast"/>
          <w:jc w:val="center"/>
        </w:trPr>
        <w:tc>
          <w:tcPr>
            <w:tcW w:w="716" w:type="dxa"/>
            <w:vMerge w:val="continue"/>
            <w:tcBorders>
              <w:top w:val="single" w:color="auto" w:sz="4" w:space="0"/>
              <w:left w:val="single" w:color="auto" w:sz="4" w:space="0"/>
              <w:bottom w:val="single" w:color="000000" w:sz="4" w:space="0"/>
              <w:right w:val="single" w:color="auto" w:sz="4" w:space="0"/>
            </w:tcBorders>
            <w:noWrap w:val="0"/>
            <w:vAlign w:val="center"/>
          </w:tcPr>
          <w:p w14:paraId="7E2D1F06">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000000" w:sz="4" w:space="0"/>
              <w:right w:val="single" w:color="auto" w:sz="4" w:space="0"/>
            </w:tcBorders>
            <w:noWrap w:val="0"/>
            <w:vAlign w:val="center"/>
          </w:tcPr>
          <w:p w14:paraId="34B8C727">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auto" w:sz="4" w:space="0"/>
              <w:left w:val="nil"/>
              <w:bottom w:val="single" w:color="000000" w:sz="4" w:space="0"/>
              <w:right w:val="single" w:color="auto" w:sz="4" w:space="0"/>
            </w:tcBorders>
            <w:noWrap w:val="0"/>
            <w:vAlign w:val="center"/>
          </w:tcPr>
          <w:p w14:paraId="7CE69342">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质量   指标</w:t>
            </w:r>
          </w:p>
        </w:tc>
        <w:tc>
          <w:tcPr>
            <w:tcW w:w="1603" w:type="dxa"/>
            <w:gridSpan w:val="2"/>
            <w:tcBorders>
              <w:top w:val="single" w:color="auto" w:sz="4" w:space="0"/>
              <w:left w:val="nil"/>
              <w:bottom w:val="single" w:color="auto" w:sz="4" w:space="0"/>
              <w:right w:val="single" w:color="auto" w:sz="4" w:space="0"/>
            </w:tcBorders>
            <w:noWrap w:val="0"/>
            <w:vAlign w:val="center"/>
          </w:tcPr>
          <w:p w14:paraId="3B66436D">
            <w:pPr>
              <w:spacing w:line="24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助推“五好”园区建设，赋予园区管理权限</w:t>
            </w:r>
          </w:p>
        </w:tc>
        <w:tc>
          <w:tcPr>
            <w:tcW w:w="1487" w:type="dxa"/>
            <w:tcBorders>
              <w:top w:val="single" w:color="auto" w:sz="4" w:space="0"/>
              <w:left w:val="nil"/>
              <w:bottom w:val="single" w:color="auto" w:sz="4" w:space="0"/>
              <w:right w:val="single" w:color="auto" w:sz="4" w:space="0"/>
            </w:tcBorders>
            <w:noWrap w:val="0"/>
            <w:vAlign w:val="center"/>
          </w:tcPr>
          <w:p w14:paraId="5FA50D49">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158</w:t>
            </w:r>
          </w:p>
        </w:tc>
        <w:tc>
          <w:tcPr>
            <w:tcW w:w="1635" w:type="dxa"/>
            <w:tcBorders>
              <w:top w:val="single" w:color="auto" w:sz="4" w:space="0"/>
              <w:left w:val="nil"/>
              <w:bottom w:val="single" w:color="auto" w:sz="4" w:space="0"/>
              <w:right w:val="single" w:color="auto" w:sz="4" w:space="0"/>
            </w:tcBorders>
            <w:noWrap w:val="0"/>
            <w:vAlign w:val="center"/>
          </w:tcPr>
          <w:p w14:paraId="7D6B17A1">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158</w:t>
            </w:r>
          </w:p>
        </w:tc>
        <w:tc>
          <w:tcPr>
            <w:tcW w:w="825" w:type="dxa"/>
            <w:tcBorders>
              <w:top w:val="single" w:color="auto" w:sz="4" w:space="0"/>
              <w:left w:val="nil"/>
              <w:bottom w:val="single" w:color="auto" w:sz="4" w:space="0"/>
              <w:right w:val="single" w:color="auto" w:sz="4" w:space="0"/>
            </w:tcBorders>
            <w:noWrap w:val="0"/>
            <w:vAlign w:val="center"/>
          </w:tcPr>
          <w:p w14:paraId="06E27B05">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single" w:color="auto" w:sz="4" w:space="0"/>
              <w:left w:val="nil"/>
              <w:bottom w:val="single" w:color="auto" w:sz="4" w:space="0"/>
              <w:right w:val="single" w:color="auto" w:sz="4" w:space="0"/>
            </w:tcBorders>
            <w:noWrap w:val="0"/>
            <w:vAlign w:val="center"/>
          </w:tcPr>
          <w:p w14:paraId="7B408699">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073" w:type="dxa"/>
            <w:tcBorders>
              <w:top w:val="single" w:color="auto" w:sz="4" w:space="0"/>
              <w:left w:val="nil"/>
              <w:bottom w:val="single" w:color="auto" w:sz="4" w:space="0"/>
              <w:right w:val="single" w:color="auto" w:sz="4" w:space="0"/>
            </w:tcBorders>
            <w:noWrap w:val="0"/>
            <w:vAlign w:val="center"/>
          </w:tcPr>
          <w:p w14:paraId="544A7E2B">
            <w:pPr>
              <w:widowControl/>
              <w:spacing w:line="220" w:lineRule="exact"/>
              <w:jc w:val="center"/>
              <w:rPr>
                <w:rFonts w:hint="eastAsia" w:ascii="仿宋" w:hAnsi="仿宋" w:eastAsia="仿宋" w:cs="仿宋"/>
                <w:color w:val="000000"/>
                <w:kern w:val="0"/>
                <w:sz w:val="21"/>
                <w:szCs w:val="21"/>
              </w:rPr>
            </w:pPr>
          </w:p>
        </w:tc>
      </w:tr>
      <w:tr w14:paraId="6004215E">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noWrap w:val="0"/>
            <w:vAlign w:val="center"/>
          </w:tcPr>
          <w:p w14:paraId="2620D4D4">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000000" w:sz="4" w:space="0"/>
              <w:right w:val="single" w:color="auto" w:sz="4" w:space="0"/>
            </w:tcBorders>
            <w:noWrap w:val="0"/>
            <w:vAlign w:val="center"/>
          </w:tcPr>
          <w:p w14:paraId="5A853C5B">
            <w:pPr>
              <w:widowControl/>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nil"/>
              <w:bottom w:val="single" w:color="000000" w:sz="4" w:space="0"/>
              <w:right w:val="single" w:color="auto" w:sz="4" w:space="0"/>
            </w:tcBorders>
            <w:noWrap w:val="0"/>
            <w:vAlign w:val="center"/>
          </w:tcPr>
          <w:p w14:paraId="45D8819E">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14:paraId="23E8600E">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编制和发布行政许可事项清单</w:t>
            </w:r>
          </w:p>
        </w:tc>
        <w:tc>
          <w:tcPr>
            <w:tcW w:w="1487" w:type="dxa"/>
            <w:tcBorders>
              <w:top w:val="single" w:color="auto" w:sz="4" w:space="0"/>
              <w:left w:val="nil"/>
              <w:bottom w:val="single" w:color="auto" w:sz="4" w:space="0"/>
              <w:right w:val="single" w:color="auto" w:sz="4" w:space="0"/>
            </w:tcBorders>
            <w:noWrap w:val="0"/>
            <w:vAlign w:val="center"/>
          </w:tcPr>
          <w:p w14:paraId="3417CD0D">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1635" w:type="dxa"/>
            <w:tcBorders>
              <w:top w:val="single" w:color="auto" w:sz="4" w:space="0"/>
              <w:left w:val="nil"/>
              <w:bottom w:val="single" w:color="auto" w:sz="4" w:space="0"/>
              <w:right w:val="single" w:color="auto" w:sz="4" w:space="0"/>
            </w:tcBorders>
            <w:noWrap w:val="0"/>
            <w:vAlign w:val="center"/>
          </w:tcPr>
          <w:p w14:paraId="11929616">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825" w:type="dxa"/>
            <w:tcBorders>
              <w:top w:val="single" w:color="auto" w:sz="4" w:space="0"/>
              <w:left w:val="nil"/>
              <w:bottom w:val="single" w:color="auto" w:sz="4" w:space="0"/>
              <w:right w:val="single" w:color="auto" w:sz="4" w:space="0"/>
            </w:tcBorders>
            <w:noWrap w:val="0"/>
            <w:vAlign w:val="center"/>
          </w:tcPr>
          <w:p w14:paraId="1DA070FA">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single" w:color="auto" w:sz="4" w:space="0"/>
              <w:left w:val="nil"/>
              <w:bottom w:val="single" w:color="auto" w:sz="4" w:space="0"/>
              <w:right w:val="single" w:color="auto" w:sz="4" w:space="0"/>
            </w:tcBorders>
            <w:noWrap w:val="0"/>
            <w:vAlign w:val="center"/>
          </w:tcPr>
          <w:p w14:paraId="7EE46269">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073" w:type="dxa"/>
            <w:tcBorders>
              <w:top w:val="single" w:color="auto" w:sz="4" w:space="0"/>
              <w:left w:val="nil"/>
              <w:bottom w:val="single" w:color="auto" w:sz="4" w:space="0"/>
              <w:right w:val="single" w:color="auto" w:sz="4" w:space="0"/>
            </w:tcBorders>
            <w:noWrap w:val="0"/>
            <w:vAlign w:val="center"/>
          </w:tcPr>
          <w:p w14:paraId="0697CCB2">
            <w:pPr>
              <w:widowControl/>
              <w:spacing w:line="220" w:lineRule="exact"/>
              <w:jc w:val="center"/>
              <w:rPr>
                <w:rFonts w:hint="eastAsia" w:ascii="仿宋" w:hAnsi="仿宋" w:eastAsia="仿宋" w:cs="仿宋"/>
                <w:color w:val="000000"/>
                <w:kern w:val="0"/>
                <w:sz w:val="21"/>
                <w:szCs w:val="21"/>
              </w:rPr>
            </w:pPr>
          </w:p>
        </w:tc>
      </w:tr>
      <w:tr w14:paraId="30661284">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0FF5A9D7">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noWrap w:val="0"/>
            <w:vAlign w:val="center"/>
          </w:tcPr>
          <w:p w14:paraId="66A75C2C">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nil"/>
              <w:right w:val="single" w:color="auto" w:sz="4" w:space="0"/>
            </w:tcBorders>
            <w:noWrap w:val="0"/>
            <w:vAlign w:val="center"/>
          </w:tcPr>
          <w:p w14:paraId="6CE7D274">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时效指标</w:t>
            </w:r>
          </w:p>
        </w:tc>
        <w:tc>
          <w:tcPr>
            <w:tcW w:w="1603" w:type="dxa"/>
            <w:gridSpan w:val="2"/>
            <w:tcBorders>
              <w:top w:val="nil"/>
              <w:left w:val="nil"/>
              <w:bottom w:val="single" w:color="auto" w:sz="4" w:space="0"/>
              <w:right w:val="single" w:color="auto" w:sz="4" w:space="0"/>
            </w:tcBorders>
            <w:noWrap w:val="0"/>
            <w:vAlign w:val="center"/>
          </w:tcPr>
          <w:p w14:paraId="4D69F0BD">
            <w:pPr>
              <w:spacing w:line="24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按季度通报政务公开情况</w:t>
            </w:r>
          </w:p>
        </w:tc>
        <w:tc>
          <w:tcPr>
            <w:tcW w:w="1487" w:type="dxa"/>
            <w:tcBorders>
              <w:top w:val="nil"/>
              <w:left w:val="nil"/>
              <w:bottom w:val="single" w:color="auto" w:sz="4" w:space="0"/>
              <w:right w:val="single" w:color="auto" w:sz="4" w:space="0"/>
            </w:tcBorders>
            <w:noWrap w:val="0"/>
            <w:vAlign w:val="center"/>
          </w:tcPr>
          <w:p w14:paraId="61F4DD30">
            <w:pPr>
              <w:keepNext w:val="0"/>
              <w:keepLines w:val="0"/>
              <w:widowControl/>
              <w:suppressLineNumbers w:val="0"/>
              <w:jc w:val="center"/>
              <w:textAlignment w:val="center"/>
              <w:rPr>
                <w:rFonts w:hint="eastAsia" w:ascii="仿宋_GB2312" w:hAnsi="仿宋_GB2312" w:eastAsia="仿宋_GB2312" w:cs="仿宋_GB2312"/>
                <w:color w:val="000000"/>
                <w:kern w:val="2"/>
                <w:sz w:val="15"/>
                <w:szCs w:val="15"/>
                <w:lang w:val="en-US" w:eastAsia="zh-CN" w:bidi="ar-SA"/>
              </w:rPr>
            </w:pPr>
            <w:r>
              <w:rPr>
                <w:rFonts w:ascii="宋体" w:hAnsi="宋体" w:eastAsia="宋体" w:cs="宋体"/>
                <w:i w:val="0"/>
                <w:iCs w:val="0"/>
                <w:color w:val="000000"/>
                <w:kern w:val="0"/>
                <w:sz w:val="20"/>
                <w:szCs w:val="20"/>
                <w:u w:val="none"/>
                <w:lang w:val="en-US" w:eastAsia="zh-CN" w:bidi="ar"/>
              </w:rPr>
              <w:t>4次/年</w:t>
            </w:r>
          </w:p>
        </w:tc>
        <w:tc>
          <w:tcPr>
            <w:tcW w:w="1635" w:type="dxa"/>
            <w:tcBorders>
              <w:top w:val="nil"/>
              <w:left w:val="nil"/>
              <w:bottom w:val="single" w:color="auto" w:sz="4" w:space="0"/>
              <w:right w:val="single" w:color="auto" w:sz="4" w:space="0"/>
            </w:tcBorders>
            <w:noWrap w:val="0"/>
            <w:vAlign w:val="center"/>
          </w:tcPr>
          <w:p w14:paraId="02908119">
            <w:pPr>
              <w:widowControl/>
              <w:spacing w:line="240" w:lineRule="exact"/>
              <w:jc w:val="left"/>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4次</w:t>
            </w:r>
          </w:p>
        </w:tc>
        <w:tc>
          <w:tcPr>
            <w:tcW w:w="825" w:type="dxa"/>
            <w:tcBorders>
              <w:top w:val="nil"/>
              <w:left w:val="nil"/>
              <w:bottom w:val="single" w:color="auto" w:sz="4" w:space="0"/>
              <w:right w:val="single" w:color="auto" w:sz="4" w:space="0"/>
            </w:tcBorders>
            <w:noWrap w:val="0"/>
            <w:vAlign w:val="center"/>
          </w:tcPr>
          <w:p w14:paraId="133F83E6">
            <w:pPr>
              <w:widowControl/>
              <w:spacing w:line="22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 w:hAnsi="仿宋" w:eastAsia="仿宋" w:cs="仿宋"/>
                <w:color w:val="000000"/>
                <w:kern w:val="0"/>
                <w:sz w:val="21"/>
                <w:szCs w:val="21"/>
                <w:lang w:val="en-US" w:eastAsia="zh-CN"/>
              </w:rPr>
              <w:t>5</w:t>
            </w:r>
          </w:p>
        </w:tc>
        <w:tc>
          <w:tcPr>
            <w:tcW w:w="1455" w:type="dxa"/>
            <w:tcBorders>
              <w:top w:val="nil"/>
              <w:left w:val="nil"/>
              <w:bottom w:val="single" w:color="auto" w:sz="4" w:space="0"/>
              <w:right w:val="single" w:color="auto" w:sz="4" w:space="0"/>
            </w:tcBorders>
            <w:noWrap w:val="0"/>
            <w:vAlign w:val="center"/>
          </w:tcPr>
          <w:p w14:paraId="68F9BBDE">
            <w:pPr>
              <w:widowControl/>
              <w:spacing w:line="22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 w:hAnsi="仿宋" w:eastAsia="仿宋" w:cs="仿宋"/>
                <w:color w:val="000000"/>
                <w:kern w:val="0"/>
                <w:sz w:val="21"/>
                <w:szCs w:val="21"/>
                <w:lang w:val="en-US" w:eastAsia="zh-CN"/>
              </w:rPr>
              <w:t>5</w:t>
            </w:r>
          </w:p>
        </w:tc>
        <w:tc>
          <w:tcPr>
            <w:tcW w:w="1073" w:type="dxa"/>
            <w:tcBorders>
              <w:top w:val="nil"/>
              <w:left w:val="nil"/>
              <w:bottom w:val="single" w:color="auto" w:sz="4" w:space="0"/>
              <w:right w:val="single" w:color="auto" w:sz="4" w:space="0"/>
            </w:tcBorders>
            <w:noWrap w:val="0"/>
            <w:vAlign w:val="center"/>
          </w:tcPr>
          <w:p w14:paraId="4C486BDC">
            <w:pPr>
              <w:widowControl/>
              <w:spacing w:line="220" w:lineRule="exact"/>
              <w:jc w:val="center"/>
              <w:rPr>
                <w:rFonts w:hint="eastAsia" w:ascii="仿宋" w:hAnsi="仿宋" w:eastAsia="仿宋" w:cs="仿宋"/>
                <w:color w:val="000000"/>
                <w:kern w:val="0"/>
                <w:sz w:val="21"/>
                <w:szCs w:val="21"/>
                <w:lang w:val="en-US" w:eastAsia="zh-CN" w:bidi="ar-SA"/>
              </w:rPr>
            </w:pPr>
          </w:p>
        </w:tc>
      </w:tr>
      <w:tr w14:paraId="2B674489">
        <w:tblPrEx>
          <w:tblCellMar>
            <w:top w:w="0" w:type="dxa"/>
            <w:left w:w="108" w:type="dxa"/>
            <w:bottom w:w="0" w:type="dxa"/>
            <w:right w:w="108" w:type="dxa"/>
          </w:tblCellMar>
        </w:tblPrEx>
        <w:trPr>
          <w:trHeight w:val="9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056C9008">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noWrap w:val="0"/>
            <w:vAlign w:val="center"/>
          </w:tcPr>
          <w:p w14:paraId="082FBBB7">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auto" w:sz="4" w:space="0"/>
              <w:right w:val="single" w:color="auto" w:sz="4" w:space="0"/>
            </w:tcBorders>
            <w:noWrap w:val="0"/>
            <w:vAlign w:val="center"/>
          </w:tcPr>
          <w:p w14:paraId="0AD45EDE">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nil"/>
              <w:left w:val="nil"/>
              <w:bottom w:val="single" w:color="auto" w:sz="4" w:space="0"/>
              <w:right w:val="single" w:color="auto" w:sz="4" w:space="0"/>
            </w:tcBorders>
            <w:noWrap w:val="0"/>
            <w:vAlign w:val="center"/>
          </w:tcPr>
          <w:p w14:paraId="782E3A48">
            <w:pPr>
              <w:spacing w:line="240" w:lineRule="exact"/>
              <w:jc w:val="left"/>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窗口减少内部审批环节，进一步提升行政审批效率。提高办件提速率</w:t>
            </w:r>
          </w:p>
          <w:p w14:paraId="2FE811FB">
            <w:pPr>
              <w:spacing w:line="240" w:lineRule="exact"/>
              <w:jc w:val="left"/>
              <w:rPr>
                <w:rFonts w:hint="eastAsia" w:ascii="仿宋" w:hAnsi="仿宋" w:eastAsia="仿宋" w:cs="仿宋"/>
                <w:sz w:val="20"/>
                <w:szCs w:val="20"/>
                <w:lang w:val="en-US" w:eastAsia="zh-CN"/>
              </w:rPr>
            </w:pPr>
          </w:p>
        </w:tc>
        <w:tc>
          <w:tcPr>
            <w:tcW w:w="1487" w:type="dxa"/>
            <w:tcBorders>
              <w:top w:val="nil"/>
              <w:left w:val="nil"/>
              <w:bottom w:val="single" w:color="auto" w:sz="4" w:space="0"/>
              <w:right w:val="single" w:color="auto" w:sz="4" w:space="0"/>
            </w:tcBorders>
            <w:noWrap w:val="0"/>
            <w:vAlign w:val="center"/>
          </w:tcPr>
          <w:p w14:paraId="0BF3D3D6">
            <w:pPr>
              <w:spacing w:line="240" w:lineRule="exact"/>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大幅提升</w:t>
            </w:r>
          </w:p>
        </w:tc>
        <w:tc>
          <w:tcPr>
            <w:tcW w:w="1635" w:type="dxa"/>
            <w:tcBorders>
              <w:top w:val="nil"/>
              <w:left w:val="nil"/>
              <w:bottom w:val="single" w:color="auto" w:sz="4" w:space="0"/>
              <w:right w:val="single" w:color="auto" w:sz="4" w:space="0"/>
            </w:tcBorders>
            <w:noWrap w:val="0"/>
            <w:vAlign w:val="center"/>
          </w:tcPr>
          <w:p w14:paraId="6AC305B0">
            <w:pPr>
              <w:widowControl/>
              <w:spacing w:line="22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大幅提升</w:t>
            </w:r>
          </w:p>
        </w:tc>
        <w:tc>
          <w:tcPr>
            <w:tcW w:w="825" w:type="dxa"/>
            <w:tcBorders>
              <w:top w:val="nil"/>
              <w:left w:val="nil"/>
              <w:bottom w:val="single" w:color="auto" w:sz="4" w:space="0"/>
              <w:right w:val="single" w:color="auto" w:sz="4" w:space="0"/>
            </w:tcBorders>
            <w:noWrap w:val="0"/>
            <w:vAlign w:val="center"/>
          </w:tcPr>
          <w:p w14:paraId="68DDB1F8">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5</w:t>
            </w:r>
          </w:p>
        </w:tc>
        <w:tc>
          <w:tcPr>
            <w:tcW w:w="1455" w:type="dxa"/>
            <w:tcBorders>
              <w:top w:val="nil"/>
              <w:left w:val="nil"/>
              <w:bottom w:val="single" w:color="auto" w:sz="4" w:space="0"/>
              <w:right w:val="single" w:color="auto" w:sz="4" w:space="0"/>
            </w:tcBorders>
            <w:noWrap w:val="0"/>
            <w:vAlign w:val="center"/>
          </w:tcPr>
          <w:p w14:paraId="3B2F049E">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5</w:t>
            </w:r>
          </w:p>
        </w:tc>
        <w:tc>
          <w:tcPr>
            <w:tcW w:w="1073" w:type="dxa"/>
            <w:tcBorders>
              <w:top w:val="nil"/>
              <w:left w:val="nil"/>
              <w:bottom w:val="single" w:color="auto" w:sz="4" w:space="0"/>
              <w:right w:val="single" w:color="auto" w:sz="4" w:space="0"/>
            </w:tcBorders>
            <w:noWrap w:val="0"/>
            <w:vAlign w:val="center"/>
          </w:tcPr>
          <w:p w14:paraId="14ACFCB6">
            <w:pPr>
              <w:widowControl/>
              <w:spacing w:line="220" w:lineRule="exact"/>
              <w:jc w:val="center"/>
              <w:rPr>
                <w:rFonts w:hint="eastAsia" w:ascii="仿宋" w:hAnsi="仿宋" w:eastAsia="仿宋" w:cs="仿宋"/>
                <w:color w:val="000000"/>
                <w:kern w:val="0"/>
                <w:sz w:val="21"/>
                <w:szCs w:val="21"/>
                <w:lang w:val="en-US" w:eastAsia="zh-CN" w:bidi="ar-SA"/>
              </w:rPr>
            </w:pPr>
          </w:p>
        </w:tc>
      </w:tr>
      <w:tr w14:paraId="0AF2C069">
        <w:tblPrEx>
          <w:tblCellMar>
            <w:top w:w="0" w:type="dxa"/>
            <w:left w:w="108" w:type="dxa"/>
            <w:bottom w:w="0" w:type="dxa"/>
            <w:right w:w="108" w:type="dxa"/>
          </w:tblCellMar>
        </w:tblPrEx>
        <w:trPr>
          <w:trHeight w:val="490" w:hRule="atLeast"/>
          <w:jc w:val="center"/>
        </w:trPr>
        <w:tc>
          <w:tcPr>
            <w:tcW w:w="716" w:type="dxa"/>
            <w:vMerge w:val="continue"/>
            <w:tcBorders>
              <w:left w:val="single" w:color="auto" w:sz="4" w:space="0"/>
              <w:bottom w:val="single" w:color="auto" w:sz="4" w:space="0"/>
              <w:right w:val="single" w:color="auto" w:sz="4" w:space="0"/>
            </w:tcBorders>
            <w:noWrap w:val="0"/>
            <w:vAlign w:val="center"/>
          </w:tcPr>
          <w:p w14:paraId="25CE6CE5">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auto" w:sz="4" w:space="0"/>
              <w:right w:val="single" w:color="auto" w:sz="4" w:space="0"/>
            </w:tcBorders>
            <w:noWrap w:val="0"/>
            <w:vAlign w:val="center"/>
          </w:tcPr>
          <w:p w14:paraId="4C74B3FD">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auto" w:sz="4" w:space="0"/>
              <w:left w:val="nil"/>
              <w:bottom w:val="single" w:color="auto" w:sz="4" w:space="0"/>
              <w:right w:val="single" w:color="auto" w:sz="4" w:space="0"/>
            </w:tcBorders>
            <w:noWrap w:val="0"/>
            <w:vAlign w:val="center"/>
          </w:tcPr>
          <w:p w14:paraId="08E41686">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成本指标</w:t>
            </w:r>
          </w:p>
        </w:tc>
        <w:tc>
          <w:tcPr>
            <w:tcW w:w="1603" w:type="dxa"/>
            <w:gridSpan w:val="2"/>
            <w:tcBorders>
              <w:top w:val="nil"/>
              <w:left w:val="nil"/>
              <w:bottom w:val="single" w:color="auto" w:sz="4" w:space="0"/>
              <w:right w:val="single" w:color="auto" w:sz="4" w:space="0"/>
            </w:tcBorders>
            <w:noWrap w:val="0"/>
            <w:vAlign w:val="center"/>
          </w:tcPr>
          <w:p w14:paraId="046D8AB7">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资金到位率</w:t>
            </w:r>
          </w:p>
        </w:tc>
        <w:tc>
          <w:tcPr>
            <w:tcW w:w="1487" w:type="dxa"/>
            <w:tcBorders>
              <w:top w:val="nil"/>
              <w:left w:val="nil"/>
              <w:bottom w:val="single" w:color="auto" w:sz="4" w:space="0"/>
              <w:right w:val="single" w:color="auto" w:sz="4" w:space="0"/>
            </w:tcBorders>
            <w:noWrap w:val="0"/>
            <w:vAlign w:val="center"/>
          </w:tcPr>
          <w:p w14:paraId="522AF25E">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635" w:type="dxa"/>
            <w:tcBorders>
              <w:top w:val="nil"/>
              <w:left w:val="nil"/>
              <w:bottom w:val="single" w:color="auto" w:sz="4" w:space="0"/>
              <w:right w:val="single" w:color="auto" w:sz="4" w:space="0"/>
            </w:tcBorders>
            <w:noWrap w:val="0"/>
            <w:vAlign w:val="center"/>
          </w:tcPr>
          <w:p w14:paraId="21DF8055">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825" w:type="dxa"/>
            <w:tcBorders>
              <w:top w:val="nil"/>
              <w:left w:val="nil"/>
              <w:bottom w:val="single" w:color="auto" w:sz="4" w:space="0"/>
              <w:right w:val="single" w:color="auto" w:sz="4" w:space="0"/>
            </w:tcBorders>
            <w:noWrap w:val="0"/>
            <w:vAlign w:val="center"/>
          </w:tcPr>
          <w:p w14:paraId="1F06C4A1">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nil"/>
              <w:left w:val="nil"/>
              <w:bottom w:val="single" w:color="auto" w:sz="4" w:space="0"/>
              <w:right w:val="single" w:color="auto" w:sz="4" w:space="0"/>
            </w:tcBorders>
            <w:noWrap w:val="0"/>
            <w:vAlign w:val="center"/>
          </w:tcPr>
          <w:p w14:paraId="3B9B95C9">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073" w:type="dxa"/>
            <w:tcBorders>
              <w:top w:val="nil"/>
              <w:left w:val="nil"/>
              <w:bottom w:val="single" w:color="auto" w:sz="4" w:space="0"/>
              <w:right w:val="single" w:color="auto" w:sz="4" w:space="0"/>
            </w:tcBorders>
            <w:noWrap w:val="0"/>
            <w:vAlign w:val="center"/>
          </w:tcPr>
          <w:p w14:paraId="76900589">
            <w:pPr>
              <w:widowControl/>
              <w:spacing w:line="220" w:lineRule="exact"/>
              <w:jc w:val="center"/>
              <w:rPr>
                <w:rFonts w:hint="eastAsia" w:ascii="仿宋" w:hAnsi="仿宋" w:eastAsia="仿宋" w:cs="仿宋"/>
                <w:color w:val="000000"/>
                <w:kern w:val="0"/>
                <w:sz w:val="21"/>
                <w:szCs w:val="21"/>
              </w:rPr>
            </w:pPr>
          </w:p>
        </w:tc>
      </w:tr>
      <w:tr w14:paraId="133F0C30">
        <w:tblPrEx>
          <w:tblCellMar>
            <w:top w:w="0" w:type="dxa"/>
            <w:left w:w="108" w:type="dxa"/>
            <w:bottom w:w="0" w:type="dxa"/>
            <w:right w:w="108" w:type="dxa"/>
          </w:tblCellMar>
        </w:tblPrEx>
        <w:trPr>
          <w:trHeight w:val="530" w:hRule="atLeast"/>
          <w:jc w:val="center"/>
        </w:trPr>
        <w:tc>
          <w:tcPr>
            <w:tcW w:w="716" w:type="dxa"/>
            <w:vMerge w:val="continue"/>
            <w:tcBorders>
              <w:left w:val="single" w:color="auto" w:sz="4" w:space="0"/>
              <w:bottom w:val="single" w:color="000000" w:sz="4" w:space="0"/>
              <w:right w:val="single" w:color="auto" w:sz="4" w:space="0"/>
            </w:tcBorders>
            <w:noWrap w:val="0"/>
            <w:vAlign w:val="center"/>
          </w:tcPr>
          <w:p w14:paraId="1472CB56">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noWrap w:val="0"/>
            <w:vAlign w:val="center"/>
          </w:tcPr>
          <w:p w14:paraId="7770DE47">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noWrap w:val="0"/>
            <w:vAlign w:val="center"/>
          </w:tcPr>
          <w:p w14:paraId="7A6023D1">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noWrap w:val="0"/>
            <w:vAlign w:val="center"/>
          </w:tcPr>
          <w:p w14:paraId="2C72FB27">
            <w:pPr>
              <w:spacing w:line="240" w:lineRule="exact"/>
              <w:jc w:val="center"/>
              <w:rPr>
                <w:rFonts w:hint="eastAsia" w:ascii="仿宋" w:hAnsi="仿宋" w:eastAsia="仿宋" w:cs="仿宋"/>
                <w:sz w:val="20"/>
                <w:szCs w:val="20"/>
              </w:rPr>
            </w:pPr>
          </w:p>
        </w:tc>
        <w:tc>
          <w:tcPr>
            <w:tcW w:w="1487" w:type="dxa"/>
            <w:tcBorders>
              <w:top w:val="nil"/>
              <w:left w:val="nil"/>
              <w:bottom w:val="single" w:color="000000" w:sz="4" w:space="0"/>
              <w:right w:val="single" w:color="auto" w:sz="4" w:space="0"/>
            </w:tcBorders>
            <w:noWrap w:val="0"/>
            <w:vAlign w:val="center"/>
          </w:tcPr>
          <w:p w14:paraId="03087623">
            <w:pPr>
              <w:spacing w:line="240" w:lineRule="exact"/>
              <w:rPr>
                <w:rFonts w:hint="eastAsia" w:ascii="仿宋" w:hAnsi="仿宋" w:eastAsia="仿宋" w:cs="仿宋"/>
                <w:sz w:val="20"/>
                <w:szCs w:val="20"/>
              </w:rPr>
            </w:pPr>
          </w:p>
        </w:tc>
        <w:tc>
          <w:tcPr>
            <w:tcW w:w="1635" w:type="dxa"/>
            <w:tcBorders>
              <w:top w:val="nil"/>
              <w:left w:val="nil"/>
              <w:bottom w:val="single" w:color="000000" w:sz="4" w:space="0"/>
              <w:right w:val="single" w:color="auto" w:sz="4" w:space="0"/>
            </w:tcBorders>
            <w:noWrap w:val="0"/>
            <w:vAlign w:val="center"/>
          </w:tcPr>
          <w:p w14:paraId="7F391212">
            <w:pPr>
              <w:widowControl/>
              <w:spacing w:line="220" w:lineRule="exact"/>
              <w:jc w:val="left"/>
              <w:rPr>
                <w:rFonts w:hint="eastAsia" w:ascii="仿宋" w:hAnsi="仿宋" w:eastAsia="仿宋" w:cs="仿宋"/>
                <w:sz w:val="20"/>
                <w:szCs w:val="20"/>
              </w:rPr>
            </w:pPr>
          </w:p>
        </w:tc>
        <w:tc>
          <w:tcPr>
            <w:tcW w:w="825" w:type="dxa"/>
            <w:tcBorders>
              <w:top w:val="nil"/>
              <w:left w:val="nil"/>
              <w:bottom w:val="single" w:color="000000" w:sz="4" w:space="0"/>
              <w:right w:val="single" w:color="auto" w:sz="4" w:space="0"/>
            </w:tcBorders>
            <w:noWrap w:val="0"/>
            <w:vAlign w:val="center"/>
          </w:tcPr>
          <w:p w14:paraId="3FF90A89">
            <w:pPr>
              <w:widowControl/>
              <w:spacing w:line="220" w:lineRule="exact"/>
              <w:jc w:val="center"/>
              <w:rPr>
                <w:rFonts w:hint="eastAsia" w:ascii="仿宋" w:hAnsi="仿宋" w:eastAsia="仿宋" w:cs="仿宋"/>
                <w:color w:val="000000"/>
                <w:kern w:val="0"/>
                <w:sz w:val="21"/>
                <w:szCs w:val="21"/>
              </w:rPr>
            </w:pPr>
          </w:p>
        </w:tc>
        <w:tc>
          <w:tcPr>
            <w:tcW w:w="1455" w:type="dxa"/>
            <w:tcBorders>
              <w:top w:val="nil"/>
              <w:left w:val="nil"/>
              <w:bottom w:val="single" w:color="000000" w:sz="4" w:space="0"/>
              <w:right w:val="single" w:color="auto" w:sz="4" w:space="0"/>
            </w:tcBorders>
            <w:noWrap w:val="0"/>
            <w:vAlign w:val="center"/>
          </w:tcPr>
          <w:p w14:paraId="7A9FA719">
            <w:pPr>
              <w:widowControl/>
              <w:spacing w:line="220" w:lineRule="exact"/>
              <w:jc w:val="center"/>
              <w:rPr>
                <w:rFonts w:hint="eastAsia" w:ascii="仿宋" w:hAnsi="仿宋" w:eastAsia="仿宋" w:cs="仿宋"/>
                <w:color w:val="000000"/>
                <w:kern w:val="0"/>
                <w:sz w:val="21"/>
                <w:szCs w:val="21"/>
              </w:rPr>
            </w:pPr>
          </w:p>
        </w:tc>
        <w:tc>
          <w:tcPr>
            <w:tcW w:w="1073" w:type="dxa"/>
            <w:tcBorders>
              <w:top w:val="nil"/>
              <w:left w:val="nil"/>
              <w:bottom w:val="single" w:color="000000" w:sz="4" w:space="0"/>
              <w:right w:val="single" w:color="auto" w:sz="4" w:space="0"/>
            </w:tcBorders>
            <w:noWrap w:val="0"/>
            <w:vAlign w:val="center"/>
          </w:tcPr>
          <w:p w14:paraId="6314C34B">
            <w:pPr>
              <w:widowControl/>
              <w:spacing w:line="220" w:lineRule="exact"/>
              <w:jc w:val="center"/>
              <w:rPr>
                <w:rFonts w:hint="eastAsia" w:ascii="仿宋" w:hAnsi="仿宋" w:eastAsia="仿宋" w:cs="仿宋"/>
                <w:color w:val="000000"/>
                <w:kern w:val="0"/>
                <w:sz w:val="21"/>
                <w:szCs w:val="21"/>
              </w:rPr>
            </w:pPr>
          </w:p>
        </w:tc>
      </w:tr>
      <w:tr w14:paraId="586BE4CD">
        <w:tblPrEx>
          <w:tblCellMar>
            <w:top w:w="0" w:type="dxa"/>
            <w:left w:w="108" w:type="dxa"/>
            <w:bottom w:w="0" w:type="dxa"/>
            <w:right w:w="108" w:type="dxa"/>
          </w:tblCellMar>
        </w:tblPrEx>
        <w:trPr>
          <w:trHeight w:val="490"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noWrap w:val="0"/>
            <w:vAlign w:val="center"/>
          </w:tcPr>
          <w:p w14:paraId="3FD42A2F">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000000" w:sz="4" w:space="0"/>
              <w:left w:val="single" w:color="auto" w:sz="4" w:space="0"/>
              <w:bottom w:val="single" w:color="000000" w:sz="4" w:space="0"/>
              <w:right w:val="single" w:color="auto" w:sz="4" w:space="0"/>
            </w:tcBorders>
            <w:noWrap w:val="0"/>
            <w:vAlign w:val="center"/>
          </w:tcPr>
          <w:p w14:paraId="35B18EBF">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效益指标（30分）</w:t>
            </w:r>
          </w:p>
          <w:p w14:paraId="542191AD">
            <w:pPr>
              <w:widowControl/>
              <w:spacing w:line="220" w:lineRule="exact"/>
              <w:jc w:val="left"/>
              <w:rPr>
                <w:rFonts w:hint="eastAsia" w:ascii="仿宋" w:hAnsi="仿宋" w:eastAsia="仿宋" w:cs="仿宋"/>
                <w:color w:val="000000"/>
                <w:kern w:val="0"/>
                <w:sz w:val="21"/>
                <w:szCs w:val="21"/>
              </w:rPr>
            </w:pPr>
          </w:p>
          <w:p w14:paraId="4A0FA67A">
            <w:pPr>
              <w:widowControl/>
              <w:spacing w:line="220" w:lineRule="exact"/>
              <w:jc w:val="left"/>
              <w:rPr>
                <w:rFonts w:hint="eastAsia" w:ascii="仿宋" w:hAnsi="仿宋" w:eastAsia="仿宋" w:cs="仿宋"/>
                <w:color w:val="000000"/>
                <w:kern w:val="0"/>
                <w:sz w:val="21"/>
                <w:szCs w:val="21"/>
              </w:rPr>
            </w:pPr>
          </w:p>
          <w:p w14:paraId="789AB666">
            <w:pPr>
              <w:widowControl/>
              <w:spacing w:line="220" w:lineRule="exact"/>
              <w:jc w:val="left"/>
              <w:rPr>
                <w:rFonts w:hint="eastAsia" w:ascii="仿宋" w:hAnsi="仿宋" w:eastAsia="仿宋" w:cs="仿宋"/>
                <w:color w:val="000000"/>
                <w:kern w:val="0"/>
                <w:sz w:val="21"/>
                <w:szCs w:val="21"/>
              </w:rPr>
            </w:pPr>
          </w:p>
          <w:p w14:paraId="1059197A">
            <w:pPr>
              <w:widowControl/>
              <w:spacing w:line="220" w:lineRule="exact"/>
              <w:jc w:val="left"/>
              <w:rPr>
                <w:rFonts w:hint="eastAsia" w:ascii="仿宋" w:hAnsi="仿宋" w:eastAsia="仿宋" w:cs="仿宋"/>
                <w:color w:val="000000"/>
                <w:kern w:val="0"/>
                <w:sz w:val="21"/>
                <w:szCs w:val="21"/>
              </w:rPr>
            </w:pPr>
          </w:p>
          <w:p w14:paraId="74A2ED39">
            <w:pPr>
              <w:widowControl/>
              <w:spacing w:line="220" w:lineRule="exact"/>
              <w:jc w:val="left"/>
              <w:rPr>
                <w:rFonts w:hint="eastAsia" w:ascii="仿宋" w:hAnsi="仿宋" w:eastAsia="仿宋" w:cs="仿宋"/>
                <w:color w:val="000000"/>
                <w:kern w:val="0"/>
                <w:sz w:val="21"/>
                <w:szCs w:val="21"/>
              </w:rPr>
            </w:pPr>
          </w:p>
          <w:p w14:paraId="713AB388">
            <w:pPr>
              <w:widowControl/>
              <w:spacing w:line="220" w:lineRule="exact"/>
              <w:jc w:val="left"/>
              <w:rPr>
                <w:rFonts w:hint="eastAsia" w:ascii="仿宋" w:hAnsi="仿宋" w:eastAsia="仿宋" w:cs="仿宋"/>
                <w:color w:val="000000"/>
                <w:kern w:val="0"/>
                <w:sz w:val="21"/>
                <w:szCs w:val="21"/>
              </w:rPr>
            </w:pPr>
          </w:p>
          <w:p w14:paraId="5965F506">
            <w:pPr>
              <w:widowControl/>
              <w:spacing w:line="220" w:lineRule="exact"/>
              <w:jc w:val="left"/>
              <w:rPr>
                <w:rFonts w:hint="eastAsia" w:ascii="仿宋" w:hAnsi="仿宋" w:eastAsia="仿宋" w:cs="仿宋"/>
                <w:color w:val="000000"/>
                <w:kern w:val="0"/>
                <w:sz w:val="21"/>
                <w:szCs w:val="21"/>
              </w:rPr>
            </w:pPr>
          </w:p>
          <w:p w14:paraId="67D93CB0">
            <w:pPr>
              <w:widowControl/>
              <w:spacing w:line="220" w:lineRule="exact"/>
              <w:jc w:val="left"/>
              <w:rPr>
                <w:rFonts w:hint="eastAsia" w:ascii="仿宋" w:hAnsi="仿宋" w:eastAsia="仿宋" w:cs="仿宋"/>
                <w:color w:val="000000"/>
                <w:kern w:val="0"/>
                <w:sz w:val="21"/>
                <w:szCs w:val="21"/>
              </w:rPr>
            </w:pPr>
          </w:p>
          <w:p w14:paraId="321C43EB">
            <w:pPr>
              <w:widowControl/>
              <w:spacing w:line="220" w:lineRule="exact"/>
              <w:jc w:val="left"/>
              <w:rPr>
                <w:rFonts w:hint="eastAsia" w:ascii="仿宋" w:hAnsi="仿宋" w:eastAsia="仿宋" w:cs="仿宋"/>
                <w:color w:val="000000"/>
                <w:kern w:val="0"/>
                <w:sz w:val="21"/>
                <w:szCs w:val="21"/>
              </w:rPr>
            </w:pPr>
          </w:p>
          <w:p w14:paraId="50BFD828">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bottom w:val="single" w:color="000000" w:sz="4" w:space="0"/>
              <w:right w:val="single" w:color="auto" w:sz="4" w:space="0"/>
            </w:tcBorders>
            <w:noWrap w:val="0"/>
            <w:vAlign w:val="center"/>
          </w:tcPr>
          <w:p w14:paraId="7305DD34">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经济效益指标</w:t>
            </w:r>
          </w:p>
        </w:tc>
        <w:tc>
          <w:tcPr>
            <w:tcW w:w="1603" w:type="dxa"/>
            <w:gridSpan w:val="2"/>
            <w:tcBorders>
              <w:top w:val="single" w:color="000000" w:sz="4" w:space="0"/>
              <w:left w:val="single" w:color="auto" w:sz="4" w:space="0"/>
              <w:bottom w:val="single" w:color="000000" w:sz="4" w:space="0"/>
              <w:right w:val="single" w:color="auto" w:sz="4" w:space="0"/>
            </w:tcBorders>
            <w:noWrap w:val="0"/>
            <w:vAlign w:val="center"/>
          </w:tcPr>
          <w:p w14:paraId="43BB71FD">
            <w:pPr>
              <w:spacing w:line="24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缩短群众办事时间，提高办事效率</w:t>
            </w:r>
          </w:p>
        </w:tc>
        <w:tc>
          <w:tcPr>
            <w:tcW w:w="1487" w:type="dxa"/>
            <w:tcBorders>
              <w:top w:val="single" w:color="000000" w:sz="4" w:space="0"/>
              <w:left w:val="nil"/>
              <w:bottom w:val="single" w:color="000000" w:sz="4" w:space="0"/>
              <w:right w:val="single" w:color="auto" w:sz="4" w:space="0"/>
            </w:tcBorders>
            <w:noWrap w:val="0"/>
            <w:vAlign w:val="center"/>
          </w:tcPr>
          <w:p w14:paraId="5128CE6F">
            <w:pPr>
              <w:spacing w:line="240" w:lineRule="exac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稳步提升</w:t>
            </w:r>
          </w:p>
        </w:tc>
        <w:tc>
          <w:tcPr>
            <w:tcW w:w="1635" w:type="dxa"/>
            <w:tcBorders>
              <w:top w:val="single" w:color="000000" w:sz="4" w:space="0"/>
              <w:left w:val="nil"/>
              <w:bottom w:val="single" w:color="000000" w:sz="4" w:space="0"/>
              <w:right w:val="single" w:color="auto" w:sz="4" w:space="0"/>
            </w:tcBorders>
            <w:noWrap w:val="0"/>
            <w:vAlign w:val="center"/>
          </w:tcPr>
          <w:p w14:paraId="634A46B1">
            <w:pPr>
              <w:widowControl/>
              <w:spacing w:line="220" w:lineRule="exact"/>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稳步提升</w:t>
            </w:r>
          </w:p>
        </w:tc>
        <w:tc>
          <w:tcPr>
            <w:tcW w:w="825" w:type="dxa"/>
            <w:tcBorders>
              <w:top w:val="single" w:color="000000" w:sz="4" w:space="0"/>
              <w:left w:val="nil"/>
              <w:bottom w:val="single" w:color="000000" w:sz="4" w:space="0"/>
              <w:right w:val="single" w:color="auto" w:sz="4" w:space="0"/>
            </w:tcBorders>
            <w:noWrap w:val="0"/>
            <w:vAlign w:val="center"/>
          </w:tcPr>
          <w:p w14:paraId="5AFFD322">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single" w:color="000000" w:sz="4" w:space="0"/>
              <w:left w:val="nil"/>
              <w:bottom w:val="single" w:color="000000" w:sz="4" w:space="0"/>
              <w:right w:val="single" w:color="auto" w:sz="4" w:space="0"/>
            </w:tcBorders>
            <w:noWrap w:val="0"/>
            <w:vAlign w:val="center"/>
          </w:tcPr>
          <w:p w14:paraId="6AA13DAA">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073" w:type="dxa"/>
            <w:tcBorders>
              <w:top w:val="single" w:color="000000" w:sz="4" w:space="0"/>
              <w:left w:val="nil"/>
              <w:bottom w:val="single" w:color="000000" w:sz="4" w:space="0"/>
              <w:right w:val="single" w:color="auto" w:sz="4" w:space="0"/>
            </w:tcBorders>
            <w:noWrap w:val="0"/>
            <w:vAlign w:val="center"/>
          </w:tcPr>
          <w:p w14:paraId="064E84BD">
            <w:pPr>
              <w:widowControl/>
              <w:spacing w:line="220" w:lineRule="exact"/>
              <w:jc w:val="center"/>
              <w:rPr>
                <w:rFonts w:hint="eastAsia" w:ascii="仿宋" w:hAnsi="仿宋" w:eastAsia="仿宋" w:cs="仿宋"/>
                <w:color w:val="000000"/>
                <w:kern w:val="0"/>
                <w:sz w:val="21"/>
                <w:szCs w:val="21"/>
              </w:rPr>
            </w:pPr>
          </w:p>
        </w:tc>
      </w:tr>
      <w:tr w14:paraId="0EE0D342">
        <w:tblPrEx>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503BD0B6">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3D4C6BBE">
            <w:pPr>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single" w:color="auto" w:sz="4" w:space="0"/>
              <w:bottom w:val="single" w:color="auto" w:sz="4" w:space="0"/>
              <w:right w:val="single" w:color="auto" w:sz="4" w:space="0"/>
            </w:tcBorders>
            <w:noWrap w:val="0"/>
            <w:vAlign w:val="center"/>
          </w:tcPr>
          <w:p w14:paraId="16D74C22">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noWrap w:val="0"/>
            <w:vAlign w:val="center"/>
          </w:tcPr>
          <w:p w14:paraId="295075AD">
            <w:pPr>
              <w:spacing w:line="240" w:lineRule="exact"/>
              <w:jc w:val="center"/>
              <w:rPr>
                <w:rFonts w:hint="eastAsia" w:ascii="仿宋" w:hAnsi="仿宋" w:eastAsia="仿宋" w:cs="仿宋"/>
                <w:color w:val="000000"/>
                <w:kern w:val="0"/>
                <w:sz w:val="21"/>
                <w:szCs w:val="21"/>
              </w:rPr>
            </w:pPr>
          </w:p>
        </w:tc>
        <w:tc>
          <w:tcPr>
            <w:tcW w:w="1487" w:type="dxa"/>
            <w:tcBorders>
              <w:top w:val="single" w:color="000000" w:sz="4" w:space="0"/>
              <w:left w:val="nil"/>
              <w:bottom w:val="single" w:color="auto" w:sz="4" w:space="0"/>
              <w:right w:val="single" w:color="auto" w:sz="4" w:space="0"/>
            </w:tcBorders>
            <w:noWrap w:val="0"/>
            <w:vAlign w:val="center"/>
          </w:tcPr>
          <w:p w14:paraId="5941018D">
            <w:pPr>
              <w:spacing w:line="240" w:lineRule="exact"/>
              <w:rPr>
                <w:rFonts w:hint="eastAsia" w:ascii="仿宋" w:hAnsi="仿宋" w:eastAsia="仿宋" w:cs="仿宋"/>
                <w:color w:val="000000"/>
                <w:kern w:val="0"/>
                <w:sz w:val="21"/>
                <w:szCs w:val="21"/>
              </w:rPr>
            </w:pPr>
          </w:p>
        </w:tc>
        <w:tc>
          <w:tcPr>
            <w:tcW w:w="1635" w:type="dxa"/>
            <w:tcBorders>
              <w:top w:val="single" w:color="000000" w:sz="4" w:space="0"/>
              <w:left w:val="nil"/>
              <w:bottom w:val="single" w:color="auto" w:sz="4" w:space="0"/>
              <w:right w:val="single" w:color="auto" w:sz="4" w:space="0"/>
            </w:tcBorders>
            <w:noWrap w:val="0"/>
            <w:vAlign w:val="center"/>
          </w:tcPr>
          <w:p w14:paraId="7BAA87AF">
            <w:pPr>
              <w:widowControl/>
              <w:spacing w:line="220" w:lineRule="exact"/>
              <w:jc w:val="left"/>
              <w:rPr>
                <w:rFonts w:hint="eastAsia" w:ascii="仿宋" w:hAnsi="仿宋" w:eastAsia="仿宋" w:cs="仿宋"/>
                <w:color w:val="000000"/>
                <w:kern w:val="0"/>
                <w:sz w:val="21"/>
                <w:szCs w:val="21"/>
              </w:rPr>
            </w:pPr>
          </w:p>
        </w:tc>
        <w:tc>
          <w:tcPr>
            <w:tcW w:w="825" w:type="dxa"/>
            <w:tcBorders>
              <w:top w:val="single" w:color="000000" w:sz="4" w:space="0"/>
              <w:left w:val="nil"/>
              <w:bottom w:val="single" w:color="auto" w:sz="4" w:space="0"/>
              <w:right w:val="single" w:color="auto" w:sz="4" w:space="0"/>
            </w:tcBorders>
            <w:noWrap w:val="0"/>
            <w:vAlign w:val="center"/>
          </w:tcPr>
          <w:p w14:paraId="3E253F6C">
            <w:pPr>
              <w:widowControl/>
              <w:spacing w:line="220" w:lineRule="exact"/>
              <w:jc w:val="center"/>
              <w:rPr>
                <w:rFonts w:hint="eastAsia" w:ascii="仿宋" w:hAnsi="仿宋" w:eastAsia="仿宋" w:cs="仿宋"/>
                <w:color w:val="000000"/>
                <w:kern w:val="0"/>
                <w:sz w:val="21"/>
                <w:szCs w:val="21"/>
              </w:rPr>
            </w:pPr>
          </w:p>
        </w:tc>
        <w:tc>
          <w:tcPr>
            <w:tcW w:w="1455" w:type="dxa"/>
            <w:tcBorders>
              <w:top w:val="single" w:color="000000" w:sz="4" w:space="0"/>
              <w:left w:val="nil"/>
              <w:bottom w:val="single" w:color="auto" w:sz="4" w:space="0"/>
              <w:right w:val="single" w:color="auto" w:sz="4" w:space="0"/>
            </w:tcBorders>
            <w:noWrap w:val="0"/>
            <w:vAlign w:val="center"/>
          </w:tcPr>
          <w:p w14:paraId="7E5E28F3">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000000" w:sz="4" w:space="0"/>
              <w:left w:val="nil"/>
              <w:bottom w:val="single" w:color="auto" w:sz="4" w:space="0"/>
              <w:right w:val="single" w:color="auto" w:sz="4" w:space="0"/>
            </w:tcBorders>
            <w:noWrap w:val="0"/>
            <w:vAlign w:val="center"/>
          </w:tcPr>
          <w:p w14:paraId="72F86A3C">
            <w:pPr>
              <w:widowControl/>
              <w:spacing w:line="220" w:lineRule="exact"/>
              <w:jc w:val="center"/>
              <w:rPr>
                <w:rFonts w:hint="eastAsia" w:ascii="仿宋" w:hAnsi="仿宋" w:eastAsia="仿宋" w:cs="仿宋"/>
                <w:color w:val="000000"/>
                <w:kern w:val="0"/>
                <w:sz w:val="21"/>
                <w:szCs w:val="21"/>
              </w:rPr>
            </w:pPr>
          </w:p>
        </w:tc>
      </w:tr>
      <w:tr w14:paraId="0F7EA13F">
        <w:tblPrEx>
          <w:tblCellMar>
            <w:top w:w="0" w:type="dxa"/>
            <w:left w:w="108" w:type="dxa"/>
            <w:bottom w:w="0" w:type="dxa"/>
            <w:right w:w="108" w:type="dxa"/>
          </w:tblCellMar>
        </w:tblPrEx>
        <w:trPr>
          <w:trHeight w:val="55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176A185D">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7D985B92">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noWrap w:val="0"/>
            <w:vAlign w:val="center"/>
          </w:tcPr>
          <w:p w14:paraId="73FE0817">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社会效益指标</w:t>
            </w:r>
          </w:p>
        </w:tc>
        <w:tc>
          <w:tcPr>
            <w:tcW w:w="1603" w:type="dxa"/>
            <w:gridSpan w:val="2"/>
            <w:tcBorders>
              <w:top w:val="single" w:color="000000" w:sz="4" w:space="0"/>
              <w:left w:val="nil"/>
              <w:bottom w:val="single" w:color="auto" w:sz="4" w:space="0"/>
              <w:right w:val="single" w:color="auto" w:sz="4" w:space="0"/>
            </w:tcBorders>
            <w:noWrap w:val="0"/>
            <w:vAlign w:val="center"/>
          </w:tcPr>
          <w:p w14:paraId="5A22E327">
            <w:pPr>
              <w:spacing w:line="24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政务服务水平</w:t>
            </w:r>
          </w:p>
        </w:tc>
        <w:tc>
          <w:tcPr>
            <w:tcW w:w="1487" w:type="dxa"/>
            <w:tcBorders>
              <w:top w:val="single" w:color="000000" w:sz="4" w:space="0"/>
              <w:left w:val="nil"/>
              <w:bottom w:val="single" w:color="auto" w:sz="4" w:space="0"/>
              <w:right w:val="single" w:color="auto" w:sz="4" w:space="0"/>
            </w:tcBorders>
            <w:noWrap w:val="0"/>
            <w:vAlign w:val="center"/>
          </w:tcPr>
          <w:p w14:paraId="58419FB5">
            <w:pPr>
              <w:spacing w:line="240" w:lineRule="exact"/>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稳步提升</w:t>
            </w:r>
          </w:p>
        </w:tc>
        <w:tc>
          <w:tcPr>
            <w:tcW w:w="1635" w:type="dxa"/>
            <w:tcBorders>
              <w:top w:val="single" w:color="000000" w:sz="4" w:space="0"/>
              <w:left w:val="nil"/>
              <w:bottom w:val="single" w:color="auto" w:sz="4" w:space="0"/>
              <w:right w:val="single" w:color="auto" w:sz="4" w:space="0"/>
            </w:tcBorders>
            <w:noWrap w:val="0"/>
            <w:vAlign w:val="center"/>
          </w:tcPr>
          <w:p w14:paraId="7BD05280">
            <w:pPr>
              <w:widowControl/>
              <w:spacing w:line="22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稳步提升</w:t>
            </w:r>
          </w:p>
        </w:tc>
        <w:tc>
          <w:tcPr>
            <w:tcW w:w="825" w:type="dxa"/>
            <w:tcBorders>
              <w:top w:val="single" w:color="000000" w:sz="4" w:space="0"/>
              <w:left w:val="nil"/>
              <w:bottom w:val="single" w:color="auto" w:sz="4" w:space="0"/>
              <w:right w:val="single" w:color="auto" w:sz="4" w:space="0"/>
            </w:tcBorders>
            <w:noWrap w:val="0"/>
            <w:vAlign w:val="center"/>
          </w:tcPr>
          <w:p w14:paraId="103E9DA3">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5</w:t>
            </w:r>
          </w:p>
        </w:tc>
        <w:tc>
          <w:tcPr>
            <w:tcW w:w="1455" w:type="dxa"/>
            <w:tcBorders>
              <w:top w:val="single" w:color="000000" w:sz="4" w:space="0"/>
              <w:left w:val="nil"/>
              <w:bottom w:val="single" w:color="auto" w:sz="4" w:space="0"/>
              <w:right w:val="single" w:color="auto" w:sz="4" w:space="0"/>
            </w:tcBorders>
            <w:noWrap w:val="0"/>
            <w:vAlign w:val="center"/>
          </w:tcPr>
          <w:p w14:paraId="24B3E4BE">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5</w:t>
            </w:r>
          </w:p>
        </w:tc>
        <w:tc>
          <w:tcPr>
            <w:tcW w:w="1073" w:type="dxa"/>
            <w:tcBorders>
              <w:top w:val="single" w:color="000000" w:sz="4" w:space="0"/>
              <w:left w:val="nil"/>
              <w:bottom w:val="single" w:color="auto" w:sz="4" w:space="0"/>
              <w:right w:val="single" w:color="auto" w:sz="4" w:space="0"/>
            </w:tcBorders>
            <w:noWrap w:val="0"/>
            <w:vAlign w:val="center"/>
          </w:tcPr>
          <w:p w14:paraId="7586C0FA">
            <w:pPr>
              <w:widowControl/>
              <w:spacing w:line="220" w:lineRule="exact"/>
              <w:jc w:val="center"/>
              <w:rPr>
                <w:rFonts w:hint="eastAsia" w:ascii="仿宋" w:hAnsi="仿宋" w:eastAsia="仿宋" w:cs="仿宋"/>
                <w:color w:val="000000"/>
                <w:kern w:val="0"/>
                <w:sz w:val="21"/>
                <w:szCs w:val="21"/>
              </w:rPr>
            </w:pPr>
          </w:p>
        </w:tc>
      </w:tr>
      <w:tr w14:paraId="4AEF26DD">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7949F877">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354DAB55">
            <w:pPr>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bottom w:val="single" w:color="auto" w:sz="4" w:space="0"/>
              <w:right w:val="single" w:color="auto" w:sz="4" w:space="0"/>
            </w:tcBorders>
            <w:noWrap w:val="0"/>
            <w:vAlign w:val="center"/>
          </w:tcPr>
          <w:p w14:paraId="3DD41156">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noWrap w:val="0"/>
            <w:vAlign w:val="center"/>
          </w:tcPr>
          <w:p w14:paraId="458C5B0D">
            <w:pPr>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一件事一次办</w:t>
            </w:r>
          </w:p>
        </w:tc>
        <w:tc>
          <w:tcPr>
            <w:tcW w:w="1487" w:type="dxa"/>
            <w:tcBorders>
              <w:top w:val="single" w:color="000000" w:sz="4" w:space="0"/>
              <w:left w:val="nil"/>
              <w:bottom w:val="single" w:color="auto" w:sz="4" w:space="0"/>
              <w:right w:val="single" w:color="auto" w:sz="4" w:space="0"/>
            </w:tcBorders>
            <w:noWrap w:val="0"/>
            <w:vAlign w:val="center"/>
          </w:tcPr>
          <w:p w14:paraId="00A39ACB">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1635" w:type="dxa"/>
            <w:tcBorders>
              <w:top w:val="single" w:color="000000" w:sz="4" w:space="0"/>
              <w:left w:val="nil"/>
              <w:bottom w:val="single" w:color="auto" w:sz="4" w:space="0"/>
              <w:right w:val="single" w:color="auto" w:sz="4" w:space="0"/>
            </w:tcBorders>
            <w:noWrap w:val="0"/>
            <w:vAlign w:val="center"/>
          </w:tcPr>
          <w:p w14:paraId="1B1DB8DC">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100%</w:t>
            </w:r>
          </w:p>
        </w:tc>
        <w:tc>
          <w:tcPr>
            <w:tcW w:w="825" w:type="dxa"/>
            <w:tcBorders>
              <w:top w:val="single" w:color="000000" w:sz="4" w:space="0"/>
              <w:left w:val="nil"/>
              <w:bottom w:val="single" w:color="auto" w:sz="4" w:space="0"/>
              <w:right w:val="single" w:color="auto" w:sz="4" w:space="0"/>
            </w:tcBorders>
            <w:noWrap w:val="0"/>
            <w:vAlign w:val="center"/>
          </w:tcPr>
          <w:p w14:paraId="683BA464">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5</w:t>
            </w:r>
          </w:p>
        </w:tc>
        <w:tc>
          <w:tcPr>
            <w:tcW w:w="1455" w:type="dxa"/>
            <w:tcBorders>
              <w:top w:val="single" w:color="000000" w:sz="4" w:space="0"/>
              <w:left w:val="nil"/>
              <w:bottom w:val="single" w:color="auto" w:sz="4" w:space="0"/>
              <w:right w:val="single" w:color="auto" w:sz="4" w:space="0"/>
            </w:tcBorders>
            <w:noWrap w:val="0"/>
            <w:vAlign w:val="center"/>
          </w:tcPr>
          <w:p w14:paraId="182DC64D">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5</w:t>
            </w:r>
          </w:p>
        </w:tc>
        <w:tc>
          <w:tcPr>
            <w:tcW w:w="1073" w:type="dxa"/>
            <w:tcBorders>
              <w:top w:val="single" w:color="000000" w:sz="4" w:space="0"/>
              <w:left w:val="nil"/>
              <w:bottom w:val="single" w:color="auto" w:sz="4" w:space="0"/>
              <w:right w:val="single" w:color="auto" w:sz="4" w:space="0"/>
            </w:tcBorders>
            <w:noWrap w:val="0"/>
            <w:vAlign w:val="center"/>
          </w:tcPr>
          <w:p w14:paraId="13EEB5D1">
            <w:pPr>
              <w:widowControl/>
              <w:spacing w:line="220" w:lineRule="exact"/>
              <w:jc w:val="center"/>
              <w:rPr>
                <w:rFonts w:hint="eastAsia" w:ascii="仿宋" w:hAnsi="仿宋" w:eastAsia="仿宋" w:cs="仿宋"/>
                <w:color w:val="000000"/>
                <w:kern w:val="0"/>
                <w:sz w:val="21"/>
                <w:szCs w:val="21"/>
              </w:rPr>
            </w:pPr>
          </w:p>
        </w:tc>
      </w:tr>
      <w:tr w14:paraId="48C86EE3">
        <w:tblPrEx>
          <w:tblCellMar>
            <w:top w:w="0" w:type="dxa"/>
            <w:left w:w="108" w:type="dxa"/>
            <w:bottom w:w="0" w:type="dxa"/>
            <w:right w:w="108" w:type="dxa"/>
          </w:tblCellMar>
        </w:tblPrEx>
        <w:trPr>
          <w:trHeight w:val="52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12340710">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5D97A942">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noWrap w:val="0"/>
            <w:vAlign w:val="center"/>
          </w:tcPr>
          <w:p w14:paraId="426D2EAA">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生态效益指标</w:t>
            </w:r>
          </w:p>
        </w:tc>
        <w:tc>
          <w:tcPr>
            <w:tcW w:w="1603" w:type="dxa"/>
            <w:gridSpan w:val="2"/>
            <w:tcBorders>
              <w:top w:val="single" w:color="000000" w:sz="4" w:space="0"/>
              <w:left w:val="nil"/>
              <w:bottom w:val="single" w:color="auto" w:sz="4" w:space="0"/>
              <w:right w:val="single" w:color="auto" w:sz="4" w:space="0"/>
            </w:tcBorders>
            <w:noWrap w:val="0"/>
            <w:vAlign w:val="center"/>
          </w:tcPr>
          <w:p w14:paraId="06B76037">
            <w:pPr>
              <w:spacing w:line="24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优化办事效率</w:t>
            </w:r>
          </w:p>
        </w:tc>
        <w:tc>
          <w:tcPr>
            <w:tcW w:w="1487" w:type="dxa"/>
            <w:tcBorders>
              <w:top w:val="single" w:color="000000" w:sz="4" w:space="0"/>
              <w:left w:val="nil"/>
              <w:bottom w:val="single" w:color="auto" w:sz="4" w:space="0"/>
              <w:right w:val="single" w:color="auto" w:sz="4" w:space="0"/>
            </w:tcBorders>
            <w:noWrap w:val="0"/>
            <w:vAlign w:val="center"/>
          </w:tcPr>
          <w:p w14:paraId="2537173D">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1635" w:type="dxa"/>
            <w:tcBorders>
              <w:top w:val="single" w:color="000000" w:sz="4" w:space="0"/>
              <w:left w:val="nil"/>
              <w:bottom w:val="single" w:color="auto" w:sz="4" w:space="0"/>
              <w:right w:val="single" w:color="auto" w:sz="4" w:space="0"/>
            </w:tcBorders>
            <w:noWrap w:val="0"/>
            <w:vAlign w:val="center"/>
          </w:tcPr>
          <w:p w14:paraId="3C3B308A">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100%</w:t>
            </w:r>
          </w:p>
        </w:tc>
        <w:tc>
          <w:tcPr>
            <w:tcW w:w="825" w:type="dxa"/>
            <w:tcBorders>
              <w:top w:val="single" w:color="000000" w:sz="4" w:space="0"/>
              <w:left w:val="nil"/>
              <w:bottom w:val="single" w:color="auto" w:sz="4" w:space="0"/>
              <w:right w:val="single" w:color="auto" w:sz="4" w:space="0"/>
            </w:tcBorders>
            <w:noWrap w:val="0"/>
            <w:vAlign w:val="center"/>
          </w:tcPr>
          <w:p w14:paraId="2BF8377A">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single" w:color="000000" w:sz="4" w:space="0"/>
              <w:left w:val="nil"/>
              <w:bottom w:val="single" w:color="auto" w:sz="4" w:space="0"/>
              <w:right w:val="single" w:color="auto" w:sz="4" w:space="0"/>
            </w:tcBorders>
            <w:noWrap w:val="0"/>
            <w:vAlign w:val="center"/>
          </w:tcPr>
          <w:p w14:paraId="655D4ABE">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073" w:type="dxa"/>
            <w:tcBorders>
              <w:top w:val="single" w:color="000000" w:sz="4" w:space="0"/>
              <w:left w:val="nil"/>
              <w:bottom w:val="single" w:color="auto" w:sz="4" w:space="0"/>
              <w:right w:val="single" w:color="auto" w:sz="4" w:space="0"/>
            </w:tcBorders>
            <w:noWrap w:val="0"/>
            <w:vAlign w:val="center"/>
          </w:tcPr>
          <w:p w14:paraId="650C69F4">
            <w:pPr>
              <w:widowControl/>
              <w:spacing w:line="220" w:lineRule="exact"/>
              <w:jc w:val="center"/>
              <w:rPr>
                <w:rFonts w:hint="eastAsia" w:ascii="仿宋" w:hAnsi="仿宋" w:eastAsia="仿宋" w:cs="仿宋"/>
                <w:color w:val="000000"/>
                <w:kern w:val="0"/>
                <w:sz w:val="21"/>
                <w:szCs w:val="21"/>
              </w:rPr>
            </w:pPr>
          </w:p>
        </w:tc>
      </w:tr>
      <w:tr w14:paraId="68379332">
        <w:tblPrEx>
          <w:tblCellMar>
            <w:top w:w="0" w:type="dxa"/>
            <w:left w:w="108" w:type="dxa"/>
            <w:bottom w:w="0" w:type="dxa"/>
            <w:right w:w="108" w:type="dxa"/>
          </w:tblCellMar>
        </w:tblPrEx>
        <w:trPr>
          <w:trHeight w:val="46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3D0860CF">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21383DA4">
            <w:pPr>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bottom w:val="single" w:color="auto" w:sz="4" w:space="0"/>
              <w:right w:val="single" w:color="auto" w:sz="4" w:space="0"/>
            </w:tcBorders>
            <w:noWrap w:val="0"/>
            <w:vAlign w:val="center"/>
          </w:tcPr>
          <w:p w14:paraId="34801425">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noWrap w:val="0"/>
            <w:vAlign w:val="center"/>
          </w:tcPr>
          <w:p w14:paraId="0CDD1C5D">
            <w:pPr>
              <w:spacing w:line="240" w:lineRule="exact"/>
              <w:jc w:val="center"/>
              <w:rPr>
                <w:rFonts w:hint="eastAsia" w:ascii="仿宋" w:hAnsi="仿宋" w:eastAsia="仿宋" w:cs="仿宋"/>
                <w:color w:val="000000"/>
                <w:kern w:val="0"/>
                <w:sz w:val="21"/>
                <w:szCs w:val="21"/>
              </w:rPr>
            </w:pPr>
          </w:p>
        </w:tc>
        <w:tc>
          <w:tcPr>
            <w:tcW w:w="1487" w:type="dxa"/>
            <w:tcBorders>
              <w:top w:val="single" w:color="000000" w:sz="4" w:space="0"/>
              <w:left w:val="nil"/>
              <w:bottom w:val="single" w:color="auto" w:sz="4" w:space="0"/>
              <w:right w:val="single" w:color="auto" w:sz="4" w:space="0"/>
            </w:tcBorders>
            <w:noWrap w:val="0"/>
            <w:vAlign w:val="center"/>
          </w:tcPr>
          <w:p w14:paraId="3F087324">
            <w:pPr>
              <w:spacing w:line="240" w:lineRule="exact"/>
              <w:rPr>
                <w:rFonts w:hint="eastAsia" w:ascii="仿宋" w:hAnsi="仿宋" w:eastAsia="仿宋" w:cs="仿宋"/>
                <w:color w:val="000000"/>
                <w:kern w:val="0"/>
                <w:sz w:val="21"/>
                <w:szCs w:val="21"/>
              </w:rPr>
            </w:pPr>
          </w:p>
        </w:tc>
        <w:tc>
          <w:tcPr>
            <w:tcW w:w="1635" w:type="dxa"/>
            <w:tcBorders>
              <w:top w:val="single" w:color="000000" w:sz="4" w:space="0"/>
              <w:left w:val="nil"/>
              <w:bottom w:val="single" w:color="auto" w:sz="4" w:space="0"/>
              <w:right w:val="single" w:color="auto" w:sz="4" w:space="0"/>
            </w:tcBorders>
            <w:noWrap w:val="0"/>
            <w:vAlign w:val="center"/>
          </w:tcPr>
          <w:p w14:paraId="7F9F0C2C">
            <w:pPr>
              <w:widowControl/>
              <w:spacing w:line="220" w:lineRule="exact"/>
              <w:jc w:val="left"/>
              <w:rPr>
                <w:rFonts w:hint="eastAsia" w:ascii="仿宋" w:hAnsi="仿宋" w:eastAsia="仿宋" w:cs="仿宋"/>
                <w:color w:val="000000"/>
                <w:kern w:val="0"/>
                <w:sz w:val="21"/>
                <w:szCs w:val="21"/>
              </w:rPr>
            </w:pPr>
          </w:p>
        </w:tc>
        <w:tc>
          <w:tcPr>
            <w:tcW w:w="825" w:type="dxa"/>
            <w:tcBorders>
              <w:top w:val="single" w:color="000000" w:sz="4" w:space="0"/>
              <w:left w:val="nil"/>
              <w:bottom w:val="single" w:color="auto" w:sz="4" w:space="0"/>
              <w:right w:val="single" w:color="auto" w:sz="4" w:space="0"/>
            </w:tcBorders>
            <w:noWrap w:val="0"/>
            <w:vAlign w:val="center"/>
          </w:tcPr>
          <w:p w14:paraId="18C933DA">
            <w:pPr>
              <w:widowControl/>
              <w:spacing w:line="220" w:lineRule="exact"/>
              <w:jc w:val="center"/>
              <w:rPr>
                <w:rFonts w:hint="eastAsia" w:ascii="仿宋" w:hAnsi="仿宋" w:eastAsia="仿宋" w:cs="仿宋"/>
                <w:color w:val="000000"/>
                <w:kern w:val="0"/>
                <w:sz w:val="21"/>
                <w:szCs w:val="21"/>
              </w:rPr>
            </w:pPr>
          </w:p>
        </w:tc>
        <w:tc>
          <w:tcPr>
            <w:tcW w:w="1455" w:type="dxa"/>
            <w:tcBorders>
              <w:top w:val="single" w:color="000000" w:sz="4" w:space="0"/>
              <w:left w:val="nil"/>
              <w:bottom w:val="single" w:color="auto" w:sz="4" w:space="0"/>
              <w:right w:val="single" w:color="auto" w:sz="4" w:space="0"/>
            </w:tcBorders>
            <w:noWrap w:val="0"/>
            <w:vAlign w:val="center"/>
          </w:tcPr>
          <w:p w14:paraId="5172B1E5">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000000" w:sz="4" w:space="0"/>
              <w:left w:val="nil"/>
              <w:bottom w:val="single" w:color="auto" w:sz="4" w:space="0"/>
              <w:right w:val="single" w:color="auto" w:sz="4" w:space="0"/>
            </w:tcBorders>
            <w:noWrap w:val="0"/>
            <w:vAlign w:val="center"/>
          </w:tcPr>
          <w:p w14:paraId="2FD3B330">
            <w:pPr>
              <w:widowControl/>
              <w:spacing w:line="220" w:lineRule="exact"/>
              <w:jc w:val="center"/>
              <w:rPr>
                <w:rFonts w:hint="eastAsia" w:ascii="仿宋" w:hAnsi="仿宋" w:eastAsia="仿宋" w:cs="仿宋"/>
                <w:color w:val="000000"/>
                <w:kern w:val="0"/>
                <w:sz w:val="21"/>
                <w:szCs w:val="21"/>
              </w:rPr>
            </w:pPr>
          </w:p>
        </w:tc>
      </w:tr>
      <w:tr w14:paraId="5F31EF5E">
        <w:tblPrEx>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2B072564">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08B54544">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noWrap w:val="0"/>
            <w:vAlign w:val="center"/>
          </w:tcPr>
          <w:p w14:paraId="593B7994">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可持续影响指标</w:t>
            </w:r>
          </w:p>
          <w:p w14:paraId="7B1500F5">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noWrap w:val="0"/>
            <w:vAlign w:val="center"/>
          </w:tcPr>
          <w:p w14:paraId="6B9D4EC8">
            <w:pPr>
              <w:spacing w:line="24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提高政府形象，建设和谐社会</w:t>
            </w:r>
          </w:p>
        </w:tc>
        <w:tc>
          <w:tcPr>
            <w:tcW w:w="1487" w:type="dxa"/>
            <w:tcBorders>
              <w:top w:val="single" w:color="000000" w:sz="4" w:space="0"/>
              <w:left w:val="nil"/>
              <w:bottom w:val="single" w:color="auto" w:sz="4" w:space="0"/>
              <w:right w:val="single" w:color="auto" w:sz="4" w:space="0"/>
            </w:tcBorders>
            <w:noWrap w:val="0"/>
            <w:vAlign w:val="center"/>
          </w:tcPr>
          <w:p w14:paraId="70A47F2E">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提高</w:t>
            </w:r>
          </w:p>
        </w:tc>
        <w:tc>
          <w:tcPr>
            <w:tcW w:w="1635" w:type="dxa"/>
            <w:tcBorders>
              <w:top w:val="single" w:color="000000" w:sz="4" w:space="0"/>
              <w:left w:val="nil"/>
              <w:bottom w:val="single" w:color="auto" w:sz="4" w:space="0"/>
              <w:right w:val="single" w:color="auto" w:sz="4" w:space="0"/>
            </w:tcBorders>
            <w:noWrap w:val="0"/>
            <w:vAlign w:val="center"/>
          </w:tcPr>
          <w:p w14:paraId="3E4D512D">
            <w:pPr>
              <w:widowControl/>
              <w:spacing w:line="220" w:lineRule="exact"/>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提高</w:t>
            </w:r>
          </w:p>
        </w:tc>
        <w:tc>
          <w:tcPr>
            <w:tcW w:w="825" w:type="dxa"/>
            <w:tcBorders>
              <w:top w:val="single" w:color="000000" w:sz="4" w:space="0"/>
              <w:left w:val="nil"/>
              <w:bottom w:val="single" w:color="auto" w:sz="4" w:space="0"/>
              <w:right w:val="single" w:color="auto" w:sz="4" w:space="0"/>
            </w:tcBorders>
            <w:noWrap w:val="0"/>
            <w:vAlign w:val="center"/>
          </w:tcPr>
          <w:p w14:paraId="16117244">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single" w:color="000000" w:sz="4" w:space="0"/>
              <w:left w:val="nil"/>
              <w:bottom w:val="single" w:color="auto" w:sz="4" w:space="0"/>
              <w:right w:val="single" w:color="auto" w:sz="4" w:space="0"/>
            </w:tcBorders>
            <w:noWrap w:val="0"/>
            <w:vAlign w:val="center"/>
          </w:tcPr>
          <w:p w14:paraId="00BCF004">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073" w:type="dxa"/>
            <w:tcBorders>
              <w:top w:val="single" w:color="000000" w:sz="4" w:space="0"/>
              <w:left w:val="nil"/>
              <w:bottom w:val="single" w:color="auto" w:sz="4" w:space="0"/>
              <w:right w:val="single" w:color="auto" w:sz="4" w:space="0"/>
            </w:tcBorders>
            <w:noWrap w:val="0"/>
            <w:vAlign w:val="center"/>
          </w:tcPr>
          <w:p w14:paraId="3078A2A8">
            <w:pPr>
              <w:widowControl/>
              <w:spacing w:line="220" w:lineRule="exact"/>
              <w:jc w:val="center"/>
              <w:rPr>
                <w:rFonts w:hint="eastAsia" w:ascii="仿宋" w:hAnsi="仿宋" w:eastAsia="仿宋" w:cs="仿宋"/>
                <w:color w:val="000000"/>
                <w:kern w:val="0"/>
                <w:sz w:val="21"/>
                <w:szCs w:val="21"/>
              </w:rPr>
            </w:pPr>
          </w:p>
        </w:tc>
      </w:tr>
      <w:tr w14:paraId="7CF31B8D">
        <w:tblPrEx>
          <w:tblCellMar>
            <w:top w:w="0" w:type="dxa"/>
            <w:left w:w="108" w:type="dxa"/>
            <w:bottom w:w="0" w:type="dxa"/>
            <w:right w:w="108" w:type="dxa"/>
          </w:tblCellMar>
        </w:tblPrEx>
        <w:trPr>
          <w:trHeight w:val="535" w:hRule="atLeast"/>
          <w:jc w:val="center"/>
        </w:trPr>
        <w:tc>
          <w:tcPr>
            <w:tcW w:w="716" w:type="dxa"/>
            <w:vMerge w:val="continue"/>
            <w:tcBorders>
              <w:left w:val="single" w:color="auto" w:sz="4" w:space="0"/>
              <w:right w:val="single" w:color="auto" w:sz="4" w:space="0"/>
            </w:tcBorders>
            <w:noWrap w:val="0"/>
            <w:vAlign w:val="center"/>
          </w:tcPr>
          <w:p w14:paraId="62467181">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29D8D294">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noWrap w:val="0"/>
            <w:vAlign w:val="center"/>
          </w:tcPr>
          <w:p w14:paraId="47C7C086">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nil"/>
              <w:left w:val="nil"/>
              <w:bottom w:val="single" w:color="auto" w:sz="4" w:space="0"/>
              <w:right w:val="single" w:color="auto" w:sz="4" w:space="0"/>
            </w:tcBorders>
            <w:noWrap w:val="0"/>
            <w:vAlign w:val="center"/>
          </w:tcPr>
          <w:p w14:paraId="1290BAE8">
            <w:pPr>
              <w:spacing w:line="24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 xml:space="preserve">政务大厅正常运行 </w:t>
            </w:r>
          </w:p>
        </w:tc>
        <w:tc>
          <w:tcPr>
            <w:tcW w:w="1487" w:type="dxa"/>
            <w:tcBorders>
              <w:top w:val="nil"/>
              <w:left w:val="nil"/>
              <w:bottom w:val="single" w:color="auto" w:sz="4" w:space="0"/>
              <w:right w:val="single" w:color="auto" w:sz="4" w:space="0"/>
            </w:tcBorders>
            <w:noWrap w:val="0"/>
            <w:vAlign w:val="center"/>
          </w:tcPr>
          <w:p w14:paraId="2DF67FE2">
            <w:pPr>
              <w:spacing w:line="240" w:lineRule="exac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正常</w:t>
            </w:r>
          </w:p>
        </w:tc>
        <w:tc>
          <w:tcPr>
            <w:tcW w:w="1635" w:type="dxa"/>
            <w:tcBorders>
              <w:top w:val="nil"/>
              <w:left w:val="nil"/>
              <w:bottom w:val="single" w:color="auto" w:sz="4" w:space="0"/>
              <w:right w:val="single" w:color="auto" w:sz="4" w:space="0"/>
            </w:tcBorders>
            <w:noWrap w:val="0"/>
            <w:vAlign w:val="center"/>
          </w:tcPr>
          <w:p w14:paraId="3CB2CE19">
            <w:pPr>
              <w:widowControl/>
              <w:spacing w:line="220" w:lineRule="exact"/>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正常</w:t>
            </w:r>
          </w:p>
        </w:tc>
        <w:tc>
          <w:tcPr>
            <w:tcW w:w="825" w:type="dxa"/>
            <w:tcBorders>
              <w:top w:val="nil"/>
              <w:left w:val="nil"/>
              <w:bottom w:val="single" w:color="auto" w:sz="4" w:space="0"/>
              <w:right w:val="single" w:color="auto" w:sz="4" w:space="0"/>
            </w:tcBorders>
            <w:noWrap w:val="0"/>
            <w:vAlign w:val="center"/>
          </w:tcPr>
          <w:p w14:paraId="0820B97C">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nil"/>
              <w:left w:val="nil"/>
              <w:bottom w:val="single" w:color="auto" w:sz="4" w:space="0"/>
              <w:right w:val="single" w:color="auto" w:sz="4" w:space="0"/>
            </w:tcBorders>
            <w:noWrap w:val="0"/>
            <w:vAlign w:val="center"/>
          </w:tcPr>
          <w:p w14:paraId="274AF118">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073" w:type="dxa"/>
            <w:tcBorders>
              <w:top w:val="nil"/>
              <w:left w:val="nil"/>
              <w:bottom w:val="single" w:color="auto" w:sz="4" w:space="0"/>
              <w:right w:val="single" w:color="auto" w:sz="4" w:space="0"/>
            </w:tcBorders>
            <w:noWrap w:val="0"/>
            <w:vAlign w:val="center"/>
          </w:tcPr>
          <w:p w14:paraId="2B151336">
            <w:pPr>
              <w:widowControl/>
              <w:spacing w:line="220" w:lineRule="exact"/>
              <w:jc w:val="center"/>
              <w:rPr>
                <w:rFonts w:hint="eastAsia" w:ascii="仿宋" w:hAnsi="仿宋" w:eastAsia="仿宋" w:cs="仿宋"/>
                <w:color w:val="000000"/>
                <w:kern w:val="0"/>
                <w:sz w:val="21"/>
                <w:szCs w:val="21"/>
              </w:rPr>
            </w:pPr>
          </w:p>
        </w:tc>
      </w:tr>
      <w:tr w14:paraId="79068679">
        <w:tblPrEx>
          <w:tblCellMar>
            <w:top w:w="0" w:type="dxa"/>
            <w:left w:w="108" w:type="dxa"/>
            <w:bottom w:w="0" w:type="dxa"/>
            <w:right w:w="108" w:type="dxa"/>
          </w:tblCellMar>
        </w:tblPrEx>
        <w:trPr>
          <w:trHeight w:val="658" w:hRule="atLeast"/>
          <w:jc w:val="center"/>
        </w:trPr>
        <w:tc>
          <w:tcPr>
            <w:tcW w:w="716" w:type="dxa"/>
            <w:vMerge w:val="continue"/>
            <w:tcBorders>
              <w:left w:val="single" w:color="auto" w:sz="4" w:space="0"/>
              <w:right w:val="single" w:color="auto" w:sz="4" w:space="0"/>
            </w:tcBorders>
            <w:noWrap w:val="0"/>
            <w:vAlign w:val="center"/>
          </w:tcPr>
          <w:p w14:paraId="44ACD143">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single" w:color="auto" w:sz="4" w:space="0"/>
              <w:right w:val="single" w:color="auto" w:sz="4" w:space="0"/>
            </w:tcBorders>
            <w:noWrap w:val="0"/>
            <w:vAlign w:val="center"/>
          </w:tcPr>
          <w:p w14:paraId="3BF9667E">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满意</w:t>
            </w:r>
            <w:r>
              <w:rPr>
                <w:rFonts w:hint="eastAsia" w:ascii="仿宋" w:hAnsi="仿宋" w:eastAsia="仿宋" w:cs="仿宋"/>
                <w:color w:val="000000"/>
                <w:kern w:val="0"/>
                <w:sz w:val="21"/>
                <w:szCs w:val="21"/>
                <w:lang w:val="en-US" w:eastAsia="zh-CN"/>
              </w:rPr>
              <w:t>度</w:t>
            </w:r>
            <w:r>
              <w:rPr>
                <w:rFonts w:hint="eastAsia" w:ascii="仿宋" w:hAnsi="仿宋" w:eastAsia="仿宋" w:cs="仿宋"/>
                <w:color w:val="000000"/>
                <w:kern w:val="0"/>
                <w:sz w:val="21"/>
                <w:szCs w:val="21"/>
              </w:rPr>
              <w:t>指标（10分）</w:t>
            </w:r>
          </w:p>
        </w:tc>
        <w:tc>
          <w:tcPr>
            <w:tcW w:w="770" w:type="dxa"/>
            <w:vMerge w:val="restart"/>
            <w:tcBorders>
              <w:top w:val="single" w:color="000000" w:sz="6" w:space="0"/>
              <w:left w:val="single" w:color="auto" w:sz="4" w:space="0"/>
              <w:right w:val="single" w:color="auto" w:sz="4" w:space="0"/>
            </w:tcBorders>
            <w:noWrap w:val="0"/>
            <w:vAlign w:val="center"/>
          </w:tcPr>
          <w:p w14:paraId="07F0FCFF">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sz w:val="20"/>
                <w:szCs w:val="20"/>
              </w:rPr>
              <w:t>服务对象满意度指标</w:t>
            </w:r>
          </w:p>
        </w:tc>
        <w:tc>
          <w:tcPr>
            <w:tcW w:w="1603" w:type="dxa"/>
            <w:gridSpan w:val="2"/>
            <w:tcBorders>
              <w:top w:val="single" w:color="auto" w:sz="4" w:space="0"/>
              <w:left w:val="nil"/>
              <w:bottom w:val="single" w:color="auto" w:sz="4" w:space="0"/>
              <w:right w:val="single" w:color="auto" w:sz="4" w:space="0"/>
            </w:tcBorders>
            <w:noWrap w:val="0"/>
            <w:vAlign w:val="center"/>
          </w:tcPr>
          <w:p w14:paraId="6D2F2A20">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办事群众满意度</w:t>
            </w:r>
          </w:p>
        </w:tc>
        <w:tc>
          <w:tcPr>
            <w:tcW w:w="1487" w:type="dxa"/>
            <w:tcBorders>
              <w:top w:val="single" w:color="auto" w:sz="4" w:space="0"/>
              <w:left w:val="nil"/>
              <w:bottom w:val="single" w:color="auto" w:sz="4" w:space="0"/>
              <w:right w:val="single" w:color="auto" w:sz="4" w:space="0"/>
            </w:tcBorders>
            <w:noWrap w:val="0"/>
            <w:vAlign w:val="center"/>
          </w:tcPr>
          <w:p w14:paraId="06CF7A94">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98%</w:t>
            </w:r>
          </w:p>
        </w:tc>
        <w:tc>
          <w:tcPr>
            <w:tcW w:w="1635" w:type="dxa"/>
            <w:tcBorders>
              <w:top w:val="single" w:color="auto" w:sz="4" w:space="0"/>
              <w:left w:val="nil"/>
              <w:bottom w:val="single" w:color="auto" w:sz="4" w:space="0"/>
              <w:right w:val="single" w:color="auto" w:sz="4" w:space="0"/>
            </w:tcBorders>
            <w:noWrap w:val="0"/>
            <w:vAlign w:val="center"/>
          </w:tcPr>
          <w:p w14:paraId="79AA2FA4">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99%</w:t>
            </w:r>
          </w:p>
        </w:tc>
        <w:tc>
          <w:tcPr>
            <w:tcW w:w="825" w:type="dxa"/>
            <w:tcBorders>
              <w:top w:val="single" w:color="auto" w:sz="4" w:space="0"/>
              <w:left w:val="nil"/>
              <w:bottom w:val="single" w:color="auto" w:sz="4" w:space="0"/>
              <w:right w:val="single" w:color="auto" w:sz="4" w:space="0"/>
            </w:tcBorders>
            <w:noWrap w:val="0"/>
            <w:vAlign w:val="center"/>
          </w:tcPr>
          <w:p w14:paraId="311648C4">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single" w:color="auto" w:sz="4" w:space="0"/>
              <w:left w:val="nil"/>
              <w:bottom w:val="single" w:color="auto" w:sz="4" w:space="0"/>
              <w:right w:val="single" w:color="auto" w:sz="4" w:space="0"/>
            </w:tcBorders>
            <w:noWrap w:val="0"/>
            <w:vAlign w:val="center"/>
          </w:tcPr>
          <w:p w14:paraId="5A9368DE">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073" w:type="dxa"/>
            <w:tcBorders>
              <w:top w:val="single" w:color="auto" w:sz="4" w:space="0"/>
              <w:left w:val="nil"/>
              <w:bottom w:val="single" w:color="auto" w:sz="4" w:space="0"/>
              <w:right w:val="single" w:color="auto" w:sz="4" w:space="0"/>
            </w:tcBorders>
            <w:noWrap w:val="0"/>
            <w:vAlign w:val="center"/>
          </w:tcPr>
          <w:p w14:paraId="2ED33DE1">
            <w:pPr>
              <w:widowControl/>
              <w:spacing w:line="220" w:lineRule="exact"/>
              <w:jc w:val="center"/>
              <w:rPr>
                <w:rFonts w:hint="eastAsia" w:ascii="仿宋" w:hAnsi="仿宋" w:eastAsia="仿宋" w:cs="仿宋"/>
                <w:color w:val="000000"/>
                <w:kern w:val="0"/>
                <w:sz w:val="21"/>
                <w:szCs w:val="21"/>
              </w:rPr>
            </w:pPr>
          </w:p>
        </w:tc>
      </w:tr>
      <w:tr w14:paraId="3173BFC4">
        <w:tblPrEx>
          <w:tblCellMar>
            <w:top w:w="0" w:type="dxa"/>
            <w:left w:w="108" w:type="dxa"/>
            <w:bottom w:w="0" w:type="dxa"/>
            <w:right w:w="108" w:type="dxa"/>
          </w:tblCellMar>
        </w:tblPrEx>
        <w:trPr>
          <w:trHeight w:val="668" w:hRule="atLeast"/>
          <w:jc w:val="center"/>
        </w:trPr>
        <w:tc>
          <w:tcPr>
            <w:tcW w:w="716" w:type="dxa"/>
            <w:tcBorders>
              <w:left w:val="single" w:color="auto" w:sz="4" w:space="0"/>
              <w:right w:val="single" w:color="auto" w:sz="4" w:space="0"/>
            </w:tcBorders>
            <w:noWrap w:val="0"/>
            <w:vAlign w:val="center"/>
          </w:tcPr>
          <w:p w14:paraId="52A3383D">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single" w:color="auto" w:sz="4" w:space="0"/>
              <w:bottom w:val="single" w:color="auto" w:sz="4" w:space="0"/>
              <w:right w:val="single" w:color="auto" w:sz="4" w:space="0"/>
            </w:tcBorders>
            <w:noWrap w:val="0"/>
            <w:vAlign w:val="center"/>
          </w:tcPr>
          <w:p w14:paraId="583133D7">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noWrap w:val="0"/>
            <w:vAlign w:val="center"/>
          </w:tcPr>
          <w:p w14:paraId="7447D44B">
            <w:pPr>
              <w:widowControl/>
              <w:spacing w:line="220" w:lineRule="exact"/>
              <w:jc w:val="left"/>
              <w:rPr>
                <w:rFonts w:hint="eastAsia" w:ascii="仿宋" w:hAnsi="仿宋" w:eastAsia="仿宋" w:cs="仿宋"/>
                <w:sz w:val="20"/>
                <w:szCs w:val="20"/>
              </w:rPr>
            </w:pPr>
          </w:p>
        </w:tc>
        <w:tc>
          <w:tcPr>
            <w:tcW w:w="1603" w:type="dxa"/>
            <w:gridSpan w:val="2"/>
            <w:tcBorders>
              <w:top w:val="single" w:color="auto" w:sz="4" w:space="0"/>
              <w:left w:val="nil"/>
              <w:bottom w:val="single" w:color="auto" w:sz="4" w:space="0"/>
              <w:right w:val="single" w:color="auto" w:sz="4" w:space="0"/>
            </w:tcBorders>
            <w:noWrap w:val="0"/>
            <w:vAlign w:val="center"/>
          </w:tcPr>
          <w:p w14:paraId="1520B359">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12345群众满意度</w:t>
            </w:r>
          </w:p>
        </w:tc>
        <w:tc>
          <w:tcPr>
            <w:tcW w:w="1487" w:type="dxa"/>
            <w:tcBorders>
              <w:top w:val="single" w:color="auto" w:sz="4" w:space="0"/>
              <w:left w:val="nil"/>
              <w:bottom w:val="single" w:color="auto" w:sz="4" w:space="0"/>
              <w:right w:val="single" w:color="auto" w:sz="4" w:space="0"/>
            </w:tcBorders>
            <w:noWrap w:val="0"/>
            <w:vAlign w:val="center"/>
          </w:tcPr>
          <w:p w14:paraId="6DDE5353">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98.5%</w:t>
            </w:r>
          </w:p>
        </w:tc>
        <w:tc>
          <w:tcPr>
            <w:tcW w:w="1635" w:type="dxa"/>
            <w:tcBorders>
              <w:top w:val="single" w:color="auto" w:sz="4" w:space="0"/>
              <w:left w:val="nil"/>
              <w:bottom w:val="single" w:color="auto" w:sz="4" w:space="0"/>
              <w:right w:val="single" w:color="auto" w:sz="4" w:space="0"/>
            </w:tcBorders>
            <w:noWrap w:val="0"/>
            <w:vAlign w:val="center"/>
          </w:tcPr>
          <w:p w14:paraId="5116E8AE">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98.35%</w:t>
            </w:r>
          </w:p>
        </w:tc>
        <w:tc>
          <w:tcPr>
            <w:tcW w:w="825" w:type="dxa"/>
            <w:tcBorders>
              <w:top w:val="single" w:color="auto" w:sz="4" w:space="0"/>
              <w:left w:val="nil"/>
              <w:bottom w:val="single" w:color="auto" w:sz="4" w:space="0"/>
              <w:right w:val="single" w:color="auto" w:sz="4" w:space="0"/>
            </w:tcBorders>
            <w:noWrap w:val="0"/>
            <w:vAlign w:val="center"/>
          </w:tcPr>
          <w:p w14:paraId="5AA31D50">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single" w:color="auto" w:sz="4" w:space="0"/>
              <w:left w:val="nil"/>
              <w:bottom w:val="single" w:color="auto" w:sz="4" w:space="0"/>
              <w:right w:val="single" w:color="auto" w:sz="4" w:space="0"/>
            </w:tcBorders>
            <w:noWrap w:val="0"/>
            <w:vAlign w:val="center"/>
          </w:tcPr>
          <w:p w14:paraId="21DA82A3">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w:t>
            </w:r>
          </w:p>
        </w:tc>
        <w:tc>
          <w:tcPr>
            <w:tcW w:w="1073" w:type="dxa"/>
            <w:tcBorders>
              <w:top w:val="single" w:color="auto" w:sz="4" w:space="0"/>
              <w:left w:val="nil"/>
              <w:bottom w:val="single" w:color="auto" w:sz="4" w:space="0"/>
              <w:right w:val="single" w:color="auto" w:sz="4" w:space="0"/>
            </w:tcBorders>
            <w:noWrap w:val="0"/>
            <w:vAlign w:val="center"/>
          </w:tcPr>
          <w:p w14:paraId="4F2FAC2B">
            <w:pPr>
              <w:widowControl/>
              <w:spacing w:line="220" w:lineRule="exact"/>
              <w:jc w:val="center"/>
              <w:rPr>
                <w:rFonts w:hint="eastAsia" w:ascii="仿宋" w:hAnsi="仿宋" w:eastAsia="仿宋" w:cs="仿宋"/>
                <w:color w:val="000000"/>
                <w:kern w:val="0"/>
                <w:sz w:val="21"/>
                <w:szCs w:val="21"/>
              </w:rPr>
            </w:pPr>
          </w:p>
        </w:tc>
      </w:tr>
      <w:tr w14:paraId="6D1C1047">
        <w:tblPrEx>
          <w:tblCellMar>
            <w:top w:w="0" w:type="dxa"/>
            <w:left w:w="108" w:type="dxa"/>
            <w:bottom w:w="0" w:type="dxa"/>
            <w:right w:w="108" w:type="dxa"/>
          </w:tblCellMar>
        </w:tblPrEx>
        <w:trPr>
          <w:trHeight w:val="473" w:hRule="atLeast"/>
          <w:jc w:val="center"/>
        </w:trPr>
        <w:tc>
          <w:tcPr>
            <w:tcW w:w="7062" w:type="dxa"/>
            <w:gridSpan w:val="7"/>
            <w:tcBorders>
              <w:top w:val="single" w:color="auto" w:sz="4" w:space="0"/>
              <w:left w:val="single" w:color="auto" w:sz="4" w:space="0"/>
              <w:bottom w:val="single" w:color="auto" w:sz="4" w:space="0"/>
              <w:right w:val="single" w:color="000000" w:sz="4" w:space="0"/>
            </w:tcBorders>
            <w:noWrap w:val="0"/>
            <w:vAlign w:val="center"/>
          </w:tcPr>
          <w:p w14:paraId="5A09821C">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总分</w:t>
            </w:r>
          </w:p>
        </w:tc>
        <w:tc>
          <w:tcPr>
            <w:tcW w:w="825" w:type="dxa"/>
            <w:tcBorders>
              <w:top w:val="nil"/>
              <w:left w:val="nil"/>
              <w:bottom w:val="single" w:color="auto" w:sz="4" w:space="0"/>
              <w:right w:val="single" w:color="auto" w:sz="4" w:space="0"/>
            </w:tcBorders>
            <w:noWrap w:val="0"/>
            <w:vAlign w:val="center"/>
          </w:tcPr>
          <w:p w14:paraId="2D588E18">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1455" w:type="dxa"/>
            <w:tcBorders>
              <w:top w:val="nil"/>
              <w:left w:val="nil"/>
              <w:bottom w:val="single" w:color="auto" w:sz="4" w:space="0"/>
              <w:right w:val="single" w:color="auto" w:sz="4" w:space="0"/>
            </w:tcBorders>
            <w:noWrap w:val="0"/>
            <w:vAlign w:val="center"/>
          </w:tcPr>
          <w:p w14:paraId="62129A36">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99</w:t>
            </w:r>
          </w:p>
        </w:tc>
        <w:tc>
          <w:tcPr>
            <w:tcW w:w="1073" w:type="dxa"/>
            <w:tcBorders>
              <w:top w:val="nil"/>
              <w:left w:val="nil"/>
              <w:bottom w:val="single" w:color="auto" w:sz="4" w:space="0"/>
              <w:right w:val="single" w:color="auto" w:sz="4" w:space="0"/>
            </w:tcBorders>
            <w:noWrap w:val="0"/>
            <w:vAlign w:val="center"/>
          </w:tcPr>
          <w:p w14:paraId="624A9BA1">
            <w:pPr>
              <w:widowControl/>
              <w:spacing w:line="220" w:lineRule="exact"/>
              <w:jc w:val="center"/>
              <w:rPr>
                <w:rFonts w:hint="eastAsia" w:ascii="仿宋" w:hAnsi="仿宋" w:eastAsia="仿宋" w:cs="仿宋"/>
                <w:color w:val="000000"/>
                <w:kern w:val="0"/>
                <w:sz w:val="21"/>
                <w:szCs w:val="21"/>
              </w:rPr>
            </w:pPr>
          </w:p>
        </w:tc>
      </w:tr>
    </w:tbl>
    <w:p w14:paraId="475B4D64">
      <w:pPr>
        <w:spacing w:line="300" w:lineRule="exact"/>
        <w:jc w:val="center"/>
        <w:rPr>
          <w:rFonts w:hint="eastAsia" w:ascii="仿宋" w:hAnsi="仿宋" w:eastAsia="仿宋" w:cs="仿宋"/>
          <w:sz w:val="44"/>
        </w:rPr>
      </w:pPr>
    </w:p>
    <w:p w14:paraId="2D7FAF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14:paraId="359612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说明：1.分值设定100分，其中预算执行率10分、产出指标50分、效益指标30分、满意度指标10分。除预算执行率外的指标应根据权重自行合理设定分值。</w:t>
      </w:r>
    </w:p>
    <w:p w14:paraId="51B530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2.综合评价等级分为优秀（</w:t>
      </w:r>
      <w:r>
        <w:rPr>
          <w:rFonts w:hint="eastAsia" w:ascii="仿宋_GB2312" w:eastAsia="仿宋_GB2312" w:cs="仿宋_GB2312"/>
          <w:i w:val="0"/>
          <w:iCs w:val="0"/>
          <w:caps w:val="0"/>
          <w:color w:val="000000"/>
          <w:spacing w:val="0"/>
          <w:sz w:val="24"/>
          <w:szCs w:val="24"/>
          <w:shd w:val="clear" w:fill="FFFFFF"/>
          <w:lang w:val="en-US" w:eastAsia="zh-CN"/>
        </w:rPr>
        <w:t>大于</w:t>
      </w:r>
      <w:r>
        <w:rPr>
          <w:rFonts w:hint="default" w:ascii="仿宋_GB2312" w:eastAsia="仿宋_GB2312" w:cs="仿宋_GB2312"/>
          <w:i w:val="0"/>
          <w:iCs w:val="0"/>
          <w:caps w:val="0"/>
          <w:color w:val="000000"/>
          <w:spacing w:val="0"/>
          <w:sz w:val="24"/>
          <w:szCs w:val="24"/>
          <w:shd w:val="clear" w:fill="FFFFFF"/>
        </w:rPr>
        <w:t>90</w:t>
      </w:r>
      <w:r>
        <w:rPr>
          <w:rFonts w:hint="eastAsia" w:ascii="仿宋_GB2312" w:eastAsia="仿宋_GB2312" w:cs="仿宋_GB2312"/>
          <w:i w:val="0"/>
          <w:iCs w:val="0"/>
          <w:caps w:val="0"/>
          <w:color w:val="000000"/>
          <w:spacing w:val="0"/>
          <w:sz w:val="24"/>
          <w:szCs w:val="24"/>
          <w:shd w:val="clear" w:fill="FFFFFF"/>
          <w:lang w:val="en-US" w:eastAsia="zh-CN"/>
        </w:rPr>
        <w:t>分</w:t>
      </w:r>
      <w:r>
        <w:rPr>
          <w:rFonts w:hint="default" w:ascii="仿宋_GB2312" w:eastAsia="仿宋_GB2312" w:cs="仿宋_GB2312"/>
          <w:i w:val="0"/>
          <w:iCs w:val="0"/>
          <w:caps w:val="0"/>
          <w:color w:val="000000"/>
          <w:spacing w:val="0"/>
          <w:sz w:val="24"/>
          <w:szCs w:val="24"/>
          <w:shd w:val="clear" w:fill="FFFFFF"/>
        </w:rPr>
        <w:t>）、良好（</w:t>
      </w:r>
      <w:r>
        <w:rPr>
          <w:rFonts w:hint="eastAsia" w:ascii="仿宋_GB2312" w:eastAsia="仿宋_GB2312" w:cs="仿宋_GB2312"/>
          <w:i w:val="0"/>
          <w:iCs w:val="0"/>
          <w:caps w:val="0"/>
          <w:color w:val="000000"/>
          <w:spacing w:val="0"/>
          <w:sz w:val="24"/>
          <w:szCs w:val="24"/>
          <w:shd w:val="clear" w:fill="FFFFFF"/>
          <w:lang w:val="en-US" w:eastAsia="zh-CN"/>
        </w:rPr>
        <w:t>80-90分</w:t>
      </w:r>
      <w:r>
        <w:rPr>
          <w:rFonts w:hint="default" w:ascii="仿宋_GB2312" w:eastAsia="仿宋_GB2312" w:cs="仿宋_GB2312"/>
          <w:i w:val="0"/>
          <w:iCs w:val="0"/>
          <w:caps w:val="0"/>
          <w:color w:val="000000"/>
          <w:spacing w:val="0"/>
          <w:sz w:val="24"/>
          <w:szCs w:val="24"/>
          <w:shd w:val="clear" w:fill="FFFFFF"/>
        </w:rPr>
        <w:t>）、较差（</w:t>
      </w:r>
      <w:r>
        <w:rPr>
          <w:rFonts w:hint="eastAsia" w:ascii="仿宋_GB2312" w:eastAsia="仿宋_GB2312" w:cs="仿宋_GB2312"/>
          <w:i w:val="0"/>
          <w:iCs w:val="0"/>
          <w:caps w:val="0"/>
          <w:color w:val="000000"/>
          <w:spacing w:val="0"/>
          <w:sz w:val="24"/>
          <w:szCs w:val="24"/>
          <w:shd w:val="clear" w:fill="FFFFFF"/>
          <w:lang w:val="en-US" w:eastAsia="zh-CN"/>
        </w:rPr>
        <w:t>60-80分</w:t>
      </w:r>
      <w:r>
        <w:rPr>
          <w:rFonts w:hint="default" w:ascii="仿宋_GB2312" w:eastAsia="仿宋_GB2312" w:cs="仿宋_GB2312"/>
          <w:i w:val="0"/>
          <w:iCs w:val="0"/>
          <w:caps w:val="0"/>
          <w:color w:val="000000"/>
          <w:spacing w:val="0"/>
          <w:sz w:val="24"/>
          <w:szCs w:val="24"/>
          <w:shd w:val="clear" w:fill="FFFFFF"/>
        </w:rPr>
        <w:t>）、 差（</w:t>
      </w:r>
      <w:r>
        <w:rPr>
          <w:rFonts w:hint="eastAsia" w:ascii="仿宋_GB2312" w:eastAsia="仿宋_GB2312" w:cs="仿宋_GB2312"/>
          <w:i w:val="0"/>
          <w:iCs w:val="0"/>
          <w:caps w:val="0"/>
          <w:color w:val="000000"/>
          <w:spacing w:val="0"/>
          <w:sz w:val="24"/>
          <w:szCs w:val="24"/>
          <w:shd w:val="clear" w:fill="FFFFFF"/>
          <w:lang w:val="en-US" w:eastAsia="zh-CN"/>
        </w:rPr>
        <w:t>小于60分</w:t>
      </w:r>
      <w:r>
        <w:rPr>
          <w:rFonts w:hint="default" w:ascii="仿宋_GB2312" w:eastAsia="仿宋_GB2312" w:cs="仿宋_GB2312"/>
          <w:i w:val="0"/>
          <w:iCs w:val="0"/>
          <w:caps w:val="0"/>
          <w:color w:val="000000"/>
          <w:spacing w:val="0"/>
          <w:sz w:val="24"/>
          <w:szCs w:val="24"/>
          <w:shd w:val="clear" w:fill="FFFFFF"/>
        </w:rPr>
        <w:t>）</w:t>
      </w:r>
      <w:r>
        <w:rPr>
          <w:rFonts w:ascii="Calibri" w:hAnsi="Calibri" w:eastAsia="仿宋_GB2312" w:cs="Calibri"/>
          <w:i w:val="0"/>
          <w:iCs w:val="0"/>
          <w:caps w:val="0"/>
          <w:color w:val="000000"/>
          <w:spacing w:val="0"/>
          <w:sz w:val="24"/>
          <w:szCs w:val="24"/>
          <w:shd w:val="clear" w:fill="FFFFFF"/>
        </w:rPr>
        <w:t>。</w:t>
      </w:r>
    </w:p>
    <w:p w14:paraId="3EE58E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3.三级绩效指标按需自行增减行。个别不涉及的二级指标可删除不要。</w:t>
      </w:r>
    </w:p>
    <w:p w14:paraId="41B7A1C9">
      <w:pPr>
        <w:spacing w:line="579" w:lineRule="exact"/>
        <w:rPr>
          <w:rFonts w:hint="eastAsia" w:ascii="黑体" w:hAnsi="黑体" w:eastAsia="黑体" w:cs="黑体"/>
          <w:color w:val="000000"/>
          <w:sz w:val="32"/>
          <w:szCs w:val="32"/>
        </w:rPr>
      </w:pPr>
    </w:p>
    <w:p w14:paraId="1E79B8B3">
      <w:pPr>
        <w:tabs>
          <w:tab w:val="left" w:pos="1266"/>
        </w:tabs>
        <w:spacing w:line="579" w:lineRule="exact"/>
        <w:rPr>
          <w:rFonts w:hint="eastAsia" w:ascii="黑体" w:hAnsi="黑体" w:eastAsia="黑体" w:cs="黑体"/>
          <w:color w:val="000000"/>
          <w:sz w:val="32"/>
          <w:szCs w:val="32"/>
          <w:lang w:eastAsia="zh-CN"/>
        </w:rPr>
      </w:pPr>
    </w:p>
    <w:p w14:paraId="11F86AC9">
      <w:pPr>
        <w:spacing w:line="579" w:lineRule="exact"/>
        <w:rPr>
          <w:rFonts w:hint="eastAsia" w:ascii="黑体" w:hAnsi="黑体" w:eastAsia="黑体" w:cs="黑体"/>
          <w:color w:val="000000"/>
          <w:sz w:val="32"/>
          <w:szCs w:val="32"/>
        </w:rPr>
      </w:pPr>
    </w:p>
    <w:p w14:paraId="0A57037F">
      <w:pPr>
        <w:spacing w:line="240" w:lineRule="auto"/>
        <w:rPr>
          <w:rFonts w:hint="eastAsia" w:ascii="黑体" w:hAnsi="黑体" w:eastAsia="黑体" w:cs="黑体"/>
          <w:color w:val="000000"/>
          <w:sz w:val="32"/>
          <w:szCs w:val="32"/>
        </w:rPr>
      </w:pPr>
    </w:p>
    <w:p w14:paraId="2869B61D">
      <w:pPr>
        <w:spacing w:line="579" w:lineRule="exact"/>
        <w:rPr>
          <w:rFonts w:hint="eastAsia" w:ascii="黑体" w:hAnsi="黑体" w:eastAsia="黑体" w:cs="黑体"/>
          <w:color w:val="000000"/>
          <w:sz w:val="32"/>
          <w:szCs w:val="32"/>
        </w:rPr>
      </w:pPr>
    </w:p>
    <w:p w14:paraId="5FEC3DCA">
      <w:pPr>
        <w:spacing w:line="579" w:lineRule="exact"/>
        <w:rPr>
          <w:rFonts w:hint="eastAsia" w:ascii="黑体" w:hAnsi="黑体" w:eastAsia="黑体" w:cs="黑体"/>
          <w:color w:val="000000"/>
          <w:sz w:val="32"/>
          <w:szCs w:val="32"/>
        </w:rPr>
      </w:pPr>
    </w:p>
    <w:p w14:paraId="3EED7A1B">
      <w:pPr>
        <w:spacing w:line="579" w:lineRule="exact"/>
        <w:rPr>
          <w:rFonts w:hint="eastAsia" w:ascii="黑体" w:hAnsi="黑体" w:eastAsia="黑体" w:cs="黑体"/>
          <w:color w:val="000000"/>
          <w:sz w:val="32"/>
          <w:szCs w:val="32"/>
        </w:rPr>
      </w:pPr>
    </w:p>
    <w:p w14:paraId="228D8806">
      <w:pPr>
        <w:spacing w:line="579" w:lineRule="exact"/>
        <w:rPr>
          <w:rFonts w:hint="eastAsia" w:ascii="黑体" w:hAnsi="黑体" w:eastAsia="黑体" w:cs="黑体"/>
          <w:color w:val="000000"/>
          <w:sz w:val="32"/>
          <w:szCs w:val="32"/>
        </w:rPr>
      </w:pPr>
    </w:p>
    <w:p w14:paraId="4C104FBB">
      <w:pPr>
        <w:spacing w:line="579" w:lineRule="exact"/>
        <w:rPr>
          <w:rFonts w:hint="eastAsia" w:ascii="黑体" w:hAnsi="黑体" w:eastAsia="黑体" w:cs="黑体"/>
          <w:color w:val="000000"/>
          <w:sz w:val="32"/>
          <w:szCs w:val="32"/>
        </w:rPr>
      </w:pPr>
    </w:p>
    <w:p w14:paraId="28753A53">
      <w:pPr>
        <w:spacing w:line="579" w:lineRule="exact"/>
        <w:rPr>
          <w:rFonts w:hint="eastAsia" w:ascii="黑体" w:hAnsi="黑体" w:eastAsia="黑体" w:cs="黑体"/>
          <w:color w:val="000000"/>
          <w:sz w:val="32"/>
          <w:szCs w:val="32"/>
        </w:rPr>
      </w:pPr>
    </w:p>
    <w:p w14:paraId="25AC5A53">
      <w:pPr>
        <w:spacing w:line="579" w:lineRule="exact"/>
        <w:rPr>
          <w:rFonts w:hint="eastAsia" w:ascii="黑体" w:hAnsi="黑体" w:eastAsia="黑体" w:cs="黑体"/>
          <w:color w:val="000000"/>
          <w:sz w:val="32"/>
          <w:szCs w:val="32"/>
        </w:rPr>
      </w:pPr>
    </w:p>
    <w:p w14:paraId="345CF1B3">
      <w:pPr>
        <w:spacing w:line="579" w:lineRule="exact"/>
        <w:rPr>
          <w:rFonts w:hint="eastAsia" w:ascii="黑体" w:hAnsi="黑体" w:eastAsia="黑体" w:cs="黑体"/>
          <w:color w:val="000000"/>
          <w:sz w:val="32"/>
          <w:szCs w:val="32"/>
        </w:rPr>
      </w:pPr>
    </w:p>
    <w:p w14:paraId="3E7355E4">
      <w:pPr>
        <w:spacing w:line="579" w:lineRule="exact"/>
        <w:rPr>
          <w:rFonts w:hint="eastAsia" w:ascii="黑体" w:hAnsi="黑体" w:eastAsia="黑体" w:cs="黑体"/>
          <w:color w:val="000000"/>
          <w:sz w:val="32"/>
          <w:szCs w:val="32"/>
        </w:rPr>
      </w:pPr>
    </w:p>
    <w:p w14:paraId="7B9A447B">
      <w:pPr>
        <w:spacing w:line="579" w:lineRule="exact"/>
        <w:rPr>
          <w:rFonts w:hint="eastAsia" w:ascii="黑体" w:hAnsi="黑体" w:eastAsia="黑体" w:cs="黑体"/>
          <w:color w:val="000000"/>
          <w:sz w:val="32"/>
          <w:szCs w:val="32"/>
        </w:rPr>
      </w:pPr>
    </w:p>
    <w:p w14:paraId="05236E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D4887"/>
    <w:multiLevelType w:val="singleLevel"/>
    <w:tmpl w:val="BAAD4887"/>
    <w:lvl w:ilvl="0" w:tentative="0">
      <w:start w:val="1"/>
      <w:numFmt w:val="decimal"/>
      <w:lvlText w:val="%1."/>
      <w:lvlJc w:val="left"/>
      <w:pPr>
        <w:tabs>
          <w:tab w:val="left" w:pos="312"/>
        </w:tabs>
      </w:pPr>
    </w:lvl>
  </w:abstractNum>
  <w:abstractNum w:abstractNumId="1">
    <w:nsid w:val="6DD6DCE7"/>
    <w:multiLevelType w:val="singleLevel"/>
    <w:tmpl w:val="6DD6DCE7"/>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MGJjZGJkYTMxNmM2MGVkODM5NTNmZjk2YzllNDIifQ=="/>
    <w:docVar w:name="KSO_WPS_MARK_KEY" w:val="3993d7c3-4989-4e9c-8912-17b8b60345a0"/>
  </w:docVars>
  <w:rsids>
    <w:rsidRoot w:val="28534A98"/>
    <w:rsid w:val="04675A50"/>
    <w:rsid w:val="08AA23AF"/>
    <w:rsid w:val="1A1A6807"/>
    <w:rsid w:val="28534A98"/>
    <w:rsid w:val="3D4B2828"/>
    <w:rsid w:val="4F1C60E4"/>
    <w:rsid w:val="757F40B5"/>
    <w:rsid w:val="78A551F0"/>
    <w:rsid w:val="791E16D8"/>
    <w:rsid w:val="7A4046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800" w:leftChars="8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6017</Words>
  <Characters>6572</Characters>
  <Lines>0</Lines>
  <Paragraphs>0</Paragraphs>
  <TotalTime>5</TotalTime>
  <ScaleCrop>false</ScaleCrop>
  <LinksUpToDate>false</LinksUpToDate>
  <CharactersWithSpaces>6657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2024-09-10T16:31:00Z</dcterms:created>
  <dc:creator>曾经的我</dc:creator>
  <cp:lastModifiedBy>随风而起</cp:lastModifiedBy>
  <dcterms:modified xsi:type="dcterms:W3CDTF">2024-11-15T03:52:01Z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ED4D900ACF994057AAC8C86127CD3A99_13</vt:lpwstr>
  </property>
</Properties>
</file>