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ascii="黑体" w:hAnsi="黑体" w:eastAsia="黑体" w:cs="黑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楷体"/>
          <w:b/>
          <w:color w:val="000000"/>
          <w:sz w:val="32"/>
          <w:szCs w:val="32"/>
          <w:shd w:val="clear" w:color="auto" w:fill="FFFFFF"/>
        </w:rPr>
        <w:t>绥宁县</w:t>
      </w:r>
      <w:r>
        <w:rPr>
          <w:rFonts w:hint="eastAsia" w:ascii="黑体" w:hAnsi="黑体" w:eastAsia="黑体" w:cs="楷体"/>
          <w:b/>
          <w:color w:val="000000"/>
          <w:sz w:val="32"/>
          <w:szCs w:val="32"/>
        </w:rPr>
        <w:t>实验中学</w:t>
      </w: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2022年度部门整体支出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center"/>
        <w:rPr>
          <w:rFonts w:ascii="楷体" w:hAnsi="楷体" w:eastAsia="楷体" w:cs="楷体"/>
          <w:b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000000"/>
          <w:sz w:val="32"/>
          <w:szCs w:val="32"/>
          <w:shd w:val="clear" w:color="auto" w:fill="FFFFFF"/>
        </w:rPr>
        <w:t>绩效自评报告</w:t>
      </w:r>
    </w:p>
    <w:p>
      <w:pPr>
        <w:widowControl/>
        <w:ind w:firstLine="640" w:firstLineChars="2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为进一步规范和加强预算资金管理，提高财政资金使用绩效，根据县财政局《关于开展2022年度财政支出绩效自评工作的通知》（绥财绩〔2023〕1号）相关要求，我部门对部门整体支出情况实施了绩效自评，现将自评情况报告如下：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一、部门基本情况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（一）部门职能职责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1. 我校的主要职能是：贯彻执行党和国家的教育方针针、政策、法律、法规，贯彻执行上级教育行政部门的行政规章；实施初中学历教育，促进基础教育发展以及相关社会服务，为我县广大学子走向高校提供优良的条件，使我县多出、快出人才；组织开展本校的教育教学科研和教育教学改革，科研兴教，科研兴校；负责对本校教育教学业务的具体管理，负责教育教学管理及教研教改工作，全力推进素质教育实施；负责本校教师人事管理、继续教育、教师培训、考核考评等工作；指导、管理、检查、评价本校的教育教学工作，提高办学质量和办学效益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 w:cs="仿宋"/>
          <w:spacing w:val="5"/>
          <w:sz w:val="32"/>
          <w:szCs w:val="32"/>
        </w:rPr>
        <w:t>负责对本校教育教学业务的具体管理，负责教育教学管理及安全管理工作，全力推进素质教育实施；认真实施中学义务教育教学管理，全面推进素质教育，全面提高教育教学质量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（二）机构设置情况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2022年末，我部门内设股室5个。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内设股室分别是：校长室、办公室、教务处、总务处、政教处。</w:t>
      </w:r>
    </w:p>
    <w:p>
      <w:pPr>
        <w:pStyle w:val="4"/>
        <w:shd w:val="clear" w:color="auto" w:fill="FFFFFF"/>
        <w:spacing w:beforeAutospacing="0" w:afterAutospacing="0" w:line="480" w:lineRule="atLeast"/>
        <w:ind w:left="641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（三）人员编制情况</w:t>
      </w:r>
    </w:p>
    <w:p>
      <w:pPr>
        <w:pStyle w:val="4"/>
        <w:shd w:val="clear" w:color="auto" w:fill="FFFFFF"/>
        <w:spacing w:beforeAutospacing="0" w:afterAutospacing="0" w:line="480" w:lineRule="atLeast"/>
        <w:ind w:firstLine="640" w:firstLineChars="200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年末，我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部门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共有编制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83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人，其中行政编制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人，事业编制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83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人。年末实有在职人员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71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人，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退休人员1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离休人员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0</w:t>
      </w:r>
      <w:r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  <w:t>人。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二、一般公共预算支出情况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（一）基本支出情况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eastAsia="仿宋_GB2312"/>
          <w:color w:val="0C0C0C"/>
          <w:sz w:val="32"/>
          <w:szCs w:val="32"/>
        </w:rPr>
      </w:pPr>
      <w:r>
        <w:rPr>
          <w:rFonts w:eastAsia="仿宋_GB2312"/>
          <w:color w:val="0C0C0C"/>
          <w:sz w:val="32"/>
          <w:szCs w:val="32"/>
        </w:rPr>
        <w:t>202</w:t>
      </w:r>
      <w:r>
        <w:rPr>
          <w:rFonts w:hint="eastAsia" w:eastAsia="仿宋_GB2312"/>
          <w:color w:val="0C0C0C"/>
          <w:sz w:val="32"/>
          <w:szCs w:val="32"/>
        </w:rPr>
        <w:t>2</w:t>
      </w:r>
      <w:r>
        <w:rPr>
          <w:rFonts w:eastAsia="仿宋_GB2312"/>
          <w:color w:val="0C0C0C"/>
          <w:sz w:val="32"/>
          <w:szCs w:val="32"/>
        </w:rPr>
        <w:t>年基本支出共计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</w:rPr>
        <w:t>1085.71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，其中</w:t>
      </w:r>
      <w:r>
        <w:rPr>
          <w:rFonts w:eastAsia="仿宋_GB2312"/>
          <w:color w:val="0C0C0C"/>
          <w:sz w:val="32"/>
          <w:szCs w:val="32"/>
        </w:rPr>
        <w:t>人员经费</w:t>
      </w:r>
      <w:r>
        <w:rPr>
          <w:rFonts w:hint="eastAsia" w:eastAsia="仿宋_GB2312"/>
          <w:color w:val="0C0C0C"/>
          <w:sz w:val="32"/>
          <w:szCs w:val="32"/>
        </w:rPr>
        <w:t>897.77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，公用</w:t>
      </w:r>
      <w:r>
        <w:rPr>
          <w:rFonts w:eastAsia="仿宋_GB2312"/>
          <w:color w:val="0C0C0C"/>
          <w:sz w:val="32"/>
          <w:szCs w:val="32"/>
        </w:rPr>
        <w:t>经费</w:t>
      </w:r>
      <w:r>
        <w:rPr>
          <w:rFonts w:hint="eastAsia" w:eastAsia="仿宋_GB2312"/>
          <w:color w:val="0C0C0C"/>
          <w:sz w:val="32"/>
          <w:szCs w:val="32"/>
        </w:rPr>
        <w:t>187.94</w:t>
      </w:r>
      <w:r>
        <w:rPr>
          <w:rFonts w:eastAsia="仿宋_GB2312"/>
          <w:color w:val="0C0C0C"/>
          <w:sz w:val="32"/>
          <w:szCs w:val="32"/>
        </w:rPr>
        <w:t>万元</w:t>
      </w:r>
      <w:r>
        <w:rPr>
          <w:rFonts w:hint="eastAsia" w:eastAsia="仿宋_GB2312"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1.人员经费</w:t>
      </w:r>
      <w:r>
        <w:rPr>
          <w:rFonts w:hint="eastAsia" w:eastAsia="仿宋_GB2312"/>
          <w:color w:val="0C0C0C"/>
          <w:sz w:val="32"/>
          <w:szCs w:val="32"/>
        </w:rPr>
        <w:t>897.77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主要用于在职人员工资津补贴、奖金、离休费、社保缴费、住房公积金缴费、老干医疗费、抚恤金等。人员经费支出严格按照相关政策和标准列支。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eastAsia="仿宋_GB2312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公用经费</w:t>
      </w:r>
      <w:r>
        <w:rPr>
          <w:rFonts w:hint="eastAsia" w:eastAsia="仿宋_GB2312"/>
          <w:color w:val="0C0C0C"/>
          <w:sz w:val="32"/>
          <w:szCs w:val="32"/>
        </w:rPr>
        <w:t>187.94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万元。</w:t>
      </w:r>
      <w:r>
        <w:rPr>
          <w:rFonts w:eastAsia="仿宋_GB2312"/>
          <w:color w:val="0C0C0C"/>
          <w:sz w:val="32"/>
          <w:szCs w:val="32"/>
        </w:rPr>
        <w:t>主要用于为保障基本运行而发生的办公费、印刷费、邮电费、水费、电费、物业管理费、取暖费、维修费、差旅费等。公用经费支出严格执行部门预算，厉行节约，控制运行成本。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jc w:val="both"/>
        <w:rPr>
          <w:rFonts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（二）项目支出情况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color w:val="0C0C0C"/>
          <w:sz w:val="32"/>
          <w:szCs w:val="32"/>
        </w:rPr>
        <w:t>2022年项目支出共计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166.84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万元，其中业务工作经费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万元，运行维护经费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0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万元，专项资金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166.84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万元。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业务工作经费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.运行维护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经费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3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3.上级专项资金0</w:t>
      </w:r>
      <w:r>
        <w:rPr>
          <w:rFonts w:ascii="仿宋" w:hAnsi="仿宋" w:eastAsia="仿宋" w:cs="仿宋"/>
          <w:b/>
          <w:bCs/>
          <w:color w:val="0C0C0C"/>
          <w:sz w:val="32"/>
          <w:szCs w:val="32"/>
        </w:rPr>
        <w:t>万元</w:t>
      </w:r>
      <w:r>
        <w:rPr>
          <w:rFonts w:hint="eastAsia" w:ascii="仿宋" w:hAnsi="仿宋" w:eastAsia="仿宋" w:cs="仿宋"/>
          <w:b/>
          <w:bCs/>
          <w:color w:val="0C0C0C"/>
          <w:sz w:val="32"/>
          <w:szCs w:val="32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三、政府性基金预算支出情况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2年度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无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政府性基金预算支出。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国有资本经营预算支出情况</w:t>
      </w: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  <w:snapToGrid w:val="0"/>
        <w:spacing w:line="586" w:lineRule="exact"/>
        <w:ind w:firstLine="640" w:firstLineChars="200"/>
        <w:rPr>
          <w:rFonts w:ascii="仿宋" w:hAnsi="仿宋" w:eastAsia="仿宋" w:cs="仿宋"/>
          <w:color w:val="0C0C0C"/>
          <w:sz w:val="32"/>
          <w:szCs w:val="32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国有资本经营预算支出。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社会保险基金预算支出情况</w:t>
      </w:r>
    </w:p>
    <w:p>
      <w:pPr>
        <w:widowControl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0C0C0C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2</w:t>
      </w:r>
      <w:r>
        <w:rPr>
          <w:rFonts w:ascii="仿宋" w:hAnsi="仿宋" w:eastAsia="仿宋" w:cs="仿宋"/>
          <w:color w:val="0C0C0C"/>
          <w:sz w:val="32"/>
          <w:szCs w:val="32"/>
        </w:rPr>
        <w:t>年度</w:t>
      </w:r>
      <w:r>
        <w:rPr>
          <w:rFonts w:ascii="仿宋" w:hAnsi="仿宋" w:eastAsia="仿宋" w:cs="仿宋"/>
          <w:color w:val="FF0000"/>
          <w:sz w:val="32"/>
          <w:szCs w:val="32"/>
        </w:rPr>
        <w:t>无</w:t>
      </w:r>
      <w:r>
        <w:rPr>
          <w:rFonts w:ascii="仿宋" w:hAnsi="仿宋" w:eastAsia="仿宋" w:cs="仿宋"/>
          <w:color w:val="0C0C0C"/>
          <w:sz w:val="32"/>
          <w:szCs w:val="32"/>
        </w:rPr>
        <w:t>社会保险基金预算支出。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六、部门整体支出绩效情况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jc w:val="both"/>
        <w:rPr>
          <w:rFonts w:ascii="仿宋" w:hAnsi="仿宋" w:eastAsia="仿宋" w:cs="仿宋"/>
          <w:color w:val="0C0C0C"/>
          <w:kern w:val="2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2022年，我单位在县委、县政府、县教育局的领导下，坚持依法办教育，稳中求进，改革创新，积极作为，突出抓改革强监管促发展，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各方面工作稳步推进。根据部门整体支出绩效自评评分（详见附件2），得分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98</w:t>
      </w:r>
      <w:r>
        <w:rPr>
          <w:rFonts w:hint="eastAsia" w:ascii="仿宋" w:hAnsi="仿宋" w:eastAsia="仿宋" w:cs="仿宋"/>
          <w:color w:val="0C0C0C"/>
          <w:kern w:val="2"/>
          <w:sz w:val="32"/>
          <w:szCs w:val="32"/>
        </w:rPr>
        <w:t>分，部门整体支出绩效为“优秀”。主要绩效如下：</w:t>
      </w:r>
    </w:p>
    <w:p>
      <w:pPr>
        <w:autoSpaceDN w:val="0"/>
        <w:rPr>
          <w:rFonts w:ascii="仿宋" w:hAnsi="仿宋" w:eastAsia="仿宋"/>
          <w:color w:val="010101"/>
          <w:sz w:val="32"/>
          <w:szCs w:val="32"/>
        </w:rPr>
      </w:pP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/>
          <w:color w:val="010101"/>
          <w:sz w:val="32"/>
          <w:szCs w:val="32"/>
        </w:rPr>
        <w:t>钱随事走，绩效考核，专款专用。建立上下协调、部门联动、层层抓落实的工作职责，将绩效管理责任分解落实到具体项目单位、明确到具体责任人，确保每一笔资金花得安全、用得高效。</w:t>
      </w:r>
    </w:p>
    <w:p>
      <w:pPr>
        <w:pStyle w:val="4"/>
        <w:widowControl/>
        <w:numPr>
          <w:ilvl w:val="0"/>
          <w:numId w:val="2"/>
        </w:numPr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成绩二。</w:t>
      </w:r>
      <w:r>
        <w:rPr>
          <w:rFonts w:hint="eastAsia" w:ascii="仿宋" w:hAnsi="仿宋" w:eastAsia="仿宋"/>
          <w:color w:val="010101"/>
          <w:sz w:val="32"/>
          <w:szCs w:val="32"/>
        </w:rPr>
        <w:t>严控“三公”经费支出，严刹大吃大喝风，没有产生公务接待费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spacing w:line="480" w:lineRule="exact"/>
        <w:ind w:firstLine="643" w:firstLineChars="200"/>
        <w:rPr>
          <w:rFonts w:ascii="仿宋" w:hAnsi="仿宋" w:eastAsia="仿宋"/>
          <w:color w:val="010101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（三）成绩三。</w:t>
      </w:r>
      <w:r>
        <w:rPr>
          <w:rFonts w:hint="eastAsia" w:ascii="仿宋" w:hAnsi="仿宋" w:eastAsia="仿宋"/>
          <w:color w:val="010101"/>
          <w:kern w:val="0"/>
          <w:sz w:val="32"/>
          <w:szCs w:val="32"/>
        </w:rPr>
        <w:t>在2022年邵阳市初中毕业学业水平考试中，中考900分以上人数达32人，其中周峰同学以931分的总成绩轻摘全县桂冠，综合排名位列全县第一。本年度我校荣获共青团邵阳市委、市教育局组织的“扣好人生第一粒扣子，喜迎党的二十大”书法绘画才艺大赛的“最佳组织单位”、绥宁县中小学跳绳比赛初中组团体二等奖、绥宁县中小学篮球比赛初中男子组二等奖、绥宁县第一届“</w:t>
      </w:r>
      <w:r>
        <w:rPr>
          <w:rFonts w:hint="eastAsia" w:ascii="仿宋" w:hAnsi="仿宋" w:eastAsia="仿宋"/>
          <w:color w:val="010101"/>
          <w:kern w:val="0"/>
          <w:sz w:val="32"/>
          <w:szCs w:val="32"/>
          <w:lang w:eastAsia="zh-CN"/>
        </w:rPr>
        <w:t>铸牢中华民族共同体意识</w:t>
      </w:r>
      <w:r>
        <w:rPr>
          <w:rFonts w:hint="eastAsia" w:ascii="仿宋" w:hAnsi="仿宋" w:eastAsia="仿宋"/>
          <w:color w:val="010101"/>
          <w:kern w:val="0"/>
          <w:sz w:val="32"/>
          <w:szCs w:val="32"/>
        </w:rPr>
        <w:t xml:space="preserve"> 建设伟大祖国 建设美丽家乡”演讲比赛“优秀组织奖”、“绥宁县五四红旗团”“绥宁县初中学业考试质量优秀单位”等各项荣誉。</w:t>
      </w:r>
    </w:p>
    <w:p>
      <w:pPr>
        <w:spacing w:line="480" w:lineRule="exact"/>
        <w:ind w:firstLine="643" w:firstLineChars="200"/>
        <w:rPr>
          <w:rFonts w:ascii="仿宋" w:hAnsi="仿宋" w:eastAsia="仿宋"/>
          <w:color w:val="010101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（四）成绩四。</w:t>
      </w:r>
      <w:r>
        <w:rPr>
          <w:rFonts w:hint="eastAsia" w:ascii="仿宋" w:hAnsi="仿宋" w:eastAsia="仿宋"/>
          <w:color w:val="010101"/>
          <w:kern w:val="0"/>
          <w:sz w:val="32"/>
          <w:szCs w:val="32"/>
        </w:rPr>
        <w:t>2022年，我校荣膺“第一批绿色学校创建示范单位”；我教研组工作有声有色，成绩突出，我校各教育组在2022年义务教育优秀作业设计评比中荣获佳绩，其中贺江红、黄一丹和刘美荣三位老师的“八年级语文上册第四单元作业设计”，杨群、孙腊珍和陈媚三位老师的“八年级上册第一单元分式和分式方程专题复习”等，均获市一等奖，其他五个组的老师获市二等奖；杨华波、宁芝兰、马成、杨进辛、孙腊珍老师荣获绥宁县精品课奖；沈兰萍、杨露老师获荣校教学比武特等奖；语文教研组、数学教研组均荣获湖南省集体备课大赛三等奖；黄佳辉老师获得绥宁县爱岗敬业好青年，吴菲老师邵阳市勤学上进好青年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480" w:firstLineChars="15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七、存在的问题及原因分析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（一）问题一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/>
          <w:color w:val="010101"/>
          <w:sz w:val="32"/>
          <w:szCs w:val="32"/>
        </w:rPr>
        <w:t>预算执行 ：由于学校无法在年初核实学生人数，加之生源变化较大，生均经费无法在年初列入预算，年中教师人数会有较大增加，预算控制率波动较大；基本支出经费预算过低，导致商品和服务费用较年初预算数会有大幅增加，使整体经费使用不能按科目进行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（二）问题二。</w:t>
      </w:r>
      <w:r>
        <w:rPr>
          <w:rFonts w:hint="eastAsia" w:ascii="仿宋" w:hAnsi="仿宋" w:eastAsia="仿宋"/>
          <w:color w:val="010101"/>
          <w:sz w:val="32"/>
          <w:szCs w:val="32"/>
        </w:rPr>
        <w:t>资产核算：受人手紧张、财务人员更换衔接不到位等因素影响，资产核算工作虽按时完成，但存在部分固定资产设备超过使用年限未能及时进行报废处理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/>
          <w:bCs/>
          <w:color w:val="000000"/>
          <w:sz w:val="32"/>
          <w:szCs w:val="32"/>
          <w:shd w:val="clear" w:color="auto" w:fill="FFFFFF"/>
        </w:rPr>
        <w:t>（三）问题三。</w:t>
      </w:r>
      <w:r>
        <w:rPr>
          <w:rFonts w:hint="eastAsia" w:ascii="仿宋" w:hAnsi="仿宋" w:eastAsia="仿宋"/>
          <w:color w:val="010101"/>
          <w:sz w:val="32"/>
          <w:szCs w:val="32"/>
        </w:rPr>
        <w:t>经费保障：因年底财务决算资金清零，次年预算批复时间较迟影响，年初单位发生的经济业务事项存在未能及时进行资金支付；受业务性质影响，平时支出较慢，年底支出比重较大，月度支出不平衡</w:t>
      </w:r>
      <w:r>
        <w:rPr>
          <w:rFonts w:hint="eastAsia" w:ascii="仿宋" w:hAnsi="仿宋" w:eastAsia="仿宋" w:cs="仿宋"/>
          <w:color w:val="0C0C0C"/>
          <w:sz w:val="32"/>
          <w:szCs w:val="32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64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八、下一步改进措施</w:t>
      </w:r>
    </w:p>
    <w:p>
      <w:pPr>
        <w:autoSpaceDN w:val="0"/>
        <w:ind w:firstLine="640" w:firstLineChars="200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（一）高度重视财政预决算支出工作，稳定财务人员队伍，加强人员配备，进一步提高</w:t>
      </w:r>
      <w:bookmarkStart w:id="0" w:name="_GoBack"/>
      <w:bookmarkEnd w:id="0"/>
      <w:r>
        <w:rPr>
          <w:rFonts w:hint="eastAsia" w:ascii="仿宋" w:hAnsi="仿宋" w:eastAsia="仿宋"/>
          <w:color w:val="010101"/>
          <w:sz w:val="32"/>
          <w:szCs w:val="32"/>
        </w:rPr>
        <w:t>财务工作水平。</w:t>
      </w:r>
    </w:p>
    <w:p>
      <w:pPr>
        <w:autoSpaceDN w:val="0"/>
        <w:ind w:firstLine="640" w:firstLineChars="200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（二）加强内部管理，严格执行预算，坚持厉行节约，进一步降低财务支出。</w:t>
      </w:r>
    </w:p>
    <w:p>
      <w:pPr>
        <w:autoSpaceDN w:val="0"/>
        <w:ind w:firstLine="640" w:firstLineChars="200"/>
        <w:rPr>
          <w:rFonts w:ascii="仿宋" w:hAnsi="仿宋" w:eastAsia="仿宋"/>
          <w:color w:val="010101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（三）严格执行相关财务制度，进一步提高办事效率。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10101"/>
          <w:sz w:val="32"/>
          <w:szCs w:val="32"/>
        </w:rPr>
        <w:t>（四）提高基本支出经费预算。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645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附件：1.部门整体支出绩效评价基础数据表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1609" w:firstLineChars="503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2.部门整体支出绩效自评表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firstLine="980" w:firstLineChars="350"/>
        <w:jc w:val="both"/>
        <w:rPr>
          <w:rFonts w:ascii="黑体" w:hAnsi="黑体" w:eastAsia="黑体" w:cs="黑体"/>
          <w:spacing w:val="-20"/>
          <w:sz w:val="32"/>
          <w:szCs w:val="32"/>
        </w:rPr>
      </w:pPr>
      <w:r>
        <w:rPr>
          <w:rFonts w:hint="eastAsia" w:ascii="黑体" w:hAnsi="黑体" w:eastAsia="黑体" w:cs="黑体"/>
          <w:spacing w:val="-20"/>
          <w:sz w:val="32"/>
          <w:szCs w:val="32"/>
        </w:rPr>
        <w:t>2022年度部门整体支出绩效评价基础数据表</w:t>
      </w:r>
    </w:p>
    <w:p>
      <w:pPr>
        <w:spacing w:line="200" w:lineRule="exact"/>
        <w:jc w:val="center"/>
        <w:rPr>
          <w:rFonts w:eastAsia="方正小标宋_GBK"/>
          <w:sz w:val="44"/>
        </w:rPr>
      </w:pPr>
    </w:p>
    <w:tbl>
      <w:tblPr>
        <w:tblStyle w:val="5"/>
        <w:tblW w:w="10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207"/>
        <w:gridCol w:w="930"/>
        <w:gridCol w:w="945"/>
        <w:gridCol w:w="1110"/>
        <w:gridCol w:w="115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财政供养人员情况（人）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2022年实际在职人数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" w:hAnsi="仿宋" w:eastAsia="仿宋" w:cs="仿宋"/>
                <w:kern w:val="0"/>
                <w:sz w:val="32"/>
                <w:szCs w:val="21"/>
              </w:rPr>
            </w:pP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83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71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经费控制情况（万元）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2021年决算数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2022年预算数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2022年决算数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三公经费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1、公务用车购置和维护经费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其中：公车购置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公车运行维护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2、出国经费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3、公务接待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项目支出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1、业务工作经费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2、运行维护经费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3、上级专项资金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     ××专项资金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>0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公用经费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157.55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187.94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ind w:firstLine="420" w:firstLineChars="20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其中：办公经费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7.94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11.22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   水费、电费、差旅费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35.29　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2.2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29.96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会议费、培训费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4.55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0.2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2.14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政府采购金额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 w:cs="仿宋_GB2312"/>
                <w:kern w:val="0"/>
                <w:szCs w:val="21"/>
              </w:rPr>
            </w:pPr>
            <w:r>
              <w:rPr>
                <w:rFonts w:hint="eastAsia" w:eastAsia="仿宋_GB2312" w:cs="仿宋_GB2312"/>
                <w:kern w:val="0"/>
                <w:szCs w:val="21"/>
              </w:rPr>
              <w:t xml:space="preserve">  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部门基本支出预算调整</w:t>
            </w:r>
          </w:p>
        </w:tc>
        <w:tc>
          <w:tcPr>
            <w:tcW w:w="21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 xml:space="preserve">  </w:t>
            </w:r>
            <w:r>
              <w:rPr>
                <w:rFonts w:hint="eastAsia" w:eastAsia="仿宋_GB2312" w:cs="仿宋_GB2312"/>
                <w:kern w:val="0"/>
                <w:szCs w:val="21"/>
              </w:rPr>
              <w:t>0</w:t>
            </w:r>
          </w:p>
        </w:tc>
        <w:tc>
          <w:tcPr>
            <w:tcW w:w="20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35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楼堂馆所控制情况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（2022年完工项目）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批复规模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（㎡）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实际规模（㎡）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规模控制率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预算投资（万元）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实际投资（万元）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　0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0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5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厉行节约保障措施</w:t>
            </w:r>
          </w:p>
        </w:tc>
        <w:tc>
          <w:tcPr>
            <w:tcW w:w="650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  <w:r>
              <w:rPr>
                <w:rFonts w:hint="eastAsia" w:eastAsia="仿宋_GB2312"/>
                <w:kern w:val="0"/>
                <w:szCs w:val="21"/>
              </w:rPr>
              <w:t>加强节俭，收紧办公经费开支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00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说明：“项目支出”需要填报基本支出以外的所有项目支出情况，“公用经费”填报基本支出中的一般商品和服务支出。</w:t>
            </w:r>
          </w:p>
          <w:p>
            <w:pPr>
              <w:spacing w:line="240" w:lineRule="exact"/>
              <w:ind w:firstLine="315" w:firstLineChars="150"/>
              <w:rPr>
                <w:rFonts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jc w:val="left"/>
        <w:rPr>
          <w:rFonts w:eastAsia="仿宋_GB2312"/>
          <w:kern w:val="0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附件1-2</w:t>
      </w:r>
    </w:p>
    <w:p>
      <w:pPr>
        <w:spacing w:line="74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2022年度部门整体支出绩效自评表</w:t>
      </w:r>
    </w:p>
    <w:tbl>
      <w:tblPr>
        <w:tblStyle w:val="5"/>
        <w:tblpPr w:leftFromText="180" w:rightFromText="180" w:vertAnchor="text" w:horzAnchor="page" w:tblpX="1485" w:tblpY="501"/>
        <w:tblOverlap w:val="never"/>
        <w:tblW w:w="104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851"/>
        <w:gridCol w:w="770"/>
        <w:gridCol w:w="1350"/>
        <w:gridCol w:w="253"/>
        <w:gridCol w:w="1487"/>
        <w:gridCol w:w="1635"/>
        <w:gridCol w:w="825"/>
        <w:gridCol w:w="1455"/>
        <w:gridCol w:w="10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969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绥宁县实验中学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年度预算申请（万元）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年初预算数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全年预算数(A)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全年执行数(B)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执行率(B/A)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年度资金总额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720.35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1547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1423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91.98%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按收入性质分：1547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按支出性质分：1423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其中：一般公共预算：</w:t>
            </w:r>
            <w:r>
              <w:rPr>
                <w:rFonts w:hint="eastAsia" w:ascii="宋体" w:hAnsi="宋体" w:cs="宋体"/>
                <w:color w:val="000000"/>
                <w:sz w:val="25"/>
                <w:szCs w:val="25"/>
              </w:rPr>
              <w:t>1376.55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其中：基本支出：1256.16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政府性基金拨款：0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项目支出：166.84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纳入专户管理的非税收入拨款：166.02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1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840" w:firstLineChars="4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其他资金：4.43</w:t>
            </w:r>
          </w:p>
        </w:tc>
        <w:tc>
          <w:tcPr>
            <w:tcW w:w="498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年度总体目标</w:t>
            </w: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年初目标设定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47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教育教学质量稳中有升</w:t>
            </w:r>
          </w:p>
        </w:tc>
        <w:tc>
          <w:tcPr>
            <w:tcW w:w="49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420" w:firstLineChars="200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圆满完成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绩效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指标（90分）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年度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实际完成值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偏差原因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分析及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产出指 标（50 分）</w:t>
            </w: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质量   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履职目标实现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中学义务教育，促进基础教育发展。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ind w:firstLine="21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普及初中义务教育，促进基础教育发展。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7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重点工作任务完成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1、教学育人2、学生管理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3、食堂管理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4、教育安全管理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1、为学生提供良好的学习、生活环境。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2、学生学籍管理制度化、规范化；贫困学生资助覆盖率达100%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3、食堂管理整洁卫生，保本不盈利，有财务档案，设立专账，采购台账健全同，账务相符，有教师陪餐制度。</w:t>
            </w:r>
          </w:p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4、有校园安全隐患排查台账，有安全隐患整改措施，及时消除安全隐患，安全隐患按“一单四制”进行闭环管理；学生安全知识教学活动。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提高</w:t>
            </w:r>
          </w:p>
          <w:p>
            <w:pPr>
              <w:widowControl/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管理</w:t>
            </w:r>
          </w:p>
          <w:p>
            <w:pPr>
              <w:widowControl/>
              <w:spacing w:line="220" w:lineRule="exac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效率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sz w:val="24"/>
              </w:rPr>
              <w:t>效益指 标（30 分）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可持续影响指标</w:t>
            </w:r>
          </w:p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履职效益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1.提高教育教学质量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2.体现党政重教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3.提升政府形象</w:t>
            </w:r>
          </w:p>
          <w:p>
            <w:pPr>
              <w:spacing w:line="24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4.提高教师的工作积极性</w:t>
            </w:r>
          </w:p>
        </w:tc>
        <w:tc>
          <w:tcPr>
            <w:tcW w:w="1635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按时足额发放教职工工资，保证教师合法权益，提高教育教学质量，实现了教育教学质量奖励，增强学生体质，落实中小学校各项安全管理，落实非义务教育家庭经济困难学生补助。</w:t>
            </w:r>
          </w:p>
        </w:tc>
        <w:tc>
          <w:tcPr>
            <w:tcW w:w="825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55" w:type="dxa"/>
            <w:tcBorders>
              <w:top w:val="single" w:color="000000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7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满意度指标（10分）</w:t>
            </w:r>
          </w:p>
        </w:tc>
        <w:tc>
          <w:tcPr>
            <w:tcW w:w="770" w:type="dxa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服务对象满意度指标</w:t>
            </w:r>
          </w:p>
        </w:tc>
        <w:tc>
          <w:tcPr>
            <w:tcW w:w="16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对社会公众或服务对象</w:t>
            </w:r>
          </w:p>
        </w:tc>
        <w:tc>
          <w:tcPr>
            <w:tcW w:w="1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90%以上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90%以上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7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</w:tbl>
    <w:p>
      <w:pPr>
        <w:spacing w:line="579" w:lineRule="exact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  <w:shd w:val="clear" w:color="auto" w:fill="FFFFFF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说明：1.分值设定100分，其中预算执行率10分、产出指标50分、效益指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标</w:t>
      </w:r>
      <w:r>
        <w:rPr>
          <w:rFonts w:ascii="仿宋_GB2312" w:eastAsia="仿宋_GB2312" w:cs="仿宋_GB2312"/>
          <w:color w:val="000000"/>
          <w:shd w:val="clear" w:color="auto" w:fill="FFFFFF"/>
        </w:rPr>
        <w:t>30分、满意度指标10分。除预算执行率外的指标应根据权重自行合理设定分值。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ind w:left="960" w:hanging="960" w:hangingChars="400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2.综合评价等级分为优秀（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大于</w:t>
      </w:r>
      <w:r>
        <w:rPr>
          <w:rFonts w:ascii="仿宋_GB2312" w:eastAsia="仿宋_GB2312" w:cs="仿宋_GB2312"/>
          <w:color w:val="000000"/>
          <w:shd w:val="clear" w:color="auto" w:fill="FFFFFF"/>
        </w:rPr>
        <w:t>90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）、良好（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80-90分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）、较差（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60-80分</w:t>
      </w:r>
      <w:r>
        <w:rPr>
          <w:rFonts w:ascii="仿宋_GB2312" w:eastAsia="仿宋_GB2312" w:cs="仿宋_GB2312"/>
          <w:color w:val="000000"/>
          <w:shd w:val="clear" w:color="auto" w:fill="FFFFFF"/>
        </w:rPr>
        <w:t>）、 差（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>小于60分</w:t>
      </w:r>
      <w:r>
        <w:rPr>
          <w:rFonts w:ascii="仿宋_GB2312" w:eastAsia="仿宋_GB2312" w:cs="仿宋_GB2312"/>
          <w:color w:val="000000"/>
          <w:shd w:val="clear" w:color="auto" w:fill="FFFFFF"/>
        </w:rPr>
        <w:t>）</w:t>
      </w:r>
      <w:r>
        <w:rPr>
          <w:rFonts w:ascii="Calibri" w:hAnsi="Calibri" w:eastAsia="仿宋_GB2312" w:cs="Calibri"/>
          <w:color w:val="000000"/>
          <w:shd w:val="clear" w:color="auto" w:fill="FFFFFF"/>
        </w:rPr>
        <w:t>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仿宋_GB2312" w:eastAsia="仿宋_GB2312" w:cs="仿宋_GB2312"/>
          <w:color w:val="000000"/>
        </w:rPr>
      </w:pPr>
      <w:r>
        <w:rPr>
          <w:rFonts w:ascii="仿宋_GB2312" w:eastAsia="仿宋_GB2312" w:cs="仿宋_GB2312"/>
          <w:color w:val="000000"/>
          <w:shd w:val="clear" w:color="auto" w:fill="FFFFFF"/>
        </w:rPr>
        <w:t>     </w:t>
      </w:r>
      <w:r>
        <w:rPr>
          <w:rFonts w:hint="eastAsia" w:ascii="仿宋_GB2312" w:eastAsia="仿宋_GB2312" w:cs="仿宋_GB2312"/>
          <w:color w:val="000000"/>
          <w:shd w:val="clear" w:color="auto" w:fill="FFFFFF"/>
        </w:rPr>
        <w:t xml:space="preserve">  </w:t>
      </w:r>
      <w:r>
        <w:rPr>
          <w:rFonts w:ascii="仿宋_GB2312" w:eastAsia="仿宋_GB2312" w:cs="仿宋_GB2312"/>
          <w:color w:val="000000"/>
          <w:shd w:val="clear" w:color="auto" w:fill="FFFFFF"/>
        </w:rPr>
        <w:t>3.三级绩效指标按需自行增减行。个别不涉及的二级指标可删除不要。</w:t>
      </w:r>
    </w:p>
    <w:p>
      <w:pPr>
        <w:pStyle w:val="4"/>
        <w:widowControl/>
        <w:shd w:val="clear" w:color="auto" w:fill="FFFFFF"/>
        <w:spacing w:beforeAutospacing="0" w:afterAutospacing="0" w:line="480" w:lineRule="atLeast"/>
        <w:rPr>
          <w:rFonts w:ascii="微软雅黑" w:hAnsi="微软雅黑" w:eastAsia="微软雅黑" w:cs="微软雅黑"/>
          <w:color w:val="000000"/>
        </w:rPr>
      </w:pPr>
    </w:p>
    <w:p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color w:val="000000"/>
        </w:rPr>
      </w:pPr>
    </w:p>
    <w:p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="62" w:beforeAutospacing="0" w:afterAutospacing="0" w:line="480" w:lineRule="atLeast"/>
        <w:jc w:val="both"/>
        <w:rPr>
          <w:rFonts w:ascii="仿宋_GB2312" w:eastAsia="仿宋_GB2312" w:cs="仿宋_GB2312"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480" w:lineRule="atLeast"/>
        <w:jc w:val="both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9D4A05"/>
    <w:multiLevelType w:val="singleLevel"/>
    <w:tmpl w:val="D99D4A05"/>
    <w:lvl w:ilvl="0" w:tentative="0">
      <w:start w:val="1"/>
      <w:numFmt w:val="chineseCounting"/>
      <w:suff w:val="nothing"/>
      <w:lvlText w:val="（%1）"/>
      <w:lvlJc w:val="left"/>
      <w:rPr>
        <w:rFonts w:hint="eastAsia" w:ascii="楷体" w:hAnsi="楷体" w:eastAsia="楷体" w:cs="楷体"/>
        <w:b/>
        <w:bCs/>
        <w:sz w:val="32"/>
        <w:szCs w:val="32"/>
      </w:rPr>
    </w:lvl>
  </w:abstractNum>
  <w:abstractNum w:abstractNumId="1">
    <w:nsid w:val="6DD6DCE7"/>
    <w:multiLevelType w:val="singleLevel"/>
    <w:tmpl w:val="6DD6DCE7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ZjYmUxZDk2NGViMDI2MjQ1YWFhYTZiYTZmMDU0ZjMifQ=="/>
  </w:docVars>
  <w:rsids>
    <w:rsidRoot w:val="00A34FEF"/>
    <w:rsid w:val="000A3DE2"/>
    <w:rsid w:val="000A62DF"/>
    <w:rsid w:val="00204634"/>
    <w:rsid w:val="00212565"/>
    <w:rsid w:val="002B15CF"/>
    <w:rsid w:val="003B55CE"/>
    <w:rsid w:val="006F600E"/>
    <w:rsid w:val="008D5CE1"/>
    <w:rsid w:val="00A34FEF"/>
    <w:rsid w:val="00AD6A00"/>
    <w:rsid w:val="00C04113"/>
    <w:rsid w:val="00CC3DA2"/>
    <w:rsid w:val="00CE01F2"/>
    <w:rsid w:val="00D330E6"/>
    <w:rsid w:val="00E93907"/>
    <w:rsid w:val="00EA3FF1"/>
    <w:rsid w:val="00F613D7"/>
    <w:rsid w:val="00F8057A"/>
    <w:rsid w:val="03867C0B"/>
    <w:rsid w:val="098620FB"/>
    <w:rsid w:val="142330F2"/>
    <w:rsid w:val="199F102C"/>
    <w:rsid w:val="1F722070"/>
    <w:rsid w:val="318C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7CF744-EB8C-4B9A-B10E-27D1E64F22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3374</Words>
  <Characters>3635</Characters>
  <Lines>28</Lines>
  <Paragraphs>8</Paragraphs>
  <TotalTime>10</TotalTime>
  <ScaleCrop>false</ScaleCrop>
  <LinksUpToDate>false</LinksUpToDate>
  <CharactersWithSpaces>3731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2023-09-03T05:33:00Z</dcterms:created>
  <dc:creator>Administrator</dc:creator>
  <cp:lastModifiedBy>Administrator</cp:lastModifiedBy>
  <dcterms:modified xsi:type="dcterms:W3CDTF">2023-10-20T07:15:13Z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9B29335E81CC4FD8B80C3C63E4339DB3_12</vt:lpwstr>
  </property>
</Properties>
</file>