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CDE55">
      <w:pPr>
        <w:pStyle w:val="5"/>
        <w:tabs>
          <w:tab w:val="left" w:pos="720"/>
          <w:tab w:val="center" w:pos="4479"/>
        </w:tabs>
        <w:spacing w:line="579" w:lineRule="exact"/>
        <w:jc w:val="center"/>
        <w:rPr>
          <w:rFonts w:ascii="方正小标宋_GBK" w:hAnsi="方正小标宋_GBK" w:eastAsia="方正小标宋_GBK" w:cs="方正小标宋_GBK"/>
          <w:b w:val="0"/>
          <w:sz w:val="44"/>
          <w:szCs w:val="44"/>
        </w:rPr>
      </w:pPr>
    </w:p>
    <w:p w14:paraId="07C50C60">
      <w:pPr>
        <w:pStyle w:val="5"/>
        <w:tabs>
          <w:tab w:val="left" w:pos="720"/>
          <w:tab w:val="center" w:pos="4479"/>
        </w:tabs>
        <w:spacing w:line="579" w:lineRule="exact"/>
        <w:jc w:val="center"/>
        <w:rPr>
          <w:rFonts w:ascii="方正小标宋_GBK" w:hAnsi="方正小标宋_GBK" w:eastAsia="方正小标宋_GBK" w:cs="方正小标宋_GBK"/>
          <w:b w:val="0"/>
          <w:sz w:val="44"/>
          <w:szCs w:val="44"/>
        </w:rPr>
      </w:pPr>
    </w:p>
    <w:p w14:paraId="0E5E5E78">
      <w:pPr>
        <w:pStyle w:val="5"/>
        <w:tabs>
          <w:tab w:val="left" w:pos="720"/>
          <w:tab w:val="center" w:pos="4479"/>
        </w:tabs>
        <w:spacing w:line="579" w:lineRule="exact"/>
        <w:jc w:val="center"/>
        <w:rPr>
          <w:rFonts w:ascii="方正小标宋_GBK" w:hAnsi="方正小标宋_GBK" w:eastAsia="方正小标宋_GBK" w:cs="方正小标宋_GBK"/>
          <w:b w:val="0"/>
          <w:sz w:val="44"/>
          <w:szCs w:val="44"/>
        </w:rPr>
      </w:pPr>
      <w:bookmarkStart w:id="0" w:name="_GoBack"/>
      <w:bookmarkEnd w:id="0"/>
      <w:r>
        <w:rPr>
          <w:rFonts w:hint="eastAsia" w:ascii="方正小标宋_GBK" w:hAnsi="方正小标宋_GBK" w:eastAsia="方正小标宋_GBK" w:cs="方正小标宋_GBK"/>
          <w:b w:val="0"/>
          <w:sz w:val="44"/>
          <w:szCs w:val="44"/>
        </w:rPr>
        <w:t>绥</w:t>
      </w:r>
      <w:r>
        <w:rPr>
          <w:rFonts w:ascii="方正小标宋_GBK" w:hAnsi="方正小标宋_GBK" w:eastAsia="方正小标宋_GBK" w:cs="方正小标宋_GBK"/>
          <w:b w:val="0"/>
          <w:sz w:val="44"/>
          <w:szCs w:val="44"/>
        </w:rPr>
        <w:t>宁</w:t>
      </w:r>
      <w:r>
        <w:rPr>
          <w:rFonts w:hint="eastAsia" w:ascii="方正小标宋_GBK" w:hAnsi="方正小标宋_GBK" w:eastAsia="方正小标宋_GBK" w:cs="方正小标宋_GBK"/>
          <w:b w:val="0"/>
          <w:sz w:val="44"/>
          <w:szCs w:val="44"/>
        </w:rPr>
        <w:t>县商务局202</w:t>
      </w:r>
      <w:r>
        <w:rPr>
          <w:rFonts w:hint="eastAsia" w:ascii="方正小标宋_GBK" w:hAnsi="方正小标宋_GBK" w:eastAsia="方正小标宋_GBK" w:cs="方正小标宋_GBK"/>
          <w:b w:val="0"/>
          <w:sz w:val="44"/>
          <w:szCs w:val="44"/>
          <w:lang w:val="en-US" w:eastAsia="zh-CN"/>
        </w:rPr>
        <w:t>3</w:t>
      </w:r>
      <w:r>
        <w:rPr>
          <w:rFonts w:hint="eastAsia" w:ascii="方正小标宋_GBK" w:hAnsi="方正小标宋_GBK" w:eastAsia="方正小标宋_GBK" w:cs="方正小标宋_GBK"/>
          <w:b w:val="0"/>
          <w:sz w:val="44"/>
          <w:szCs w:val="44"/>
        </w:rPr>
        <w:t>年工作总结和202</w:t>
      </w:r>
      <w:r>
        <w:rPr>
          <w:rFonts w:hint="eastAsia" w:ascii="方正小标宋_GBK" w:hAnsi="方正小标宋_GBK" w:eastAsia="方正小标宋_GBK" w:cs="方正小标宋_GBK"/>
          <w:b w:val="0"/>
          <w:sz w:val="44"/>
          <w:szCs w:val="44"/>
          <w:lang w:val="en-US" w:eastAsia="zh-CN"/>
        </w:rPr>
        <w:t>4</w:t>
      </w:r>
      <w:r>
        <w:rPr>
          <w:rFonts w:hint="eastAsia" w:ascii="方正小标宋_GBK" w:hAnsi="方正小标宋_GBK" w:eastAsia="方正小标宋_GBK" w:cs="方正小标宋_GBK"/>
          <w:b w:val="0"/>
          <w:sz w:val="44"/>
          <w:szCs w:val="44"/>
        </w:rPr>
        <w:t>年     工作计划</w:t>
      </w:r>
    </w:p>
    <w:p w14:paraId="3515C646">
      <w:pPr>
        <w:spacing w:line="300" w:lineRule="exact"/>
      </w:pPr>
    </w:p>
    <w:p w14:paraId="39A218AC">
      <w:pPr>
        <w:keepNext w:val="0"/>
        <w:keepLines w:val="0"/>
        <w:pageBreakBefore w:val="0"/>
        <w:kinsoku/>
        <w:wordWrap/>
        <w:overflowPunct/>
        <w:topLinePunct w:val="0"/>
        <w:autoSpaceDN/>
        <w:bidi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在县委、县政府的正确领导下，县商务局全体干部职工紧紧围绕“美丽绥宁、活力绥宁、幸福绥宁”战略目标，勠力同心，强化工作措施，招商引资、电子商务、市场体系建设等工作取得了较大进展。现将情况汇报如下：</w:t>
      </w:r>
    </w:p>
    <w:p w14:paraId="5865BF05">
      <w:pPr>
        <w:pStyle w:val="15"/>
        <w:keepNext w:val="0"/>
        <w:keepLines w:val="0"/>
        <w:pageBreakBefore w:val="0"/>
        <w:kinsoku/>
        <w:wordWrap/>
        <w:overflowPunct/>
        <w:topLinePunct w:val="0"/>
        <w:autoSpaceDN/>
        <w:bidi w:val="0"/>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一、工作开展情况</w:t>
      </w:r>
    </w:p>
    <w:p w14:paraId="6A649C77">
      <w:pPr>
        <w:keepNext w:val="0"/>
        <w:keepLines w:val="0"/>
        <w:pageBreakBefore w:val="0"/>
        <w:tabs>
          <w:tab w:val="left" w:pos="675"/>
        </w:tabs>
        <w:kinsoku/>
        <w:wordWrap/>
        <w:overflowPunct/>
        <w:topLinePunct w:val="0"/>
        <w:autoSpaceDN/>
        <w:bidi w:val="0"/>
        <w:spacing w:line="579" w:lineRule="exact"/>
        <w:ind w:firstLine="482" w:firstLineChars="150"/>
        <w:textAlignment w:val="auto"/>
        <w:rPr>
          <w:rFonts w:hint="eastAsia" w:ascii="仿宋_GB2312" w:hAnsi="仿宋_GB2312" w:eastAsia="仿宋_GB2312" w:cs="仿宋_GB2312"/>
          <w:sz w:val="32"/>
          <w:szCs w:val="32"/>
          <w:shd w:val="clear" w:color="auto" w:fill="auto"/>
        </w:rPr>
      </w:pPr>
      <w:r>
        <w:rPr>
          <w:rFonts w:hint="eastAsia" w:ascii="楷体" w:hAnsi="楷体" w:eastAsia="楷体" w:cs="楷体"/>
          <w:b/>
          <w:kern w:val="2"/>
          <w:sz w:val="32"/>
          <w:szCs w:val="32"/>
          <w:shd w:val="clear" w:color="auto" w:fill="auto"/>
          <w:lang w:val="en-US" w:eastAsia="zh-CN" w:bidi="ar-SA"/>
        </w:rPr>
        <w:t>（一）“三重点”考核指标成效显著。</w:t>
      </w:r>
      <w:r>
        <w:rPr>
          <w:rFonts w:hint="eastAsia" w:ascii="仿宋_GB2312" w:hAnsi="仿宋_GB2312" w:eastAsia="仿宋_GB2312" w:cs="仿宋_GB2312"/>
          <w:b/>
          <w:bCs/>
          <w:sz w:val="32"/>
          <w:szCs w:val="32"/>
          <w:shd w:val="clear" w:color="auto" w:fill="auto"/>
        </w:rPr>
        <w:t>一是社会消费品零售总额。</w:t>
      </w:r>
      <w:r>
        <w:rPr>
          <w:rFonts w:hint="eastAsia" w:ascii="仿宋_GB2312" w:hAnsi="仿宋_GB2312" w:eastAsia="仿宋_GB2312" w:cs="仿宋_GB2312"/>
          <w:sz w:val="32"/>
          <w:szCs w:val="32"/>
          <w:shd w:val="clear" w:color="auto" w:fill="auto"/>
        </w:rPr>
        <w:t>2023年市定任务为59.7亿元，同比增速7％。1-10月已完成46.1亿元，同比增长6％，根据1-10月完成数据预计，全年能完成59.2亿元左右，同比增速约6.5％。</w:t>
      </w:r>
      <w:r>
        <w:rPr>
          <w:rFonts w:hint="eastAsia" w:ascii="仿宋_GB2312" w:hAnsi="仿宋_GB2312" w:eastAsia="仿宋_GB2312" w:cs="仿宋_GB2312"/>
          <w:b/>
          <w:bCs/>
          <w:sz w:val="32"/>
          <w:szCs w:val="32"/>
          <w:shd w:val="clear" w:color="auto" w:fill="auto"/>
        </w:rPr>
        <w:t>二是</w:t>
      </w:r>
      <w:r>
        <w:rPr>
          <w:rFonts w:hint="eastAsia" w:ascii="仿宋_GB2312" w:hAnsi="仿宋_GB2312" w:eastAsia="仿宋_GB2312" w:cs="仿宋_GB2312"/>
          <w:b/>
          <w:sz w:val="32"/>
          <w:szCs w:val="32"/>
          <w:shd w:val="clear" w:color="auto" w:fill="auto"/>
        </w:rPr>
        <w:t>规下升规上企业。</w:t>
      </w:r>
      <w:r>
        <w:rPr>
          <w:rFonts w:hint="eastAsia" w:ascii="仿宋_GB2312" w:hAnsi="仿宋_GB2312" w:eastAsia="仿宋_GB2312" w:cs="仿宋_GB2312"/>
          <w:sz w:val="32"/>
          <w:szCs w:val="32"/>
          <w:shd w:val="clear" w:color="auto" w:fill="auto"/>
        </w:rPr>
        <w:t>2023年市定任务为新增5家。4月份完成5家企业入库，（批零企3家：富林二手车交易公司、城关液化气站、邵阳市瀚宁商贸有限公司；住餐企业2家：莳竹阁餐饮有限公司、食小甘新元素餐饮有限公司）。5月份退出了5家（批零企3家：桥头家电、金虎家具、那个乐呀；住餐企业2家：港湾宾馆、梅告酒店）。10月申报新增4家（批零企2家：山水名都益丰大药房、绿洲瑞华农业；住餐企业2家：冻水冲休闲山庄、上堡情旅游有限公司），市里已通过并报省审核。预计全年完成9家。</w:t>
      </w:r>
      <w:r>
        <w:rPr>
          <w:rFonts w:hint="eastAsia" w:ascii="仿宋_GB2312" w:hAnsi="仿宋_GB2312" w:eastAsia="仿宋_GB2312" w:cs="仿宋_GB2312"/>
          <w:b/>
          <w:bCs/>
          <w:sz w:val="32"/>
          <w:szCs w:val="32"/>
          <w:shd w:val="clear" w:color="auto" w:fill="auto"/>
        </w:rPr>
        <w:t>三是内联引资。</w:t>
      </w:r>
      <w:r>
        <w:rPr>
          <w:rFonts w:hint="eastAsia" w:ascii="仿宋_GB2312" w:hAnsi="仿宋_GB2312" w:eastAsia="仿宋_GB2312" w:cs="仿宋_GB2312"/>
          <w:sz w:val="32"/>
          <w:szCs w:val="32"/>
          <w:shd w:val="clear" w:color="auto" w:fill="auto"/>
          <w:lang w:eastAsia="zh-CN"/>
        </w:rPr>
        <w:t>目前已经</w:t>
      </w:r>
      <w:r>
        <w:rPr>
          <w:rFonts w:hint="eastAsia" w:ascii="仿宋_GB2312" w:hAnsi="仿宋_GB2312" w:eastAsia="仿宋_GB2312" w:cs="仿宋_GB2312"/>
          <w:sz w:val="32"/>
          <w:szCs w:val="32"/>
          <w:shd w:val="clear" w:color="auto" w:fill="auto"/>
        </w:rPr>
        <w:t>完成</w:t>
      </w:r>
      <w:r>
        <w:rPr>
          <w:rFonts w:hint="eastAsia" w:ascii="仿宋_GB2312" w:hAnsi="仿宋_GB2312" w:eastAsia="仿宋_GB2312" w:cs="仿宋_GB2312"/>
          <w:sz w:val="32"/>
          <w:szCs w:val="32"/>
          <w:shd w:val="clear" w:color="auto" w:fill="auto"/>
          <w:lang w:val="en-US" w:eastAsia="zh-CN"/>
        </w:rPr>
        <w:t>17</w:t>
      </w:r>
      <w:r>
        <w:rPr>
          <w:rFonts w:hint="eastAsia" w:ascii="仿宋_GB2312" w:hAnsi="仿宋_GB2312" w:eastAsia="仿宋_GB2312" w:cs="仿宋_GB2312"/>
          <w:sz w:val="32"/>
          <w:szCs w:val="32"/>
          <w:shd w:val="clear" w:color="auto" w:fill="auto"/>
        </w:rPr>
        <w:t>亿元，同比增长</w:t>
      </w:r>
      <w:r>
        <w:rPr>
          <w:rFonts w:hint="eastAsia" w:ascii="仿宋_GB2312" w:hAnsi="仿宋_GB2312" w:cs="仿宋_GB2312"/>
          <w:sz w:val="32"/>
          <w:szCs w:val="32"/>
          <w:shd w:val="clear" w:color="auto" w:fill="auto"/>
          <w:lang w:eastAsia="zh-CN"/>
        </w:rPr>
        <w:t>全市</w:t>
      </w:r>
      <w:r>
        <w:rPr>
          <w:rFonts w:hint="eastAsia" w:ascii="仿宋_GB2312" w:hAnsi="仿宋_GB2312" w:eastAsia="仿宋_GB2312" w:cs="仿宋_GB2312"/>
          <w:sz w:val="32"/>
          <w:szCs w:val="32"/>
          <w:shd w:val="clear" w:color="auto" w:fill="auto"/>
        </w:rPr>
        <w:t>排名</w:t>
      </w:r>
      <w:r>
        <w:rPr>
          <w:rFonts w:hint="eastAsia" w:ascii="仿宋_GB2312" w:hAnsi="仿宋_GB2312" w:cs="仿宋_GB2312"/>
          <w:sz w:val="32"/>
          <w:szCs w:val="32"/>
          <w:shd w:val="clear" w:color="auto" w:fill="auto"/>
          <w:lang w:eastAsia="zh-CN"/>
        </w:rPr>
        <w:t>靠后</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b/>
          <w:bCs/>
          <w:sz w:val="32"/>
          <w:szCs w:val="32"/>
          <w:shd w:val="clear" w:color="auto" w:fill="auto"/>
        </w:rPr>
        <w:t>四是对外贸易。</w:t>
      </w:r>
      <w:r>
        <w:rPr>
          <w:rFonts w:hint="eastAsia" w:ascii="仿宋_GB2312" w:hAnsi="仿宋_GB2312" w:eastAsia="仿宋_GB2312" w:cs="仿宋_GB2312"/>
          <w:sz w:val="32"/>
          <w:szCs w:val="32"/>
          <w:shd w:val="clear" w:color="auto" w:fill="auto"/>
        </w:rPr>
        <w:t>目前</w:t>
      </w:r>
      <w:r>
        <w:rPr>
          <w:rFonts w:hint="eastAsia" w:ascii="仿宋_GB2312" w:hAnsi="仿宋_GB2312" w:eastAsia="仿宋_GB2312" w:cs="仿宋_GB2312"/>
          <w:sz w:val="32"/>
          <w:szCs w:val="32"/>
          <w:shd w:val="clear" w:color="auto" w:fill="auto"/>
          <w:lang w:eastAsia="zh-CN"/>
        </w:rPr>
        <w:t>已</w:t>
      </w:r>
      <w:r>
        <w:rPr>
          <w:rFonts w:hint="eastAsia" w:ascii="仿宋_GB2312" w:hAnsi="仿宋_GB2312" w:eastAsia="仿宋_GB2312" w:cs="仿宋_GB2312"/>
          <w:sz w:val="32"/>
          <w:szCs w:val="32"/>
          <w:shd w:val="clear" w:color="auto" w:fill="auto"/>
        </w:rPr>
        <w:t>完成</w:t>
      </w:r>
      <w:r>
        <w:rPr>
          <w:rFonts w:hint="eastAsia" w:ascii="仿宋_GB2312" w:hAnsi="仿宋_GB2312" w:eastAsia="仿宋_GB2312" w:cs="仿宋_GB2312"/>
          <w:sz w:val="32"/>
          <w:szCs w:val="32"/>
          <w:shd w:val="clear" w:color="auto" w:fill="auto"/>
          <w:lang w:val="en-US" w:eastAsia="zh-CN"/>
        </w:rPr>
        <w:t>14000</w:t>
      </w:r>
      <w:r>
        <w:rPr>
          <w:rFonts w:hint="eastAsia" w:ascii="仿宋_GB2312" w:hAnsi="仿宋_GB2312" w:eastAsia="仿宋_GB2312" w:cs="仿宋_GB2312"/>
          <w:sz w:val="32"/>
          <w:szCs w:val="32"/>
          <w:shd w:val="clear" w:color="auto" w:fill="auto"/>
        </w:rPr>
        <w:t>万元，同比增速排名全市第</w:t>
      </w:r>
      <w:r>
        <w:rPr>
          <w:rFonts w:hint="eastAsia" w:ascii="仿宋_GB2312" w:hAnsi="仿宋_GB2312" w:eastAsia="仿宋_GB2312" w:cs="仿宋_GB2312"/>
          <w:sz w:val="32"/>
          <w:szCs w:val="32"/>
          <w:shd w:val="clear" w:color="auto" w:fill="auto"/>
          <w:lang w:val="en-US" w:eastAsia="zh-CN"/>
        </w:rPr>
        <w:t>8</w:t>
      </w:r>
      <w:r>
        <w:rPr>
          <w:rFonts w:hint="eastAsia" w:ascii="仿宋_GB2312" w:hAnsi="仿宋_GB2312" w:eastAsia="仿宋_GB2312" w:cs="仿宋_GB2312"/>
          <w:sz w:val="32"/>
          <w:szCs w:val="32"/>
          <w:shd w:val="clear" w:color="auto" w:fill="auto"/>
        </w:rPr>
        <w:t>位。</w:t>
      </w:r>
      <w:r>
        <w:rPr>
          <w:rFonts w:hint="eastAsia" w:ascii="仿宋_GB2312" w:hAnsi="仿宋_GB2312" w:eastAsia="仿宋_GB2312" w:cs="仿宋_GB2312"/>
          <w:b/>
          <w:bCs/>
          <w:sz w:val="32"/>
          <w:szCs w:val="32"/>
          <w:shd w:val="clear" w:color="auto" w:fill="auto"/>
        </w:rPr>
        <w:t>五是实际</w:t>
      </w:r>
      <w:r>
        <w:rPr>
          <w:rFonts w:hint="eastAsia" w:ascii="仿宋_GB2312" w:hAnsi="仿宋_GB2312" w:eastAsia="仿宋_GB2312" w:cs="仿宋_GB2312"/>
          <w:b/>
          <w:bCs/>
          <w:sz w:val="32"/>
          <w:szCs w:val="32"/>
          <w:shd w:val="clear" w:color="auto" w:fill="auto"/>
          <w:lang w:eastAsia="zh-CN"/>
        </w:rPr>
        <w:t>到位</w:t>
      </w:r>
      <w:r>
        <w:rPr>
          <w:rFonts w:hint="eastAsia" w:ascii="仿宋_GB2312" w:hAnsi="仿宋_GB2312" w:eastAsia="仿宋_GB2312" w:cs="仿宋_GB2312"/>
          <w:b/>
          <w:bCs/>
          <w:sz w:val="32"/>
          <w:szCs w:val="32"/>
          <w:shd w:val="clear" w:color="auto" w:fill="auto"/>
        </w:rPr>
        <w:t>外资额。</w:t>
      </w:r>
      <w:r>
        <w:rPr>
          <w:rFonts w:hint="eastAsia" w:ascii="仿宋_GB2312" w:hAnsi="仿宋_GB2312" w:eastAsia="仿宋_GB2312" w:cs="仿宋_GB2312"/>
          <w:sz w:val="32"/>
          <w:szCs w:val="32"/>
          <w:shd w:val="clear" w:color="auto" w:fill="auto"/>
        </w:rPr>
        <w:t>已完成</w:t>
      </w:r>
      <w:r>
        <w:rPr>
          <w:rFonts w:hint="eastAsia" w:ascii="仿宋_GB2312" w:hAnsi="仿宋_GB2312" w:eastAsia="仿宋_GB2312" w:cs="仿宋_GB2312"/>
          <w:sz w:val="32"/>
          <w:szCs w:val="32"/>
          <w:shd w:val="clear" w:color="auto" w:fill="auto"/>
          <w:lang w:val="en-US" w:eastAsia="zh-CN"/>
        </w:rPr>
        <w:t>6.96</w:t>
      </w:r>
      <w:r>
        <w:rPr>
          <w:rFonts w:hint="eastAsia" w:ascii="仿宋_GB2312" w:hAnsi="仿宋_GB2312" w:eastAsia="仿宋_GB2312" w:cs="仿宋_GB2312"/>
          <w:sz w:val="32"/>
          <w:szCs w:val="32"/>
          <w:shd w:val="clear" w:color="auto" w:fill="auto"/>
        </w:rPr>
        <w:t>万美元，</w:t>
      </w:r>
      <w:r>
        <w:rPr>
          <w:rFonts w:hint="eastAsia" w:ascii="仿宋_GB2312" w:hAnsi="仿宋_GB2312" w:eastAsia="仿宋_GB2312" w:cs="仿宋_GB2312"/>
          <w:sz w:val="32"/>
          <w:szCs w:val="32"/>
          <w:shd w:val="clear" w:color="auto" w:fill="auto"/>
          <w:lang w:eastAsia="zh-CN"/>
        </w:rPr>
        <w:t>排名全市第七名。</w:t>
      </w:r>
      <w:r>
        <w:rPr>
          <w:rFonts w:hint="eastAsia" w:ascii="仿宋_GB2312" w:hAnsi="仿宋_GB2312" w:eastAsia="仿宋_GB2312" w:cs="仿宋_GB2312"/>
          <w:b/>
          <w:bCs/>
          <w:sz w:val="32"/>
          <w:szCs w:val="32"/>
          <w:shd w:val="clear" w:color="auto" w:fill="auto"/>
        </w:rPr>
        <w:t>六是高质量发展指标。</w:t>
      </w:r>
      <w:r>
        <w:rPr>
          <w:rFonts w:hint="eastAsia" w:ascii="仿宋_GB2312" w:hAnsi="仿宋_GB2312" w:eastAsia="仿宋_GB2312" w:cs="仿宋_GB2312"/>
          <w:sz w:val="32"/>
          <w:szCs w:val="32"/>
          <w:shd w:val="clear" w:color="auto" w:fill="auto"/>
        </w:rPr>
        <w:t>人均货物和服务贸易总额，已达到455.67万元；人均实际使用外资额，目前已达到0.</w:t>
      </w:r>
      <w:r>
        <w:rPr>
          <w:rFonts w:hint="eastAsia" w:ascii="仿宋_GB2312" w:hAnsi="仿宋_GB2312" w:eastAsia="仿宋_GB2312" w:cs="仿宋_GB2312"/>
          <w:sz w:val="32"/>
          <w:szCs w:val="32"/>
          <w:shd w:val="clear" w:color="auto" w:fill="auto"/>
          <w:lang w:val="en-US" w:eastAsia="zh-CN"/>
        </w:rPr>
        <w:t>355</w:t>
      </w:r>
      <w:r>
        <w:rPr>
          <w:rFonts w:hint="eastAsia" w:ascii="仿宋_GB2312" w:hAnsi="仿宋_GB2312" w:eastAsia="仿宋_GB2312" w:cs="仿宋_GB2312"/>
          <w:sz w:val="32"/>
          <w:szCs w:val="32"/>
          <w:shd w:val="clear" w:color="auto" w:fill="auto"/>
        </w:rPr>
        <w:t>美元。</w:t>
      </w:r>
    </w:p>
    <w:p w14:paraId="627AFB3E">
      <w:pPr>
        <w:keepNext w:val="0"/>
        <w:keepLines w:val="0"/>
        <w:pageBreakBefore w:val="0"/>
        <w:tabs>
          <w:tab w:val="left" w:pos="640"/>
        </w:tabs>
        <w:kinsoku/>
        <w:wordWrap/>
        <w:overflowPunct/>
        <w:topLinePunct w:val="0"/>
        <w:autoSpaceDN/>
        <w:bidi w:val="0"/>
        <w:spacing w:line="579" w:lineRule="exact"/>
        <w:ind w:firstLine="482" w:firstLineChars="150"/>
        <w:textAlignment w:val="auto"/>
        <w:rPr>
          <w:rFonts w:hint="eastAsia" w:ascii="仿宋_GB2312" w:hAnsi="仿宋_GB2312" w:eastAsia="仿宋_GB2312" w:cs="仿宋_GB2312"/>
          <w:color w:val="434343"/>
          <w:sz w:val="32"/>
          <w:szCs w:val="32"/>
          <w:shd w:val="clear" w:color="auto" w:fill="FFFFFF"/>
        </w:rPr>
      </w:pPr>
      <w:r>
        <w:rPr>
          <w:rFonts w:hint="eastAsia" w:ascii="楷体" w:hAnsi="楷体" w:eastAsia="楷体" w:cs="楷体"/>
          <w:b/>
          <w:kern w:val="2"/>
          <w:sz w:val="32"/>
          <w:szCs w:val="32"/>
          <w:lang w:val="en-US" w:eastAsia="zh-CN" w:bidi="ar-SA"/>
        </w:rPr>
        <w:t>（二）电子商务迅速发展。</w:t>
      </w:r>
      <w:r>
        <w:rPr>
          <w:rFonts w:hint="eastAsia" w:ascii="仿宋_GB2312" w:hAnsi="仿宋_GB2312" w:eastAsia="仿宋_GB2312" w:cs="仿宋_GB2312"/>
          <w:b/>
          <w:bCs/>
          <w:kern w:val="2"/>
          <w:sz w:val="32"/>
          <w:szCs w:val="32"/>
          <w:shd w:val="clear" w:color="auto" w:fill="auto"/>
          <w:lang w:val="en-US" w:eastAsia="zh-CN" w:bidi="ar-SA"/>
        </w:rPr>
        <w:t>一是</w:t>
      </w:r>
      <w:r>
        <w:rPr>
          <w:rFonts w:hint="eastAsia" w:ascii="仿宋_GB2312" w:hAnsi="仿宋_GB2312" w:eastAsia="仿宋_GB2312" w:cs="仿宋_GB2312"/>
          <w:b w:val="0"/>
          <w:bCs w:val="0"/>
          <w:kern w:val="2"/>
          <w:sz w:val="32"/>
          <w:szCs w:val="32"/>
          <w:shd w:val="clear" w:color="auto" w:fill="auto"/>
          <w:lang w:val="en-US" w:eastAsia="zh-CN" w:bidi="ar-SA"/>
        </w:rPr>
        <w:t>为县域内26家电商企业和个人提供免费的办公场所；免费为企业在绥宁县电子商务公共服务中心O2O展馆展示绥宁本地农产品三十余种；开展电商人才技能培训6场，培训467余人次，开展进村普及培训12场，为农村电商发展储备大量优秀人才。</w:t>
      </w:r>
      <w:r>
        <w:rPr>
          <w:rFonts w:hint="eastAsia" w:ascii="仿宋_GB2312" w:hAnsi="仿宋_GB2312" w:eastAsia="仿宋_GB2312" w:cs="仿宋_GB2312"/>
          <w:b/>
          <w:bCs/>
          <w:kern w:val="2"/>
          <w:sz w:val="32"/>
          <w:szCs w:val="32"/>
          <w:shd w:val="clear" w:color="auto" w:fill="auto"/>
          <w:lang w:val="en-US" w:eastAsia="zh-CN" w:bidi="ar-SA"/>
        </w:rPr>
        <w:t>二是</w:t>
      </w:r>
      <w:r>
        <w:rPr>
          <w:rFonts w:hint="eastAsia" w:ascii="仿宋_GB2312" w:hAnsi="仿宋_GB2312" w:eastAsia="仿宋_GB2312" w:cs="仿宋_GB2312"/>
          <w:b w:val="0"/>
          <w:bCs w:val="0"/>
          <w:kern w:val="2"/>
          <w:sz w:val="32"/>
          <w:szCs w:val="32"/>
          <w:shd w:val="clear" w:color="auto" w:fill="auto"/>
          <w:lang w:val="en-US" w:eastAsia="zh-CN" w:bidi="ar-SA"/>
        </w:rPr>
        <w:t>开展“四八姑娘节活动”和“数商兴农 乡村振兴2023湖南网上年货节”活动，带动绥宁本地农产品销售；</w:t>
      </w:r>
      <w:r>
        <w:rPr>
          <w:rFonts w:hint="eastAsia" w:ascii="仿宋_GB2312" w:hAnsi="仿宋_GB2312" w:cs="仿宋_GB2312"/>
          <w:b w:val="0"/>
          <w:bCs w:val="0"/>
          <w:kern w:val="2"/>
          <w:sz w:val="32"/>
          <w:szCs w:val="32"/>
          <w:shd w:val="clear" w:color="auto" w:fill="auto"/>
          <w:lang w:val="en-US" w:eastAsia="zh-CN" w:bidi="ar-SA"/>
        </w:rPr>
        <w:t>对</w:t>
      </w:r>
      <w:r>
        <w:rPr>
          <w:rFonts w:hint="eastAsia" w:ascii="仿宋_GB2312" w:hAnsi="仿宋_GB2312" w:eastAsia="仿宋_GB2312" w:cs="仿宋_GB2312"/>
          <w:b w:val="0"/>
          <w:bCs w:val="0"/>
          <w:kern w:val="2"/>
          <w:sz w:val="32"/>
          <w:szCs w:val="32"/>
          <w:shd w:val="clear" w:color="auto" w:fill="auto"/>
          <w:lang w:val="en-US" w:eastAsia="zh-CN" w:bidi="ar-SA"/>
        </w:rPr>
        <w:t>多家企业进行宣传指导，为企业宣传拍摄提供有效的帮助和销售助推。</w:t>
      </w:r>
      <w:r>
        <w:rPr>
          <w:rFonts w:hint="eastAsia" w:ascii="仿宋_GB2312" w:hAnsi="仿宋_GB2312" w:eastAsia="仿宋_GB2312" w:cs="仿宋_GB2312"/>
          <w:b/>
          <w:bCs/>
          <w:kern w:val="2"/>
          <w:sz w:val="32"/>
          <w:szCs w:val="32"/>
          <w:shd w:val="clear" w:color="auto" w:fill="auto"/>
          <w:lang w:val="en-US" w:eastAsia="zh-CN" w:bidi="ar-SA"/>
        </w:rPr>
        <w:t>三是</w:t>
      </w:r>
      <w:r>
        <w:rPr>
          <w:rFonts w:hint="eastAsia" w:ascii="仿宋_GB2312" w:hAnsi="仿宋_GB2312" w:eastAsia="仿宋_GB2312" w:cs="仿宋_GB2312"/>
          <w:b w:val="0"/>
          <w:bCs w:val="0"/>
          <w:kern w:val="2"/>
          <w:sz w:val="32"/>
          <w:szCs w:val="32"/>
          <w:shd w:val="clear" w:color="auto" w:fill="auto"/>
          <w:lang w:val="en-US" w:eastAsia="zh-CN" w:bidi="ar-SA"/>
        </w:rPr>
        <w:t>通过对全县的站点运营情况进行摸底，走访了136个电商服务站点，并确定了108个电商服务站点为优质站点。站点面积符合要求，按照要求配置相关设施设备。站点统一门头店标识“全国电子商务进农村综合示范项目”字样，配备必要货架，商用包装机，电子秤，快递热敏打单机，快递出入库扫描仪一体机等必要设备。四是组织对站长进行培训和运营指导3次。能为村民提供代购代销、便民服务、收发快递等服务内容。依托绥宁县绞股蓝、青钱柳茶叶等产业，电商服务站点有效助力本地特色农产品上行，通过叠加服务等方式实现了所有站点可持续运营。</w:t>
      </w:r>
    </w:p>
    <w:p w14:paraId="28A23B32">
      <w:pPr>
        <w:pStyle w:val="1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9" w:lineRule="exact"/>
        <w:ind w:firstLine="646"/>
        <w:textAlignment w:val="auto"/>
        <w:rPr>
          <w:rFonts w:hint="eastAsia" w:ascii="仿宋_GB2312" w:hAnsi="仿宋_GB2312" w:eastAsia="仿宋_GB2312" w:cs="仿宋_GB2312"/>
          <w:sz w:val="32"/>
          <w:szCs w:val="32"/>
          <w:shd w:val="clear" w:color="FFFFFF" w:fill="D9D9D9"/>
        </w:rPr>
      </w:pPr>
      <w:r>
        <w:rPr>
          <w:rFonts w:hint="eastAsia" w:ascii="楷体" w:hAnsi="楷体" w:eastAsia="楷体" w:cs="楷体"/>
          <w:b/>
          <w:kern w:val="2"/>
          <w:sz w:val="32"/>
          <w:szCs w:val="32"/>
          <w:shd w:val="clear" w:color="auto" w:fill="auto"/>
          <w:lang w:val="en-US" w:eastAsia="zh-CN" w:bidi="ar-SA"/>
        </w:rPr>
        <w:t>（三）推进物流配送发展工作。</w:t>
      </w:r>
      <w:r>
        <w:rPr>
          <w:rFonts w:hint="eastAsia" w:ascii="仿宋_GB2312" w:hAnsi="仿宋_GB2312" w:eastAsia="仿宋_GB2312" w:cs="仿宋_GB2312"/>
          <w:b w:val="0"/>
          <w:bCs w:val="0"/>
          <w:kern w:val="2"/>
          <w:sz w:val="32"/>
          <w:szCs w:val="32"/>
          <w:shd w:val="clear" w:color="auto" w:fill="auto"/>
          <w:lang w:val="en-US" w:eastAsia="zh-CN" w:bidi="ar-SA"/>
        </w:rPr>
        <w:t>根据绥宁县实际的情况，在我县规划建设1500㎡以上的1个县级电商物流配送中心，现已定址在绥宁县袁家团工业园，已装修改造完成。整合县城快递企业4家，中通、申通、顺丰、韵达，整合商贸物流企业2家，美团和京东物流。采购智慧物流自动化分拣设备1台、物流车辆5台、一套物流信息及车辆管理系统，该硬软件设备用于支持农村末端快递转运业务，其中包括实现自动称重、自动识别开单、自动打印面单、自动线路分拣在内的整体需求。已组建一个专业运营团队运营物流配送中心，物流运营方案、制定完善配送中心仓储管理制度、人员管理制度、考核机制，并已完成上墙工作；对已经建成的108个电商服务站点进行物流配送叠加，为工业品下乡以及农产品进城提供便利渠道。物流中心目前已实现统仓统配，实现了车辆、人力、场地的优化，提高派送密度，实现1+1&gt;2的配送能力升级，现物流中心日均单量4000单左右，预计在明年6月份之前实现10000+。</w:t>
      </w:r>
    </w:p>
    <w:p w14:paraId="1331B0E9">
      <w:pPr>
        <w:keepNext w:val="0"/>
        <w:keepLines w:val="0"/>
        <w:pageBreakBefore w:val="0"/>
        <w:numPr>
          <w:ilvl w:val="0"/>
          <w:numId w:val="0"/>
        </w:numPr>
        <w:tabs>
          <w:tab w:val="left" w:pos="640"/>
        </w:tabs>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lang w:eastAsia="zh-CN"/>
        </w:rPr>
        <w:t>（四）商业体系建设项目有序开展。</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今年成功申报农贸市场建设专项债8000万元，10月份已纳入省政府114期专项债券发行。农贸市场建设为我县重点项目，县城有中心市场、绿洲市场、汽车北站市场建设，乡镇为金屋、瓦屋、红岩、武阳等地市场建设，目前，武阳市场设计草图己出来，金屋、瓦屋、红岩完成现场查看，中心市场、绿洲市场、汽车北站市场建设方案待县政府核定后立即组织实施。</w:t>
      </w:r>
      <w:r>
        <w:rPr>
          <w:rFonts w:hint="eastAsia" w:ascii="仿宋_GB2312" w:hAnsi="仿宋_GB2312" w:eastAsia="仿宋_GB2312" w:cs="仿宋_GB2312"/>
          <w:sz w:val="32"/>
          <w:szCs w:val="32"/>
          <w:lang w:eastAsia="zh-CN"/>
        </w:rPr>
        <w:t>二是争取到</w:t>
      </w:r>
      <w:r>
        <w:rPr>
          <w:rFonts w:hint="eastAsia" w:ascii="仿宋_GB2312" w:hAnsi="仿宋_GB2312" w:eastAsia="仿宋_GB2312" w:cs="仿宋_GB2312"/>
          <w:sz w:val="32"/>
          <w:szCs w:val="32"/>
        </w:rPr>
        <w:t>限上企业入规及稳定在库奖励资金</w:t>
      </w:r>
      <w:r>
        <w:rPr>
          <w:rFonts w:hint="eastAsia" w:ascii="仿宋_GB2312" w:hAnsi="仿宋_GB2312" w:eastAsia="仿宋_GB2312" w:cs="仿宋_GB2312"/>
          <w:sz w:val="32"/>
          <w:szCs w:val="32"/>
          <w:lang w:val="en-US" w:eastAsia="zh-CN"/>
        </w:rPr>
        <w:t>28万元</w:t>
      </w:r>
      <w:r>
        <w:rPr>
          <w:rFonts w:hint="eastAsia" w:ascii="仿宋_GB2312" w:hAnsi="仿宋_GB2312" w:eastAsia="仿宋_GB2312" w:cs="仿宋_GB2312"/>
          <w:sz w:val="32"/>
          <w:szCs w:val="32"/>
        </w:rPr>
        <w:t>，其中：市级资金24万，县级4万。</w:t>
      </w:r>
    </w:p>
    <w:p w14:paraId="242BB15D">
      <w:pPr>
        <w:keepNext w:val="0"/>
        <w:keepLines w:val="0"/>
        <w:pageBreakBefore w:val="0"/>
        <w:numPr>
          <w:ilvl w:val="0"/>
          <w:numId w:val="0"/>
        </w:numPr>
        <w:tabs>
          <w:tab w:val="left" w:pos="640"/>
        </w:tabs>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lang w:eastAsia="zh-CN"/>
        </w:rPr>
        <w:t>（五）招商引资工作精准实效。</w:t>
      </w:r>
      <w:r>
        <w:rPr>
          <w:rFonts w:hint="eastAsia" w:ascii="仿宋_GB2312" w:hAnsi="仿宋_GB2312" w:eastAsia="仿宋_GB2312" w:cs="仿宋_GB2312"/>
          <w:b/>
          <w:bCs/>
          <w:sz w:val="32"/>
          <w:szCs w:val="32"/>
          <w:shd w:val="clear" w:color="auto" w:fill="auto"/>
          <w:lang w:eastAsia="zh-CN"/>
        </w:rPr>
        <w:t>一是</w:t>
      </w:r>
      <w:r>
        <w:rPr>
          <w:rFonts w:hint="eastAsia" w:ascii="仿宋_GB2312" w:hAnsi="仿宋_GB2312" w:eastAsia="仿宋_GB2312" w:cs="仿宋_GB2312"/>
          <w:kern w:val="0"/>
          <w:sz w:val="32"/>
          <w:szCs w:val="32"/>
          <w:lang w:eastAsia="zh-CN"/>
        </w:rPr>
        <w:t>今年以来</w:t>
      </w:r>
      <w:r>
        <w:rPr>
          <w:rFonts w:hint="eastAsia" w:ascii="仿宋_GB2312" w:hAnsi="仿宋_GB2312" w:eastAsia="仿宋_GB2312" w:cs="仿宋_GB2312"/>
          <w:kern w:val="0"/>
          <w:sz w:val="32"/>
          <w:szCs w:val="32"/>
        </w:rPr>
        <w:t>已签约项目7个，分别是：</w:t>
      </w:r>
      <w:r>
        <w:rPr>
          <w:rFonts w:hint="eastAsia" w:ascii="仿宋_GB2312" w:hAnsi="仿宋_GB2312" w:eastAsia="仿宋_GB2312" w:cs="仿宋_GB2312"/>
          <w:color w:val="000000"/>
          <w:kern w:val="0"/>
          <w:sz w:val="32"/>
          <w:szCs w:val="32"/>
        </w:rPr>
        <w:t>湖南省绥宁县电网侧电化学储能项</w:t>
      </w:r>
      <w:r>
        <w:rPr>
          <w:rFonts w:hint="eastAsia" w:ascii="仿宋_GB2312" w:hAnsi="仿宋_GB2312" w:eastAsia="仿宋_GB2312" w:cs="仿宋_GB2312"/>
          <w:sz w:val="32"/>
          <w:szCs w:val="32"/>
        </w:rPr>
        <w:t>目，总投资5亿元；鸿澄金丝</w:t>
      </w:r>
      <w:r>
        <w:rPr>
          <w:rFonts w:hint="eastAsia" w:ascii="仿宋_GB2312" w:hAnsi="仿宋_GB2312" w:cs="仿宋_GB2312"/>
          <w:sz w:val="32"/>
          <w:szCs w:val="32"/>
          <w:lang w:eastAsia="zh-CN"/>
        </w:rPr>
        <w:t>楠</w:t>
      </w:r>
      <w:r>
        <w:rPr>
          <w:rFonts w:hint="eastAsia" w:ascii="仿宋_GB2312" w:hAnsi="仿宋_GB2312" w:eastAsia="仿宋_GB2312" w:cs="仿宋_GB2312"/>
          <w:sz w:val="32"/>
          <w:szCs w:val="32"/>
        </w:rPr>
        <w:t>木（古典）家具、餐具研发制作产业项目，总投资1亿元；箱包系列产品生产建设项目，总投资0.5亿元；高端手机硬件系列产品生产建设项目，总投资0.4亿元；绥宁县罗汉果及植物提取物精深加工项目，总投资3.5亿元。绥宁南山国家公园黄桑生态项目，总投资14.11亿元；绥宁“绿洲星鑫”竹笋深加工项目，总投资1.5亿元。</w:t>
      </w:r>
      <w:r>
        <w:rPr>
          <w:rFonts w:hint="eastAsia" w:ascii="仿宋_GB2312" w:hAnsi="仿宋_GB2312" w:cs="仿宋_GB2312"/>
          <w:sz w:val="32"/>
          <w:szCs w:val="32"/>
          <w:lang w:eastAsia="zh-CN"/>
        </w:rPr>
        <w:t>绥宁县富硒生态农业项目，总投资</w:t>
      </w:r>
      <w:r>
        <w:rPr>
          <w:rFonts w:hint="eastAsia" w:ascii="仿宋_GB2312" w:hAnsi="仿宋_GB2312" w:cs="仿宋_GB2312"/>
          <w:sz w:val="32"/>
          <w:szCs w:val="32"/>
          <w:lang w:val="en-US" w:eastAsia="zh-CN"/>
        </w:rPr>
        <w:t>1.2亿元；瓦屋塘矿泉水项目即将在11月17日在新宁进行集中签约。</w:t>
      </w:r>
      <w:r>
        <w:rPr>
          <w:rFonts w:hint="eastAsia" w:ascii="仿宋_GB2312" w:hAnsi="仿宋_GB2312" w:eastAsia="仿宋_GB2312" w:cs="仿宋_GB2312"/>
          <w:sz w:val="32"/>
          <w:szCs w:val="32"/>
        </w:rPr>
        <w:t>目前在谈项目12个。</w:t>
      </w:r>
      <w:r>
        <w:rPr>
          <w:rFonts w:hint="eastAsia" w:ascii="仿宋_GB2312" w:hAnsi="仿宋_GB2312" w:eastAsia="仿宋_GB2312" w:cs="仿宋_GB2312"/>
          <w:b/>
          <w:bCs/>
          <w:sz w:val="32"/>
          <w:szCs w:val="32"/>
          <w:shd w:val="clear" w:color="auto" w:fill="auto"/>
          <w:lang w:eastAsia="zh-CN"/>
        </w:rPr>
        <w:t>二是</w:t>
      </w:r>
      <w:r>
        <w:rPr>
          <w:rFonts w:hint="eastAsia" w:ascii="仿宋_GB2312" w:hAnsi="仿宋_GB2312" w:eastAsia="仿宋_GB2312" w:cs="仿宋_GB2312"/>
          <w:sz w:val="32"/>
          <w:szCs w:val="32"/>
        </w:rPr>
        <w:t>围绕“一主一特”产业发展定位，积极走出去招商。</w:t>
      </w:r>
      <w:r>
        <w:rPr>
          <w:rFonts w:hint="eastAsia" w:ascii="仿宋_GB2312" w:hAnsi="仿宋_GB2312" w:cs="仿宋_GB2312"/>
          <w:sz w:val="32"/>
          <w:szCs w:val="32"/>
          <w:lang w:eastAsia="zh-CN"/>
        </w:rPr>
        <w:t>今年以来，县领导带队外出招商</w:t>
      </w:r>
      <w:r>
        <w:rPr>
          <w:rFonts w:hint="eastAsia" w:ascii="仿宋_GB2312" w:hAnsi="仿宋_GB2312" w:cs="仿宋_GB2312"/>
          <w:sz w:val="32"/>
          <w:szCs w:val="32"/>
          <w:lang w:val="en-US" w:eastAsia="zh-CN"/>
        </w:rPr>
        <w:t>8次，接待客商22起。</w:t>
      </w:r>
      <w:r>
        <w:rPr>
          <w:rFonts w:hint="eastAsia" w:ascii="仿宋_GB2312" w:hAnsi="仿宋_GB2312" w:eastAsia="仿宋_GB2312" w:cs="仿宋_GB2312"/>
          <w:sz w:val="32"/>
          <w:szCs w:val="32"/>
        </w:rPr>
        <w:t>5月29日-6月3日由县长夏贤钦带队参加了湖南省举办的粤港澳大湾区经贸洽谈周活动，其间：6月1日参加了邵阳市在深圳举办的粤港澳大湾区产业链优势项目招商推介活动，6月2日与广东省行业协会联合会一起举办了绿色资源优势产业链招商对接会，参加企业50家。10月25日由县长夏贤钦带队对接了中国铁建集团湖南总部。10月27日</w:t>
      </w:r>
      <w:r>
        <w:rPr>
          <w:rFonts w:hint="eastAsia" w:ascii="仿宋_GB2312" w:hAnsi="仿宋_GB2312" w:cs="仿宋_GB2312"/>
          <w:sz w:val="32"/>
          <w:szCs w:val="32"/>
          <w:lang w:val="en-US" w:eastAsia="zh-CN"/>
        </w:rPr>
        <w:t>县委</w:t>
      </w:r>
      <w:r>
        <w:rPr>
          <w:rFonts w:hint="eastAsia" w:ascii="仿宋_GB2312" w:hAnsi="仿宋_GB2312" w:eastAsia="仿宋_GB2312" w:cs="仿宋_GB2312"/>
          <w:sz w:val="32"/>
          <w:szCs w:val="32"/>
        </w:rPr>
        <w:t>书记带领相关部门赴浙江龙泉对接了楠竹产业链项目。</w:t>
      </w:r>
      <w:r>
        <w:rPr>
          <w:rFonts w:hint="eastAsia" w:ascii="仿宋_GB2312" w:hAnsi="仿宋_GB2312" w:eastAsia="仿宋_GB2312" w:cs="仿宋_GB2312"/>
          <w:b/>
          <w:bCs/>
          <w:sz w:val="32"/>
          <w:szCs w:val="32"/>
          <w:shd w:val="clear" w:color="auto" w:fill="auto"/>
          <w:lang w:eastAsia="zh-CN"/>
        </w:rPr>
        <w:t>三是</w:t>
      </w:r>
      <w:r>
        <w:rPr>
          <w:rFonts w:hint="eastAsia" w:ascii="仿宋_GB2312" w:hAnsi="仿宋_GB2312" w:eastAsia="仿宋_GB2312" w:cs="仿宋_GB2312"/>
          <w:sz w:val="32"/>
          <w:szCs w:val="32"/>
        </w:rPr>
        <w:t>积极参加省市组织的节会及县内举办的招商活动。</w:t>
      </w:r>
      <w:r>
        <w:rPr>
          <w:rFonts w:hint="eastAsia" w:ascii="仿宋_GB2312" w:hAnsi="仿宋_GB2312" w:eastAsia="仿宋_GB2312" w:cs="仿宋_GB2312"/>
          <w:kern w:val="0"/>
          <w:sz w:val="32"/>
          <w:szCs w:val="32"/>
        </w:rPr>
        <w:t>1-9月，湘商回湘签约3个，新注册企业2家，到位资金8.68亿元，涉税市场主体2家</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4月3日举办全县湘商回归及返乡创业工作座谈会及签约仪式，共签约17个项目。9月19日参加了邵阳旅发大会，签约了</w:t>
      </w:r>
      <w:r>
        <w:rPr>
          <w:rFonts w:hint="eastAsia" w:ascii="仿宋_GB2312" w:hAnsi="仿宋_GB2312" w:eastAsia="仿宋_GB2312" w:cs="仿宋_GB2312"/>
          <w:sz w:val="32"/>
          <w:szCs w:val="32"/>
        </w:rPr>
        <w:t>绥宁南山国家公园黄桑生态项目。9月26日商务局与李熙桥镇政府联合举办了乡贤返乡创业集中签约仪式，签约了12个返乡创业项目</w:t>
      </w:r>
      <w:r>
        <w:rPr>
          <w:rFonts w:hint="eastAsia" w:ascii="仿宋_GB2312" w:hAnsi="仿宋_GB2312" w:cs="仿宋_GB2312"/>
          <w:sz w:val="32"/>
          <w:szCs w:val="32"/>
          <w:lang w:eastAsia="zh-CN"/>
        </w:rPr>
        <w:t>，总资金</w:t>
      </w:r>
      <w:r>
        <w:rPr>
          <w:rFonts w:hint="eastAsia" w:ascii="仿宋_GB2312" w:hAnsi="仿宋_GB2312" w:cs="仿宋_GB2312"/>
          <w:sz w:val="32"/>
          <w:szCs w:val="32"/>
          <w:lang w:val="en-US" w:eastAsia="zh-CN"/>
        </w:rPr>
        <w:t>5810万元；9月27日与海南金盘智能科技股份有限公司签订《战略合作协议》</w:t>
      </w:r>
      <w:r>
        <w:rPr>
          <w:rFonts w:hint="eastAsia" w:ascii="仿宋_GB2312" w:hAnsi="仿宋_GB2312" w:eastAsia="仿宋_GB2312" w:cs="仿宋_GB2312"/>
          <w:sz w:val="32"/>
          <w:szCs w:val="32"/>
        </w:rPr>
        <w:t>。10月7日参加了全市招商引资推进大会，签约了绥宁“绿洲星鑫”竹笋深加工项目。</w:t>
      </w:r>
    </w:p>
    <w:p w14:paraId="07785874">
      <w:pPr>
        <w:keepNext w:val="0"/>
        <w:keepLines w:val="0"/>
        <w:pageBreakBefore w:val="0"/>
        <w:numPr>
          <w:ilvl w:val="0"/>
          <w:numId w:val="0"/>
        </w:numPr>
        <w:tabs>
          <w:tab w:val="left" w:pos="640"/>
        </w:tabs>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sz w:val="32"/>
          <w:szCs w:val="32"/>
          <w:lang w:eastAsia="zh-CN"/>
        </w:rPr>
        <w:t>（六）进一步加强安全生产排查力度。</w:t>
      </w:r>
      <w:r>
        <w:rPr>
          <w:rFonts w:hint="eastAsia" w:ascii="仿宋_GB2312" w:hAnsi="仿宋_GB2312" w:eastAsia="仿宋_GB2312" w:cs="仿宋_GB2312"/>
          <w:sz w:val="32"/>
          <w:szCs w:val="32"/>
        </w:rPr>
        <w:t>成立了商务系统行业管理安全生产工作领导小组，各股室股长及各下属单位负责人为成员的行业管理安全生产工作领导</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组。商务局将安全生产工作列入年初工作计划，今年来召开安全生产工作专题会议多次，并开展了一系列的安全生产检查和排查工作。1月份开展了全县商贸流通领域集中开展消防安全隐患大排查大整治行动，并要求下属各单位严格落实“党政</w:t>
      </w:r>
      <w:r>
        <w:rPr>
          <w:rFonts w:hint="eastAsia" w:ascii="仿宋_GB2312" w:hAnsi="仿宋_GB2312" w:cs="仿宋_GB2312"/>
          <w:sz w:val="32"/>
          <w:szCs w:val="32"/>
          <w:lang w:eastAsia="zh-CN"/>
        </w:rPr>
        <w:t>同</w:t>
      </w:r>
      <w:r>
        <w:rPr>
          <w:rFonts w:hint="eastAsia" w:ascii="仿宋_GB2312" w:hAnsi="仿宋_GB2312" w:eastAsia="仿宋_GB2312" w:cs="仿宋_GB2312"/>
          <w:sz w:val="32"/>
          <w:szCs w:val="32"/>
        </w:rPr>
        <w:t>责、一岗双责、齐抓共管、失职追责”工作机制。6月份联合县公安局反恐大队等单位进行联合执法，对全县加油站进行反恐大排查。开展燃气安全生产检查，制定了行动方案，为各餐饮行业燃气安全生产培训，制定了安全生产制度。10月份排除并治理重大安全隐患4处，并按照重大安全隐患“一单四制”规范要求进行上报并销号。并排查和治理一般安全隐患150处。</w:t>
      </w:r>
    </w:p>
    <w:p w14:paraId="0514BD17">
      <w:pPr>
        <w:keepNext w:val="0"/>
        <w:keepLines w:val="0"/>
        <w:pageBreakBefore w:val="0"/>
        <w:numPr>
          <w:ilvl w:val="0"/>
          <w:numId w:val="0"/>
        </w:numPr>
        <w:tabs>
          <w:tab w:val="left" w:pos="640"/>
        </w:tabs>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bCs/>
          <w:sz w:val="32"/>
          <w:szCs w:val="32"/>
        </w:rPr>
      </w:pPr>
      <w:r>
        <w:rPr>
          <w:rFonts w:hint="eastAsia" w:ascii="楷体" w:hAnsi="楷体" w:eastAsia="楷体" w:cs="楷体"/>
          <w:b/>
          <w:sz w:val="32"/>
          <w:szCs w:val="32"/>
          <w:lang w:eastAsia="zh-CN"/>
        </w:rPr>
        <w:t>（七）加大重点行业监督管理。</w:t>
      </w:r>
      <w:r>
        <w:rPr>
          <w:rFonts w:hint="eastAsia" w:ascii="仿宋_GB2312" w:hAnsi="仿宋_GB2312" w:eastAsia="仿宋_GB2312" w:cs="仿宋_GB2312"/>
          <w:b w:val="0"/>
          <w:bCs w:val="0"/>
          <w:sz w:val="32"/>
          <w:szCs w:val="32"/>
          <w:shd w:val="clear" w:color="auto" w:fill="auto"/>
        </w:rPr>
        <w:t>一是进一步规范成品油经营市场秩序，今年3月底完成了全县28家加油站2022年度的经营许可证年检工作</w:t>
      </w:r>
      <w:r>
        <w:rPr>
          <w:rFonts w:hint="eastAsia" w:ascii="仿宋_GB2312" w:hAnsi="仿宋_GB2312" w:eastAsia="仿宋_GB2312" w:cs="仿宋_GB2312"/>
          <w:b w:val="0"/>
          <w:bCs w:val="0"/>
          <w:sz w:val="32"/>
          <w:szCs w:val="32"/>
          <w:shd w:val="clear" w:color="auto" w:fill="auto"/>
          <w:lang w:eastAsia="zh-CN"/>
        </w:rPr>
        <w:t>，</w:t>
      </w:r>
      <w:r>
        <w:rPr>
          <w:rFonts w:hint="eastAsia" w:ascii="仿宋_GB2312" w:hAnsi="仿宋_GB2312" w:eastAsia="仿宋_GB2312" w:cs="仿宋_GB2312"/>
          <w:b w:val="0"/>
          <w:bCs w:val="0"/>
          <w:sz w:val="32"/>
          <w:szCs w:val="32"/>
          <w:shd w:val="clear" w:color="auto" w:fill="auto"/>
        </w:rPr>
        <w:t>从6月中旬起，开展了在全县范围内开展成品油市场“打非治违”百日行动，深入推进成品油市场规范有序发展。二是进一步</w:t>
      </w:r>
      <w:r>
        <w:rPr>
          <w:rFonts w:hint="eastAsia" w:ascii="仿宋_GB2312" w:hAnsi="仿宋_GB2312" w:eastAsia="仿宋_GB2312" w:cs="仿宋_GB2312"/>
          <w:b w:val="0"/>
          <w:bCs w:val="0"/>
          <w:sz w:val="32"/>
          <w:szCs w:val="32"/>
          <w:shd w:val="clear" w:color="auto" w:fill="auto"/>
          <w:lang w:eastAsia="zh-CN"/>
        </w:rPr>
        <w:t>加强</w:t>
      </w:r>
      <w:r>
        <w:rPr>
          <w:rFonts w:hint="eastAsia" w:ascii="仿宋_GB2312" w:hAnsi="仿宋_GB2312" w:eastAsia="仿宋_GB2312" w:cs="仿宋_GB2312"/>
          <w:b w:val="0"/>
          <w:bCs w:val="0"/>
          <w:sz w:val="32"/>
          <w:szCs w:val="32"/>
          <w:shd w:val="clear" w:color="auto" w:fill="auto"/>
        </w:rPr>
        <w:t>对报废汽车、再生资源回收和二手车交易等行业的监督管理工作</w:t>
      </w:r>
      <w:r>
        <w:rPr>
          <w:rFonts w:hint="eastAsia" w:ascii="仿宋_GB2312" w:hAnsi="仿宋_GB2312" w:eastAsia="仿宋_GB2312" w:cs="仿宋_GB2312"/>
          <w:b w:val="0"/>
          <w:bCs w:val="0"/>
          <w:sz w:val="32"/>
          <w:szCs w:val="32"/>
          <w:shd w:val="clear" w:color="auto" w:fill="auto"/>
          <w:lang w:eastAsia="zh-CN"/>
        </w:rPr>
        <w:t>。</w:t>
      </w:r>
      <w:r>
        <w:rPr>
          <w:rFonts w:hint="eastAsia" w:ascii="仿宋_GB2312" w:hAnsi="仿宋_GB2312" w:eastAsia="仿宋_GB2312" w:cs="仿宋_GB2312"/>
          <w:b w:val="0"/>
          <w:bCs w:val="0"/>
          <w:sz w:val="32"/>
          <w:szCs w:val="32"/>
          <w:shd w:val="clear" w:color="auto" w:fill="auto"/>
        </w:rPr>
        <w:t>整</w:t>
      </w:r>
      <w:r>
        <w:rPr>
          <w:rFonts w:hint="eastAsia" w:ascii="仿宋_GB2312" w:hAnsi="仿宋_GB2312" w:eastAsia="仿宋_GB2312" w:cs="仿宋_GB2312"/>
          <w:bCs/>
          <w:sz w:val="32"/>
          <w:szCs w:val="32"/>
          <w:shd w:val="clear" w:color="auto" w:fill="auto"/>
        </w:rPr>
        <w:t>治废旧物资回收加工行业无证无照经营行为。对富林等几家二手车交易企业进行了多次安全生产和经营规范检查。9月27日，</w:t>
      </w:r>
      <w:r>
        <w:rPr>
          <w:rFonts w:hint="eastAsia" w:ascii="仿宋_GB2312" w:hAnsi="仿宋_GB2312" w:cs="仿宋_GB2312"/>
          <w:bCs/>
          <w:sz w:val="32"/>
          <w:szCs w:val="32"/>
          <w:shd w:val="clear" w:color="auto" w:fill="auto"/>
          <w:lang w:eastAsia="zh-CN"/>
        </w:rPr>
        <w:t>牵头</w:t>
      </w:r>
      <w:r>
        <w:rPr>
          <w:rFonts w:hint="eastAsia" w:ascii="仿宋_GB2312" w:hAnsi="仿宋_GB2312" w:eastAsia="仿宋_GB2312" w:cs="仿宋_GB2312"/>
          <w:bCs/>
          <w:sz w:val="32"/>
          <w:szCs w:val="32"/>
          <w:shd w:val="clear" w:color="auto" w:fill="auto"/>
        </w:rPr>
        <w:t>组织市监局和公安局等</w:t>
      </w:r>
      <w:r>
        <w:rPr>
          <w:rFonts w:hint="eastAsia" w:ascii="仿宋_GB2312" w:hAnsi="仿宋_GB2312" w:cs="仿宋_GB2312"/>
          <w:bCs/>
          <w:sz w:val="32"/>
          <w:szCs w:val="32"/>
          <w:shd w:val="clear" w:color="auto" w:fill="auto"/>
          <w:lang w:eastAsia="zh-CN"/>
        </w:rPr>
        <w:t>部门</w:t>
      </w:r>
      <w:r>
        <w:rPr>
          <w:rFonts w:hint="eastAsia" w:ascii="仿宋_GB2312" w:hAnsi="仿宋_GB2312" w:eastAsia="仿宋_GB2312" w:cs="仿宋_GB2312"/>
          <w:bCs/>
          <w:sz w:val="32"/>
          <w:szCs w:val="32"/>
          <w:shd w:val="clear" w:color="auto" w:fill="auto"/>
        </w:rPr>
        <w:t>工作人员对我县报废汽车回收企业进行了</w:t>
      </w:r>
      <w:r>
        <w:rPr>
          <w:rFonts w:hint="eastAsia" w:ascii="仿宋_GB2312" w:hAnsi="仿宋_GB2312" w:eastAsia="仿宋_GB2312" w:cs="仿宋_GB2312"/>
          <w:bCs/>
          <w:sz w:val="32"/>
          <w:szCs w:val="32"/>
        </w:rPr>
        <w:t>行政检查双随机检查，未发现</w:t>
      </w:r>
      <w:r>
        <w:rPr>
          <w:rFonts w:hint="eastAsia" w:ascii="仿宋_GB2312" w:hAnsi="仿宋_GB2312" w:cs="仿宋_GB2312"/>
          <w:bCs/>
          <w:sz w:val="32"/>
          <w:szCs w:val="32"/>
          <w:lang w:eastAsia="zh-CN"/>
        </w:rPr>
        <w:t>有关</w:t>
      </w:r>
      <w:r>
        <w:rPr>
          <w:rFonts w:hint="eastAsia" w:ascii="仿宋_GB2312" w:hAnsi="仿宋_GB2312" w:eastAsia="仿宋_GB2312" w:cs="仿宋_GB2312"/>
          <w:bCs/>
          <w:sz w:val="32"/>
          <w:szCs w:val="32"/>
        </w:rPr>
        <w:t>问题。</w:t>
      </w:r>
    </w:p>
    <w:p w14:paraId="38280173">
      <w:pPr>
        <w:keepNext w:val="0"/>
        <w:keepLines w:val="0"/>
        <w:pageBreakBefore w:val="0"/>
        <w:numPr>
          <w:ilvl w:val="0"/>
          <w:numId w:val="0"/>
        </w:numPr>
        <w:tabs>
          <w:tab w:val="left" w:pos="640"/>
        </w:tabs>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sz w:val="32"/>
          <w:szCs w:val="32"/>
          <w:lang w:eastAsia="zh-CN"/>
        </w:rPr>
        <w:t>（八）着重</w:t>
      </w:r>
      <w:r>
        <w:rPr>
          <w:rFonts w:hint="eastAsia" w:ascii="楷体" w:hAnsi="楷体" w:eastAsia="楷体" w:cs="楷体"/>
          <w:b/>
          <w:sz w:val="32"/>
          <w:szCs w:val="32"/>
        </w:rPr>
        <w:t>加强打击走私工作深度</w:t>
      </w:r>
      <w:r>
        <w:rPr>
          <w:rFonts w:hint="eastAsia" w:ascii="楷体" w:hAnsi="楷体" w:eastAsia="楷体" w:cs="楷体"/>
          <w:b/>
          <w:sz w:val="32"/>
          <w:szCs w:val="32"/>
          <w:lang w:eastAsia="zh-CN"/>
        </w:rPr>
        <w:t>。</w:t>
      </w:r>
      <w:r>
        <w:rPr>
          <w:rFonts w:hint="eastAsia" w:ascii="仿宋_GB2312" w:hAnsi="仿宋_GB2312" w:eastAsia="仿宋_GB2312" w:cs="仿宋_GB2312"/>
          <w:sz w:val="32"/>
          <w:szCs w:val="32"/>
        </w:rPr>
        <w:t>8月24日，由县商务局牵头，开展了我县成品油市场“打非治违”专项整治联合执法行动。发现绥宁县李家团加油站、武阳万福加油站和瓦屋官路加油站三家加油机主板作弊行为；瓦屋三星加油站油品质量不达标。全县共有17家民营加油站，通过本年度成品油“打非治违”专项行动，截止2023年9月，已有8家加油站通过纳税评估流程及自查补报流程补交税款及滞纳金共98.93万元。10月23日，在绿洲广场开展了反走私宣传活动。同时，我们还到学校、企业、社区、村屯等地方进行反走私主题宣传活动。至10月31日，我完成了绥宁县2023年打击走私综合治理工作考核评价材料的整理工作</w:t>
      </w:r>
      <w:r>
        <w:rPr>
          <w:rFonts w:hint="eastAsia" w:ascii="仿宋_GB2312" w:hAnsi="仿宋_GB2312" w:eastAsia="仿宋_GB2312" w:cs="仿宋_GB2312"/>
          <w:sz w:val="32"/>
          <w:szCs w:val="32"/>
          <w:lang w:eastAsia="zh-CN"/>
        </w:rPr>
        <w:t>提交市里，并在</w:t>
      </w:r>
      <w:r>
        <w:rPr>
          <w:rFonts w:hint="eastAsia" w:ascii="仿宋_GB2312" w:hAnsi="仿宋_GB2312" w:eastAsia="仿宋_GB2312" w:cs="仿宋_GB2312"/>
          <w:sz w:val="32"/>
          <w:szCs w:val="32"/>
        </w:rPr>
        <w:t>全市2023年打击走私综合治理工作考核评价工作</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评分为100分，在全市排名第一。</w:t>
      </w:r>
    </w:p>
    <w:p w14:paraId="76D494AF">
      <w:pPr>
        <w:pStyle w:val="15"/>
        <w:keepNext w:val="0"/>
        <w:keepLines w:val="0"/>
        <w:pageBreakBefore w:val="0"/>
        <w:kinsoku/>
        <w:wordWrap/>
        <w:overflowPunct/>
        <w:topLinePunct w:val="0"/>
        <w:autoSpaceDN/>
        <w:bidi w:val="0"/>
        <w:spacing w:line="579" w:lineRule="exact"/>
        <w:ind w:firstLine="482"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楷体" w:hAnsi="楷体" w:eastAsia="楷体" w:cs="楷体"/>
          <w:b/>
          <w:kern w:val="2"/>
          <w:sz w:val="32"/>
          <w:szCs w:val="32"/>
          <w:lang w:val="en-US" w:eastAsia="zh-CN" w:bidi="ar-SA"/>
        </w:rPr>
        <w:t>九）党建引领工作扎实开展。</w:t>
      </w:r>
      <w:r>
        <w:rPr>
          <w:rFonts w:hint="eastAsia" w:ascii="仿宋_GB2312" w:hAnsi="仿宋_GB2312" w:eastAsia="仿宋_GB2312" w:cs="仿宋_GB2312"/>
          <w:sz w:val="32"/>
          <w:szCs w:val="32"/>
        </w:rPr>
        <w:t>我局党委班子成员坚持党建引领作用，增强了组织凝聚力、向心力。</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坚持以习近平新时代中国特色社会主义思想为指导，深入贯彻落实习近平总书记视察湖南重要指示精神，以及党的二十大精神，不断提高领导干部职工的政治站位，深入开展</w:t>
      </w:r>
      <w:r>
        <w:rPr>
          <w:rFonts w:hint="eastAsia" w:ascii="仿宋_GB2312" w:hAnsi="仿宋_GB2312" w:eastAsia="仿宋_GB2312" w:cs="仿宋_GB2312"/>
          <w:sz w:val="32"/>
          <w:szCs w:val="32"/>
          <w:lang w:eastAsia="zh-CN"/>
        </w:rPr>
        <w:t>主题</w:t>
      </w:r>
      <w:r>
        <w:rPr>
          <w:rFonts w:hint="eastAsia" w:ascii="仿宋_GB2312" w:hAnsi="仿宋_GB2312" w:eastAsia="仿宋_GB2312" w:cs="仿宋_GB2312"/>
          <w:sz w:val="32"/>
          <w:szCs w:val="32"/>
        </w:rPr>
        <w:t>教育，并与业务工作相结合，做好“加法”和“减法”。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成立工作专班，组织干部对各支部的党建工作、阵地建设、财务情况进行督促检查和调研，制定公司管理制度，规范财务，督促整改阵地建设不到位，党建工作不真、不实、不到位情况；</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将“主题党日”活动和工会活动、志愿者服务活动、疫情防控、党员进社区、党委理论学习中心组（扩大）会议等工作相结合，转变党员干部工作作风，提升党员干部干事创业的热情，画好党建和业务工作同心圆。</w:t>
      </w:r>
    </w:p>
    <w:p w14:paraId="488346D2">
      <w:pPr>
        <w:pStyle w:val="15"/>
        <w:keepNext w:val="0"/>
        <w:keepLines w:val="0"/>
        <w:pageBreakBefore w:val="0"/>
        <w:kinsoku/>
        <w:wordWrap/>
        <w:overflowPunct/>
        <w:topLinePunct w:val="0"/>
        <w:autoSpaceDN/>
        <w:bidi w:val="0"/>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二、存在的主要困难</w:t>
      </w:r>
    </w:p>
    <w:p w14:paraId="7B1DDDD3">
      <w:pPr>
        <w:pStyle w:val="15"/>
        <w:keepNext w:val="0"/>
        <w:keepLines w:val="0"/>
        <w:pageBreakBefore w:val="0"/>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kern w:val="2"/>
          <w:sz w:val="32"/>
          <w:szCs w:val="32"/>
          <w:lang w:val="en-US" w:eastAsia="zh-CN" w:bidi="ar-SA"/>
        </w:rPr>
        <w:t>1.社零数据方面。</w:t>
      </w:r>
      <w:r>
        <w:rPr>
          <w:rFonts w:hint="eastAsia" w:ascii="仿宋_GB2312" w:hAnsi="仿宋_GB2312" w:eastAsia="仿宋_GB2312" w:cs="仿宋_GB2312"/>
          <w:sz w:val="32"/>
          <w:szCs w:val="32"/>
        </w:rPr>
        <w:t>社会消费品零售总额因今年退库主体较多，共有9家（企业5家，大个体4家），带基数 6000多万，影响累计增速1个多点，所以我们的增速基本上在6-6.5%之间，与市定增速7％任务有差距。</w:t>
      </w:r>
    </w:p>
    <w:p w14:paraId="7223F925">
      <w:pPr>
        <w:keepNext w:val="0"/>
        <w:keepLines w:val="0"/>
        <w:pageBreakBefore w:val="0"/>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shd w:val="clear" w:color="auto" w:fill="auto"/>
          <w:lang w:eastAsia="zh-CN"/>
        </w:rPr>
      </w:pPr>
      <w:r>
        <w:rPr>
          <w:rFonts w:hint="eastAsia" w:ascii="楷体" w:hAnsi="楷体" w:eastAsia="楷体" w:cs="楷体"/>
          <w:b/>
          <w:kern w:val="2"/>
          <w:sz w:val="32"/>
          <w:szCs w:val="32"/>
          <w:lang w:val="en-US" w:eastAsia="zh-CN" w:bidi="ar-SA"/>
        </w:rPr>
        <w:t>2.招商引资保障不够。</w:t>
      </w:r>
      <w:r>
        <w:rPr>
          <w:rFonts w:hint="eastAsia" w:ascii="仿宋_GB2312" w:hAnsi="仿宋_GB2312" w:eastAsia="仿宋_GB2312" w:cs="仿宋_GB2312"/>
          <w:sz w:val="32"/>
          <w:szCs w:val="32"/>
          <w:shd w:val="clear" w:color="auto" w:fill="auto"/>
        </w:rPr>
        <w:t>要素保障不够，可用土地、厂房、政策等要素匹配不够</w:t>
      </w:r>
      <w:r>
        <w:rPr>
          <w:rFonts w:hint="eastAsia" w:ascii="仿宋_GB2312" w:hAnsi="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项目招来了难以落地。</w:t>
      </w:r>
      <w:r>
        <w:rPr>
          <w:rFonts w:hint="eastAsia" w:ascii="仿宋_GB2312" w:hAnsi="仿宋_GB2312" w:cs="仿宋_GB2312"/>
          <w:sz w:val="32"/>
          <w:szCs w:val="32"/>
          <w:shd w:val="clear" w:color="auto" w:fill="auto"/>
          <w:lang w:eastAsia="zh-CN"/>
        </w:rPr>
        <w:t>县商务局招商人才不足导致招商措施、思路欠缺，目前</w:t>
      </w:r>
      <w:r>
        <w:rPr>
          <w:rFonts w:hint="eastAsia" w:ascii="仿宋_GB2312" w:hAnsi="仿宋_GB2312" w:eastAsia="仿宋_GB2312" w:cs="仿宋_GB2312"/>
          <w:sz w:val="32"/>
          <w:szCs w:val="32"/>
        </w:rPr>
        <w:t>县委县政府同意在</w:t>
      </w:r>
      <w:r>
        <w:rPr>
          <w:rFonts w:ascii="仿宋_GB2312" w:hAnsi="仿宋_GB2312" w:eastAsia="仿宋_GB2312" w:cs="仿宋_GB2312"/>
          <w:sz w:val="32"/>
          <w:szCs w:val="32"/>
        </w:rPr>
        <w:t>商务局下属投促中心增加</w:t>
      </w:r>
      <w:r>
        <w:rPr>
          <w:rFonts w:hint="eastAsia" w:ascii="仿宋_GB2312" w:hAnsi="仿宋_GB2312" w:eastAsia="仿宋_GB2312" w:cs="仿宋_GB2312"/>
          <w:sz w:val="32"/>
          <w:szCs w:val="32"/>
        </w:rPr>
        <w:t>5个事业编制</w:t>
      </w:r>
      <w:r>
        <w:rPr>
          <w:rFonts w:ascii="仿宋_GB2312" w:hAnsi="仿宋_GB2312" w:eastAsia="仿宋_GB2312" w:cs="仿宋_GB2312"/>
          <w:sz w:val="32"/>
          <w:szCs w:val="32"/>
        </w:rPr>
        <w:t>，正在编制招考方案。</w:t>
      </w:r>
    </w:p>
    <w:p w14:paraId="7B0AEDF9">
      <w:pPr>
        <w:keepNext w:val="0"/>
        <w:keepLines w:val="0"/>
        <w:pageBreakBefore w:val="0"/>
        <w:kinsoku/>
        <w:wordWrap/>
        <w:overflowPunct/>
        <w:topLinePunct w:val="0"/>
        <w:autoSpaceDN/>
        <w:bidi w:val="0"/>
        <w:adjustRightInd w:val="0"/>
        <w:snapToGrid w:val="0"/>
        <w:spacing w:line="579" w:lineRule="exact"/>
        <w:ind w:firstLine="641"/>
        <w:textAlignment w:val="auto"/>
        <w:rPr>
          <w:rFonts w:hint="eastAsia" w:ascii="仿宋_GB2312" w:hAnsi="仿宋_GB2312" w:eastAsia="仿宋_GB2312" w:cs="仿宋_GB2312"/>
          <w:sz w:val="32"/>
          <w:szCs w:val="32"/>
          <w:shd w:val="clear" w:color="auto" w:fill="auto"/>
        </w:rPr>
      </w:pPr>
      <w:r>
        <w:rPr>
          <w:rFonts w:hint="eastAsia" w:ascii="楷体" w:hAnsi="楷体" w:eastAsia="楷体" w:cs="楷体"/>
          <w:b/>
          <w:kern w:val="2"/>
          <w:sz w:val="32"/>
          <w:szCs w:val="32"/>
          <w:shd w:val="clear" w:color="auto" w:fill="auto"/>
          <w:lang w:val="en-US" w:eastAsia="zh-CN" w:bidi="ar-SA"/>
        </w:rPr>
        <w:t>3.完成开放型经济指标压力大。</w:t>
      </w:r>
      <w:r>
        <w:rPr>
          <w:rFonts w:hint="eastAsia" w:ascii="仿宋_GB2312" w:hAnsi="仿宋_GB2312" w:eastAsia="仿宋_GB2312" w:cs="仿宋_GB2312"/>
          <w:sz w:val="32"/>
          <w:szCs w:val="32"/>
          <w:shd w:val="clear" w:color="auto" w:fill="auto"/>
        </w:rPr>
        <w:t>我县是湘西南边远山区，招商投资难，且极易受市场经济的影响，完成对外贸易经济指标压力大。国际需求复苏势头放缓，订单回流、“宅经济”产品出口等阶段性因素减弱，难以引进外贸企业</w:t>
      </w:r>
      <w:r>
        <w:rPr>
          <w:rFonts w:hint="eastAsia" w:ascii="仿宋_GB2312" w:hAnsi="仿宋_GB2312" w:cs="仿宋_GB2312"/>
          <w:sz w:val="32"/>
          <w:szCs w:val="32"/>
          <w:shd w:val="clear" w:color="auto" w:fill="auto"/>
          <w:lang w:eastAsia="zh-CN"/>
        </w:rPr>
        <w:t>来绥投资</w:t>
      </w:r>
      <w:r>
        <w:rPr>
          <w:rFonts w:hint="eastAsia" w:ascii="仿宋_GB2312" w:hAnsi="仿宋_GB2312" w:eastAsia="仿宋_GB2312" w:cs="仿宋_GB2312"/>
          <w:sz w:val="32"/>
          <w:szCs w:val="32"/>
          <w:shd w:val="clear" w:color="auto" w:fill="auto"/>
        </w:rPr>
        <w:t>，难以引进“三类500强”企业。</w:t>
      </w:r>
    </w:p>
    <w:p w14:paraId="332967D0">
      <w:pPr>
        <w:keepNext w:val="0"/>
        <w:keepLines w:val="0"/>
        <w:pageBreakBefore w:val="0"/>
        <w:kinsoku/>
        <w:wordWrap/>
        <w:overflowPunct/>
        <w:topLinePunct w:val="0"/>
        <w:autoSpaceDN/>
        <w:bidi w:val="0"/>
        <w:spacing w:line="579" w:lineRule="exact"/>
        <w:ind w:firstLine="642"/>
        <w:textAlignment w:val="auto"/>
        <w:rPr>
          <w:rFonts w:hint="eastAsia" w:ascii="仿宋_GB2312" w:hAnsi="仿宋_GB2312" w:eastAsia="仿宋_GB2312" w:cs="仿宋_GB2312"/>
          <w:b/>
          <w:sz w:val="32"/>
          <w:szCs w:val="32"/>
        </w:rPr>
      </w:pPr>
      <w:r>
        <w:rPr>
          <w:rFonts w:hint="eastAsia" w:ascii="楷体" w:hAnsi="楷体" w:eastAsia="楷体" w:cs="楷体"/>
          <w:b/>
          <w:kern w:val="2"/>
          <w:sz w:val="32"/>
          <w:szCs w:val="32"/>
          <w:lang w:val="en-US" w:eastAsia="zh-CN" w:bidi="ar-SA"/>
        </w:rPr>
        <w:t>4.项目建设企业积极性不高。</w:t>
      </w:r>
      <w:r>
        <w:rPr>
          <w:rFonts w:hint="eastAsia" w:ascii="仿宋_GB2312" w:hAnsi="仿宋_GB2312" w:eastAsia="仿宋_GB2312" w:cs="仿宋_GB2312"/>
          <w:sz w:val="32"/>
          <w:szCs w:val="32"/>
        </w:rPr>
        <w:t>商务部门支持的资金每个项目不超过有效投资的30%，从前两年情况看，一般到位10-15%，而且要企业先投资建好验收达标后奖补，因投资较大补贴少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企业意愿不是很强。</w:t>
      </w:r>
    </w:p>
    <w:p w14:paraId="49E4F7E4">
      <w:pPr>
        <w:keepNext w:val="0"/>
        <w:keepLines w:val="0"/>
        <w:pageBreakBefore w:val="0"/>
        <w:kinsoku/>
        <w:wordWrap/>
        <w:overflowPunct/>
        <w:topLinePunct w:val="0"/>
        <w:autoSpaceDN/>
        <w:bidi w:val="0"/>
        <w:spacing w:line="579" w:lineRule="exact"/>
        <w:ind w:firstLine="642"/>
        <w:textAlignment w:val="auto"/>
        <w:rPr>
          <w:rFonts w:hint="eastAsia" w:ascii="仿宋_GB2312" w:hAnsi="仿宋_GB2312" w:eastAsia="仿宋_GB2312" w:cs="仿宋_GB2312"/>
          <w:sz w:val="32"/>
          <w:szCs w:val="32"/>
        </w:rPr>
      </w:pPr>
      <w:r>
        <w:rPr>
          <w:rFonts w:hint="eastAsia" w:ascii="楷体" w:hAnsi="楷体" w:eastAsia="楷体" w:cs="楷体"/>
          <w:b/>
          <w:kern w:val="2"/>
          <w:sz w:val="32"/>
          <w:szCs w:val="32"/>
          <w:lang w:val="en-US" w:eastAsia="zh-CN" w:bidi="ar-SA"/>
        </w:rPr>
        <w:t>5.商贸企业入规入统意愿不足。</w:t>
      </w:r>
      <w:r>
        <w:rPr>
          <w:rFonts w:hint="eastAsia" w:ascii="仿宋_GB2312" w:hAnsi="仿宋_GB2312" w:eastAsia="仿宋_GB2312" w:cs="仿宋_GB2312"/>
          <w:sz w:val="32"/>
          <w:szCs w:val="32"/>
        </w:rPr>
        <w:t>我县符合入规上限要求的企业少，大多规模不够，有些还在建设中。同时一些符合条件的商贸企业因担心税负加重、专人报表、财务工作繁杂等原因，对进入规模企业笼子积极性不高。</w:t>
      </w:r>
    </w:p>
    <w:p w14:paraId="6E816185">
      <w:pPr>
        <w:keepNext w:val="0"/>
        <w:keepLines w:val="0"/>
        <w:pageBreakBefore w:val="0"/>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楷体" w:hAnsi="楷体" w:eastAsia="楷体" w:cs="楷体"/>
          <w:b/>
          <w:kern w:val="2"/>
          <w:sz w:val="32"/>
          <w:szCs w:val="32"/>
          <w:lang w:val="en-US" w:eastAsia="zh-CN" w:bidi="ar-SA"/>
        </w:rPr>
        <w:t>6.县域电子商务方面。</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培训进度相对较慢，需加快技能培训建设进度；持续进行培训后的服务，促进学员创业转</w:t>
      </w:r>
      <w:r>
        <w:rPr>
          <w:rFonts w:hint="eastAsia" w:ascii="仿宋_GB2312" w:hAnsi="仿宋_GB2312" w:cs="仿宋_GB2312"/>
          <w:b w:val="0"/>
          <w:bCs/>
          <w:sz w:val="32"/>
          <w:szCs w:val="32"/>
          <w:lang w:val="en-US" w:eastAsia="zh-CN"/>
        </w:rPr>
        <w:t>化。</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val="0"/>
          <w:bCs/>
          <w:sz w:val="32"/>
          <w:szCs w:val="32"/>
          <w:lang w:val="en-US" w:eastAsia="zh-CN"/>
        </w:rPr>
        <w:t>物流站点快递量还较少，需要持续对接站点站长及快递物流企业，充分整合资源，增加站点快递量。</w:t>
      </w:r>
    </w:p>
    <w:p w14:paraId="4F59CDBF">
      <w:pPr>
        <w:keepNext w:val="0"/>
        <w:keepLines w:val="0"/>
        <w:pageBreakBefore w:val="0"/>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kern w:val="2"/>
          <w:sz w:val="32"/>
          <w:szCs w:val="32"/>
          <w:lang w:val="en-US" w:eastAsia="zh-CN" w:bidi="ar-SA"/>
        </w:rPr>
        <w:t>7.企业安全意识不足。</w:t>
      </w:r>
      <w:r>
        <w:rPr>
          <w:rFonts w:hint="eastAsia" w:ascii="仿宋_GB2312" w:hAnsi="仿宋_GB2312" w:eastAsia="仿宋_GB2312" w:cs="仿宋_GB2312"/>
          <w:sz w:val="32"/>
          <w:szCs w:val="32"/>
        </w:rPr>
        <w:t>有些被抽查的单位大多数能按照省市县安委会和我局的工作要求，部署落实“全面排查、从严整治”等各类专项行动。但也有个别单位重视不够，重生产轻安全思想仍然存在，依靠上级主管部门来推动企业安全隐患排查，对安全生产专项整治三年行动推进工作中存在的一些隐患整改不积极，抱有侥幸心理。</w:t>
      </w:r>
    </w:p>
    <w:p w14:paraId="2FFED088">
      <w:pPr>
        <w:keepNext w:val="0"/>
        <w:keepLines w:val="0"/>
        <w:pageBreakBefore w:val="0"/>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kern w:val="2"/>
          <w:sz w:val="32"/>
          <w:szCs w:val="32"/>
          <w:lang w:val="en-US" w:eastAsia="zh-CN" w:bidi="ar-SA"/>
        </w:rPr>
        <w:t>8.企业安全管理专业性不够，缺乏管理手段。</w:t>
      </w:r>
      <w:r>
        <w:rPr>
          <w:rFonts w:hint="eastAsia" w:ascii="仿宋_GB2312" w:hAnsi="仿宋_GB2312" w:eastAsia="仿宋_GB2312" w:cs="仿宋_GB2312"/>
          <w:sz w:val="32"/>
          <w:szCs w:val="32"/>
        </w:rPr>
        <w:t>个别企业效益普遍不好，没有设置专业的安检部门，管理不规范，出现“悬空”、“不落地”；现场物料摆放随意，时常挤占消防通道；个别单位建立的安全制度照搬照抄，缺乏针对性；安全专项资金投入不够，教育培训不到位，应急准备不足等。</w:t>
      </w:r>
    </w:p>
    <w:p w14:paraId="151DBF46">
      <w:pPr>
        <w:keepNext w:val="0"/>
        <w:keepLines w:val="0"/>
        <w:pageBreakBefore w:val="0"/>
        <w:kinsoku/>
        <w:wordWrap/>
        <w:overflowPunct/>
        <w:topLinePunct w:val="0"/>
        <w:autoSpaceDN/>
        <w:bidi w:val="0"/>
        <w:spacing w:line="579" w:lineRule="exact"/>
        <w:ind w:firstLine="643" w:firstLineChars="200"/>
        <w:textAlignment w:val="auto"/>
        <w:rPr>
          <w:rFonts w:hint="default" w:eastAsia="仿宋_GB2312"/>
          <w:lang w:val="en-US" w:eastAsia="zh-CN"/>
        </w:rPr>
      </w:pPr>
      <w:r>
        <w:rPr>
          <w:rFonts w:hint="eastAsia" w:ascii="楷体" w:hAnsi="楷体" w:eastAsia="楷体" w:cs="楷体"/>
          <w:b/>
          <w:kern w:val="2"/>
          <w:sz w:val="32"/>
          <w:szCs w:val="32"/>
          <w:lang w:val="en-US" w:eastAsia="zh-CN" w:bidi="ar-SA"/>
        </w:rPr>
        <w:t>9.下属公司存在矛盾问题。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下属公司收入来源主要依靠门面租金，除了饮食公司有拆迁款1700万元结余外，其他公司大多是收支平衡，个别公司入不敷出。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下属公司管理人员年龄结构老化。近几年退休的人员非常多，公司党员绝大部分是退休人员，人员只出不进，80后总共只有4人，且不愿意回家，后备力量青黄不接。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历史遗留问题，下岗职工的上岗意愿迫切，退休职工每年领取1.6万—1.8万的奖金，系违规行为但取缔困难，管理混乱。</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信访问题矛盾突出。改制时县政府垫付职工个人养老保险，要求退回，维稳工作压力大。</w:t>
      </w:r>
    </w:p>
    <w:p w14:paraId="43C14729">
      <w:pPr>
        <w:pStyle w:val="15"/>
        <w:keepNext w:val="0"/>
        <w:keepLines w:val="0"/>
        <w:pageBreakBefore w:val="0"/>
        <w:kinsoku/>
        <w:wordWrap/>
        <w:overflowPunct/>
        <w:topLinePunct w:val="0"/>
        <w:autoSpaceDN/>
        <w:bidi w:val="0"/>
        <w:spacing w:line="579" w:lineRule="exact"/>
        <w:ind w:firstLine="640" w:firstLineChars="200"/>
        <w:textAlignment w:val="auto"/>
        <w:rPr>
          <w:rFonts w:hint="eastAsia" w:ascii="黑体" w:hAnsi="黑体" w:eastAsia="黑体" w:cs="黑体"/>
          <w:sz w:val="32"/>
          <w:szCs w:val="32"/>
          <w:shd w:val="clear" w:color="auto" w:fill="auto"/>
        </w:rPr>
      </w:pPr>
      <w:r>
        <w:rPr>
          <w:rFonts w:hint="eastAsia" w:ascii="黑体" w:hAnsi="黑体" w:eastAsia="黑体" w:cs="黑体"/>
          <w:sz w:val="32"/>
          <w:szCs w:val="32"/>
          <w:shd w:val="clear" w:color="auto" w:fill="auto"/>
        </w:rPr>
        <w:t>三、202</w:t>
      </w:r>
      <w:r>
        <w:rPr>
          <w:rFonts w:hint="eastAsia" w:ascii="黑体" w:hAnsi="黑体" w:eastAsia="黑体" w:cs="黑体"/>
          <w:sz w:val="32"/>
          <w:szCs w:val="32"/>
          <w:shd w:val="clear" w:color="auto" w:fill="auto"/>
          <w:lang w:val="en-US" w:eastAsia="zh-CN"/>
        </w:rPr>
        <w:t>4</w:t>
      </w:r>
      <w:r>
        <w:rPr>
          <w:rFonts w:hint="eastAsia" w:ascii="黑体" w:hAnsi="黑体" w:eastAsia="黑体" w:cs="黑体"/>
          <w:sz w:val="32"/>
          <w:szCs w:val="32"/>
          <w:shd w:val="clear" w:color="auto" w:fill="auto"/>
        </w:rPr>
        <w:t>年工作计划</w:t>
      </w:r>
    </w:p>
    <w:p w14:paraId="284D361F">
      <w:pPr>
        <w:keepNext w:val="0"/>
        <w:keepLines w:val="0"/>
        <w:pageBreakBefore w:val="0"/>
        <w:kinsoku/>
        <w:wordWrap/>
        <w:overflowPunct/>
        <w:topLinePunct w:val="0"/>
        <w:autoSpaceDN/>
        <w:bidi w:val="0"/>
        <w:spacing w:line="579"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kern w:val="2"/>
          <w:sz w:val="32"/>
          <w:szCs w:val="32"/>
          <w:lang w:val="en-US" w:eastAsia="zh-CN" w:bidi="ar-SA"/>
        </w:rPr>
        <w:t>1.</w:t>
      </w:r>
      <w:r>
        <w:rPr>
          <w:rFonts w:hint="eastAsia" w:ascii="楷体" w:hAnsi="楷体" w:eastAsia="楷体" w:cs="楷体"/>
          <w:b/>
          <w:sz w:val="32"/>
          <w:szCs w:val="32"/>
        </w:rPr>
        <w:t>加大招商引资力度</w:t>
      </w:r>
      <w:r>
        <w:rPr>
          <w:rFonts w:hint="eastAsia" w:ascii="楷体" w:hAnsi="楷体" w:eastAsia="楷体" w:cs="楷体"/>
          <w:b/>
          <w:sz w:val="32"/>
          <w:szCs w:val="32"/>
          <w:lang w:eastAsia="zh-CN"/>
        </w:rPr>
        <w:t>，</w:t>
      </w:r>
      <w:r>
        <w:rPr>
          <w:rFonts w:hint="eastAsia" w:ascii="楷体" w:hAnsi="楷体" w:eastAsia="楷体" w:cs="楷体"/>
          <w:b/>
          <w:sz w:val="32"/>
          <w:szCs w:val="32"/>
        </w:rPr>
        <w:t>突出重点实施精准招商。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每月精心组织县委县政府主要领导带队的精准招商，确保招优商、招大商。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围绕产业园区“一主一特”旅游产业开展招商。依托竹资源及半成品优势，积极引进引进一批楠竹精深加工规模企业及战略投资者进驻我县，提高楠竹附加值。旅游产业重点突出黄桑、花园阁旅游开发进行招商。</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围绕在谈项目开展有效洽谈对接。进一步完善招商项目库，高质量包装一批招商项目，及时通过各渠道对外发布。根据领导小组对招商项目研究、评审情况，及时更新在谈项目库，切实提高项目洽谈效率。按程序及时出台《绥宁县招商引资政策措施》。</w:t>
      </w:r>
    </w:p>
    <w:p w14:paraId="6CE2A904">
      <w:pPr>
        <w:spacing w:line="579"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kern w:val="2"/>
          <w:sz w:val="32"/>
          <w:szCs w:val="32"/>
          <w:lang w:val="en-US" w:eastAsia="zh-CN" w:bidi="ar-SA"/>
        </w:rPr>
        <w:t>2.</w:t>
      </w:r>
      <w:r>
        <w:rPr>
          <w:rFonts w:hint="eastAsia" w:ascii="楷体" w:hAnsi="楷体" w:eastAsia="楷体" w:cs="楷体"/>
          <w:b/>
          <w:sz w:val="32"/>
          <w:szCs w:val="32"/>
        </w:rPr>
        <w:t>抓好“三重点”考核指标及市招商引资“大比拼活动指标落实。</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加强与统计部门对接，进一步优化上报社零数据结构，力争我县社会消费品零售总额增速全市排6名之内。抓好限上企业培育，争取全年完成8-10家。</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细化分解招商引资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大比拼</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活动指标</w:t>
      </w:r>
      <w:r>
        <w:rPr>
          <w:rFonts w:ascii="仿宋_GB2312" w:hAnsi="仿宋_GB2312" w:eastAsia="仿宋_GB2312" w:cs="仿宋_GB2312"/>
          <w:sz w:val="32"/>
          <w:szCs w:val="32"/>
        </w:rPr>
        <w:t>。对已签约项目明确县级领导、责任单位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落实“</w:t>
      </w:r>
      <w:r>
        <w:rPr>
          <w:rFonts w:hint="eastAsia" w:ascii="仿宋_GB2312" w:hAnsi="仿宋_GB2312" w:eastAsia="仿宋_GB2312" w:cs="仿宋_GB2312"/>
          <w:sz w:val="32"/>
          <w:szCs w:val="32"/>
        </w:rPr>
        <w:t>四率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（履约率</w:t>
      </w:r>
      <w:r>
        <w:rPr>
          <w:rFonts w:ascii="仿宋_GB2312" w:hAnsi="仿宋_GB2312" w:eastAsia="仿宋_GB2312" w:cs="仿宋_GB2312"/>
          <w:sz w:val="32"/>
          <w:szCs w:val="32"/>
        </w:rPr>
        <w:t>、开工率、资金到位率、项目投产率</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在谈项目落实精准对接制度，明确一个项目一套班子，确保有人跟踪、有人服务、有人</w:t>
      </w:r>
      <w:r>
        <w:rPr>
          <w:rFonts w:hint="eastAsia" w:ascii="仿宋_GB2312" w:hAnsi="仿宋_GB2312" w:eastAsia="仿宋_GB2312" w:cs="仿宋_GB2312"/>
          <w:sz w:val="32"/>
          <w:szCs w:val="32"/>
        </w:rPr>
        <w:t>督导</w:t>
      </w:r>
      <w:r>
        <w:rPr>
          <w:rFonts w:ascii="仿宋_GB2312" w:hAnsi="仿宋_GB2312" w:eastAsia="仿宋_GB2312" w:cs="仿宋_GB2312"/>
          <w:sz w:val="32"/>
          <w:szCs w:val="32"/>
        </w:rPr>
        <w:t>。</w:t>
      </w:r>
      <w:r>
        <w:rPr>
          <w:rFonts w:hint="eastAsia" w:ascii="仿宋_GB2312" w:hAnsi="仿宋_GB2312" w:eastAsia="仿宋_GB2312" w:cs="仿宋_GB2312"/>
          <w:b/>
          <w:sz w:val="32"/>
          <w:szCs w:val="32"/>
        </w:rPr>
        <w:t>三是</w:t>
      </w:r>
      <w:r>
        <w:rPr>
          <w:rFonts w:hint="eastAsia" w:ascii="仿宋_GB2312" w:hAnsi="仿宋_GB2312" w:eastAsia="仿宋_GB2312" w:cs="仿宋_GB2312"/>
          <w:bCs/>
          <w:sz w:val="32"/>
          <w:szCs w:val="32"/>
        </w:rPr>
        <w:t>努力做好外经外贸工作。</w:t>
      </w:r>
      <w:r>
        <w:rPr>
          <w:rFonts w:hint="eastAsia" w:ascii="仿宋_GB2312" w:hAnsi="仿宋_GB2312" w:eastAsia="仿宋_GB2312" w:cs="仿宋_GB2312"/>
          <w:sz w:val="32"/>
          <w:szCs w:val="32"/>
        </w:rPr>
        <w:t>积极对接涉外企业</w:t>
      </w:r>
      <w:r>
        <w:rPr>
          <w:rFonts w:ascii="仿宋_GB2312" w:hAnsi="仿宋_GB2312" w:eastAsia="仿宋_GB2312" w:cs="仿宋_GB2312"/>
          <w:sz w:val="32"/>
          <w:szCs w:val="32"/>
        </w:rPr>
        <w:t>鸿登</w:t>
      </w:r>
      <w:r>
        <w:rPr>
          <w:rFonts w:hint="eastAsia" w:ascii="仿宋_GB2312" w:hAnsi="仿宋_GB2312" w:eastAsia="仿宋_GB2312" w:cs="仿宋_GB2312"/>
          <w:sz w:val="32"/>
          <w:szCs w:val="32"/>
        </w:rPr>
        <w:t>铰链、</w:t>
      </w:r>
      <w:r>
        <w:rPr>
          <w:rFonts w:ascii="仿宋_GB2312" w:hAnsi="仿宋_GB2312" w:eastAsia="仿宋_GB2312" w:cs="仿宋_GB2312"/>
          <w:sz w:val="32"/>
          <w:szCs w:val="32"/>
        </w:rPr>
        <w:t>奥地利中国和平统一促进会贸易公司、</w:t>
      </w:r>
      <w:r>
        <w:rPr>
          <w:rFonts w:hint="eastAsia" w:ascii="仿宋_GB2312" w:hAnsi="仿宋_GB2312" w:eastAsia="仿宋_GB2312" w:cs="仿宋_GB2312"/>
          <w:sz w:val="32"/>
          <w:szCs w:val="32"/>
        </w:rPr>
        <w:t>湖南沃佳特</w:t>
      </w:r>
      <w:r>
        <w:rPr>
          <w:rFonts w:ascii="仿宋_GB2312" w:hAnsi="仿宋_GB2312" w:eastAsia="仿宋_GB2312" w:cs="仿宋_GB2312"/>
          <w:sz w:val="32"/>
          <w:szCs w:val="32"/>
        </w:rPr>
        <w:t>科技公司</w:t>
      </w:r>
      <w:r>
        <w:rPr>
          <w:rFonts w:hint="eastAsia" w:ascii="仿宋_GB2312" w:hAnsi="仿宋_GB2312" w:eastAsia="仿宋_GB2312" w:cs="仿宋_GB2312"/>
          <w:sz w:val="32"/>
          <w:szCs w:val="32"/>
        </w:rPr>
        <w:t>等企业</w:t>
      </w:r>
      <w:r>
        <w:rPr>
          <w:rFonts w:ascii="仿宋_GB2312" w:hAnsi="仿宋_GB2312" w:eastAsia="仿宋_GB2312" w:cs="仿宋_GB2312"/>
          <w:sz w:val="32"/>
          <w:szCs w:val="32"/>
        </w:rPr>
        <w:t>开展</w:t>
      </w:r>
      <w:r>
        <w:rPr>
          <w:rFonts w:hint="eastAsia" w:ascii="仿宋_GB2312" w:hAnsi="仿宋_GB2312" w:eastAsia="仿宋_GB2312" w:cs="仿宋_GB2312"/>
          <w:sz w:val="32"/>
          <w:szCs w:val="32"/>
        </w:rPr>
        <w:t>外经外贸工作。</w:t>
      </w:r>
    </w:p>
    <w:p w14:paraId="1D236FFC">
      <w:pPr>
        <w:keepNext w:val="0"/>
        <w:keepLines w:val="0"/>
        <w:pageBreakBefore w:val="0"/>
        <w:kinsoku/>
        <w:wordWrap/>
        <w:overflowPunct/>
        <w:topLinePunct w:val="0"/>
        <w:autoSpaceDN/>
        <w:bidi w:val="0"/>
        <w:adjustRightInd w:val="0"/>
        <w:snapToGrid w:val="0"/>
        <w:spacing w:line="579" w:lineRule="exact"/>
        <w:ind w:firstLine="640"/>
        <w:textAlignment w:val="auto"/>
        <w:rPr>
          <w:rFonts w:hint="eastAsia" w:ascii="仿宋_GB2312" w:hAnsi="仿宋_GB2312" w:eastAsia="仿宋_GB2312" w:cs="仿宋_GB2312"/>
          <w:sz w:val="32"/>
          <w:szCs w:val="32"/>
          <w:shd w:val="clear" w:color="auto" w:fill="auto"/>
        </w:rPr>
      </w:pPr>
      <w:r>
        <w:rPr>
          <w:rFonts w:hint="eastAsia" w:ascii="楷体" w:hAnsi="楷体" w:eastAsia="楷体" w:cs="楷体"/>
          <w:b/>
          <w:kern w:val="2"/>
          <w:sz w:val="32"/>
          <w:szCs w:val="32"/>
          <w:lang w:val="en-US" w:eastAsia="zh-CN" w:bidi="ar-SA"/>
        </w:rPr>
        <w:t xml:space="preserve"> 3.抓好农贸市场建设。</w:t>
      </w:r>
      <w:r>
        <w:rPr>
          <w:rFonts w:hint="eastAsia" w:ascii="仿宋_GB2312" w:hAnsi="仿宋_GB2312" w:eastAsia="仿宋_GB2312" w:cs="仿宋_GB2312"/>
          <w:sz w:val="32"/>
          <w:szCs w:val="32"/>
          <w:shd w:val="clear" w:color="auto" w:fill="auto"/>
        </w:rPr>
        <w:t>围绕“四城同创”要求和市民的需要，以中心市场改造为重点示范带动，进一步完善县城农贸市场布局。</w:t>
      </w:r>
      <w:r>
        <w:rPr>
          <w:rFonts w:hint="eastAsia" w:ascii="仿宋_GB2312" w:hAnsi="仿宋_GB2312" w:eastAsia="仿宋_GB2312" w:cs="仿宋_GB2312"/>
          <w:sz w:val="32"/>
          <w:szCs w:val="32"/>
        </w:rPr>
        <w:t>确定县城中心市场建设方案，争取下半年开工建设</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启动绿洲市场建设</w:t>
      </w: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rPr>
        <w:t>汽车北站农贸市场，督促加快前期工作，争取2024年2月份开工建设</w:t>
      </w:r>
      <w:r>
        <w:rPr>
          <w:rFonts w:hint="eastAsia" w:ascii="仿宋_GB2312" w:hAnsi="仿宋_GB2312" w:eastAsia="仿宋_GB2312" w:cs="仿宋_GB2312"/>
          <w:sz w:val="32"/>
          <w:szCs w:val="32"/>
          <w:lang w:eastAsia="zh-CN"/>
        </w:rPr>
        <w:t>，对于</w:t>
      </w:r>
      <w:r>
        <w:rPr>
          <w:rFonts w:hint="eastAsia" w:ascii="仿宋_GB2312" w:hAnsi="仿宋_GB2312" w:eastAsia="仿宋_GB2312" w:cs="仿宋_GB2312"/>
          <w:sz w:val="32"/>
          <w:szCs w:val="32"/>
        </w:rPr>
        <w:t>武阳市场，</w:t>
      </w:r>
      <w:r>
        <w:rPr>
          <w:rFonts w:hint="eastAsia" w:ascii="仿宋_GB2312" w:hAnsi="仿宋_GB2312" w:eastAsia="仿宋_GB2312" w:cs="仿宋_GB2312"/>
          <w:sz w:val="32"/>
          <w:szCs w:val="32"/>
          <w:lang w:eastAsia="zh-CN"/>
        </w:rPr>
        <w:t>计划在</w:t>
      </w:r>
      <w:r>
        <w:rPr>
          <w:rFonts w:hint="eastAsia" w:ascii="仿宋_GB2312" w:hAnsi="仿宋_GB2312" w:eastAsia="仿宋_GB2312" w:cs="仿宋_GB2312"/>
          <w:sz w:val="32"/>
          <w:szCs w:val="32"/>
        </w:rPr>
        <w:t>2024年3月启动拆迁，6月开工建设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红岩市场上半年开工并完成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金屋、瓦屋完成征地。</w:t>
      </w:r>
    </w:p>
    <w:p w14:paraId="49F11547">
      <w:pPr>
        <w:keepNext w:val="0"/>
        <w:keepLines w:val="0"/>
        <w:pageBreakBefore w:val="0"/>
        <w:kinsoku/>
        <w:wordWrap/>
        <w:overflowPunct/>
        <w:topLinePunct w:val="0"/>
        <w:autoSpaceDN/>
        <w:bidi w:val="0"/>
        <w:adjustRightInd w:val="0"/>
        <w:snapToGrid w:val="0"/>
        <w:spacing w:line="579" w:lineRule="exact"/>
        <w:ind w:firstLine="640"/>
        <w:textAlignment w:val="auto"/>
        <w:rPr>
          <w:rFonts w:hint="eastAsia" w:ascii="仿宋_GB2312" w:hAnsi="仿宋_GB2312" w:eastAsia="仿宋_GB2312" w:cs="仿宋_GB2312"/>
          <w:b/>
          <w:sz w:val="32"/>
          <w:szCs w:val="32"/>
          <w:shd w:val="clear" w:color="auto" w:fill="auto"/>
        </w:rPr>
      </w:pPr>
      <w:r>
        <w:rPr>
          <w:rFonts w:hint="eastAsia" w:ascii="仿宋_GB2312" w:hAnsi="仿宋_GB2312" w:eastAsia="仿宋_GB2312" w:cs="仿宋_GB2312"/>
          <w:b/>
          <w:sz w:val="32"/>
          <w:szCs w:val="32"/>
          <w:shd w:val="clear" w:color="auto" w:fill="auto"/>
        </w:rPr>
        <w:t>4.</w:t>
      </w:r>
      <w:r>
        <w:rPr>
          <w:rFonts w:hint="eastAsia" w:ascii="仿宋_GB2312" w:hAnsi="仿宋_GB2312" w:cs="仿宋_GB2312"/>
          <w:b/>
          <w:sz w:val="32"/>
          <w:szCs w:val="32"/>
          <w:shd w:val="clear" w:color="auto" w:fill="auto"/>
          <w:lang w:eastAsia="zh-CN"/>
        </w:rPr>
        <w:t>做好</w:t>
      </w:r>
      <w:r>
        <w:rPr>
          <w:rFonts w:hint="eastAsia" w:ascii="楷体" w:hAnsi="楷体" w:eastAsia="楷体" w:cs="楷体"/>
          <w:b/>
          <w:kern w:val="2"/>
          <w:sz w:val="32"/>
          <w:szCs w:val="32"/>
          <w:lang w:val="en-US" w:eastAsia="zh-CN" w:bidi="ar-SA"/>
        </w:rPr>
        <w:t>社零数据统计及限上企业入规工作。</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落实限上企业奖励政策，强化统计业务培训，指导企业优化上报数据结构，提升数据质量。</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抓好限上企业培育，走访培育意向企业，对已达标企业及时完善相关资料组织申报，争取全年完成10-15家。</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加强与各级统计部门工作对接，适时了解限上、限下数据动态。</w:t>
      </w:r>
      <w:r>
        <w:rPr>
          <w:rFonts w:hint="eastAsia" w:ascii="仿宋_GB2312" w:hAnsi="仿宋_GB2312" w:eastAsia="仿宋_GB2312" w:cs="仿宋_GB2312"/>
          <w:sz w:val="32"/>
          <w:szCs w:val="32"/>
          <w:lang w:val="en-US" w:eastAsia="zh-CN"/>
        </w:rPr>
        <w:t xml:space="preserve">                                                                                                                                                                                                                                                                                                                                                                                                                                                                                                                                                                                                                                                                                                                                                                                                                                                                                                                                                                                                                                                                                                                                                                                                                                                                                                                                                                                                                                                                                                                                                                                                                                                                                                                                                                                                                                                                                                                                                                                                                                                                                                                                                                                                                                                                                                                                                                                                                                                                                                                                                                                                                                                                                                                                                                                                                                                                                                                                                                                                                                                                                                                                                                                                                                                                                                                                                                                                                                                                                                                                                                                                                                                                                                                                                                                                                                                    </w:t>
      </w:r>
    </w:p>
    <w:p w14:paraId="2D94366D">
      <w:pPr>
        <w:keepNext w:val="0"/>
        <w:keepLines w:val="0"/>
        <w:pageBreakBefore w:val="0"/>
        <w:kinsoku/>
        <w:wordWrap/>
        <w:overflowPunct/>
        <w:topLinePunct w:val="0"/>
        <w:autoSpaceDN/>
        <w:bidi w:val="0"/>
        <w:adjustRightInd w:val="0"/>
        <w:snapToGrid w:val="0"/>
        <w:spacing w:line="579"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shd w:val="clear" w:color="auto" w:fill="auto"/>
          <w:lang w:val="en-US" w:eastAsia="zh-CN"/>
        </w:rPr>
        <w:t>5</w:t>
      </w:r>
      <w:r>
        <w:rPr>
          <w:rFonts w:hint="eastAsia" w:ascii="仿宋_GB2312" w:hAnsi="仿宋_GB2312" w:eastAsia="仿宋_GB2312" w:cs="仿宋_GB2312"/>
          <w:b/>
          <w:sz w:val="32"/>
          <w:szCs w:val="32"/>
          <w:shd w:val="clear" w:color="auto" w:fill="auto"/>
        </w:rPr>
        <w:t>.</w:t>
      </w:r>
      <w:r>
        <w:rPr>
          <w:rFonts w:hint="eastAsia" w:ascii="楷体" w:hAnsi="楷体" w:eastAsia="楷体" w:cs="楷体"/>
          <w:b/>
          <w:kern w:val="2"/>
          <w:sz w:val="32"/>
          <w:szCs w:val="32"/>
          <w:lang w:val="en-US" w:eastAsia="zh-CN" w:bidi="ar-SA"/>
        </w:rPr>
        <w:t>强力推进电子商务进农村综合示范县项目实施。</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继续对电子商务公共服务中心进行日常运营管理；统筹农产品进城和工业品下乡的进度，为乡镇、村级电商服务站点提供运营指导服务；持续运营好O2O展示展销馆。引进新的农产品电商销售企业和电商服务企业，加强电商公共服务中心基础性运营服务。</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sz w:val="32"/>
          <w:szCs w:val="32"/>
          <w:shd w:val="clear" w:color="auto" w:fill="auto"/>
          <w:lang w:val="en-US" w:eastAsia="zh-CN"/>
        </w:rPr>
        <w:t>是</w:t>
      </w:r>
      <w:r>
        <w:rPr>
          <w:rFonts w:hint="eastAsia" w:ascii="仿宋_GB2312" w:hAnsi="仿宋_GB2312" w:eastAsia="仿宋_GB2312" w:cs="仿宋_GB2312"/>
          <w:sz w:val="32"/>
          <w:szCs w:val="32"/>
          <w:lang w:val="en-US" w:eastAsia="zh-CN"/>
        </w:rPr>
        <w:t>加强对站点的巡查，实行淘汰制度，对已关店歇业的站点进行淘汰，并筛选出新的站点进行运营指导。对站点设备进行维护，查漏补缺新设备。</w:t>
      </w:r>
      <w:r>
        <w:rPr>
          <w:rFonts w:hint="eastAsia" w:ascii="仿宋_GB2312" w:hAnsi="仿宋_GB2312" w:eastAsia="仿宋_GB2312" w:cs="仿宋_GB2312"/>
          <w:b/>
          <w:sz w:val="32"/>
          <w:szCs w:val="32"/>
          <w:shd w:val="clear" w:color="auto" w:fill="auto"/>
          <w:lang w:val="en-US" w:eastAsia="zh-CN"/>
        </w:rPr>
        <w:t>三是</w:t>
      </w:r>
      <w:r>
        <w:rPr>
          <w:rFonts w:hint="eastAsia" w:ascii="仿宋_GB2312" w:hAnsi="仿宋_GB2312" w:eastAsia="仿宋_GB2312" w:cs="仿宋_GB2312"/>
          <w:sz w:val="32"/>
          <w:szCs w:val="32"/>
          <w:lang w:val="en-US" w:eastAsia="zh-CN"/>
        </w:rPr>
        <w:t>继续引导整合新的商贸物流企业，拓展物流市场，降低物流成本，提升配送效率。</w:t>
      </w:r>
      <w:r>
        <w:rPr>
          <w:rFonts w:hint="eastAsia" w:ascii="仿宋_GB2312" w:hAnsi="仿宋_GB2312" w:eastAsia="仿宋_GB2312" w:cs="仿宋_GB2312"/>
          <w:b/>
          <w:sz w:val="32"/>
          <w:szCs w:val="32"/>
          <w:shd w:val="clear" w:color="auto" w:fill="auto"/>
          <w:lang w:val="en-US" w:eastAsia="zh-CN"/>
        </w:rPr>
        <w:t>四是</w:t>
      </w:r>
      <w:r>
        <w:rPr>
          <w:rFonts w:hint="eastAsia" w:ascii="仿宋_GB2312" w:hAnsi="仿宋_GB2312" w:eastAsia="仿宋_GB2312" w:cs="仿宋_GB2312"/>
          <w:sz w:val="32"/>
          <w:szCs w:val="32"/>
          <w:lang w:val="en-US" w:eastAsia="zh-CN"/>
        </w:rPr>
        <w:t>继续下乡入村开展剩余92场电商普及培训，实现普及培训行政村全覆盖。大力推进技能培训，每个月至少开展一场技能培训。五是2024年年初举办线上线下“电商年货节”活动和农产品进商超活动。</w:t>
      </w:r>
    </w:p>
    <w:p w14:paraId="78E433F4">
      <w:pPr>
        <w:keepNext w:val="0"/>
        <w:keepLines w:val="0"/>
        <w:pageBreakBefore w:val="0"/>
        <w:kinsoku/>
        <w:wordWrap/>
        <w:overflowPunct/>
        <w:topLinePunct w:val="0"/>
        <w:autoSpaceDE w:val="0"/>
        <w:autoSpaceDN/>
        <w:bidi w:val="0"/>
        <w:spacing w:line="579"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shd w:val="clear" w:color="auto" w:fill="auto"/>
          <w:lang w:val="en-US" w:eastAsia="zh-CN"/>
        </w:rPr>
        <w:t>6.</w:t>
      </w:r>
      <w:r>
        <w:rPr>
          <w:rFonts w:hint="eastAsia" w:ascii="楷体" w:hAnsi="楷体" w:eastAsia="楷体" w:cs="楷体"/>
          <w:b/>
          <w:kern w:val="2"/>
          <w:sz w:val="32"/>
          <w:szCs w:val="32"/>
          <w:lang w:val="en-US" w:eastAsia="zh-CN" w:bidi="ar-SA"/>
        </w:rPr>
        <w:t>进一步抓好安全生产、强化行业管理。</w:t>
      </w:r>
      <w:r>
        <w:rPr>
          <w:rFonts w:hint="eastAsia" w:ascii="仿宋_GB2312" w:hAnsi="仿宋_GB2312" w:eastAsia="仿宋_GB2312" w:cs="仿宋_GB2312"/>
          <w:b/>
          <w:sz w:val="32"/>
          <w:szCs w:val="32"/>
          <w:shd w:val="clear" w:color="auto" w:fill="auto"/>
          <w:lang w:eastAsia="zh-CN"/>
        </w:rPr>
        <w:t>一是</w:t>
      </w:r>
      <w:r>
        <w:rPr>
          <w:rFonts w:hint="eastAsia" w:ascii="仿宋_GB2312" w:hAnsi="仿宋_GB2312" w:eastAsia="仿宋_GB2312" w:cs="仿宋_GB2312"/>
          <w:sz w:val="32"/>
          <w:szCs w:val="32"/>
        </w:rPr>
        <w:t>进一步巩固好“管行业必须管安全”整治成果，着力抓好2023年下阶段的安全防范工作，继续保持安全生产高压态势，坚决杜绝各类安全事故的发生。</w:t>
      </w:r>
      <w:r>
        <w:rPr>
          <w:rFonts w:hint="eastAsia" w:ascii="仿宋_GB2312" w:hAnsi="仿宋_GB2312" w:eastAsia="仿宋_GB2312" w:cs="仿宋_GB2312"/>
          <w:b/>
          <w:sz w:val="32"/>
          <w:szCs w:val="32"/>
          <w:shd w:val="clear" w:color="auto" w:fill="auto"/>
          <w:lang w:eastAsia="zh-CN"/>
        </w:rPr>
        <w:t>二是</w:t>
      </w:r>
      <w:r>
        <w:rPr>
          <w:rFonts w:hint="eastAsia" w:ascii="仿宋_GB2312" w:hAnsi="仿宋_GB2312" w:eastAsia="仿宋_GB2312" w:cs="仿宋_GB2312"/>
          <w:sz w:val="32"/>
          <w:szCs w:val="32"/>
        </w:rPr>
        <w:t>加强安全隐患的整改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对在“全面排查，从严整治”行动中，发现的安全隐患逐一清理建立台账，采取回头看的形式，严防隐患整改后再次反弹。</w:t>
      </w:r>
      <w:r>
        <w:rPr>
          <w:rFonts w:hint="eastAsia" w:ascii="仿宋_GB2312" w:hAnsi="仿宋_GB2312" w:eastAsia="仿宋_GB2312" w:cs="仿宋_GB2312"/>
          <w:b/>
          <w:sz w:val="32"/>
          <w:szCs w:val="32"/>
          <w:shd w:val="clear" w:color="auto" w:fill="auto"/>
          <w:lang w:eastAsia="zh-CN"/>
        </w:rPr>
        <w:t>三是</w:t>
      </w:r>
      <w:r>
        <w:rPr>
          <w:rFonts w:hint="eastAsia" w:ascii="仿宋_GB2312" w:hAnsi="仿宋_GB2312" w:eastAsia="仿宋_GB2312" w:cs="仿宋_GB2312"/>
          <w:b w:val="0"/>
          <w:bCs/>
          <w:sz w:val="32"/>
          <w:szCs w:val="32"/>
          <w:shd w:val="clear" w:color="auto" w:fill="auto"/>
          <w:lang w:eastAsia="zh-CN"/>
        </w:rPr>
        <w:t>加</w:t>
      </w:r>
      <w:r>
        <w:rPr>
          <w:rFonts w:hint="eastAsia" w:ascii="仿宋_GB2312" w:hAnsi="仿宋_GB2312" w:eastAsia="仿宋_GB2312" w:cs="仿宋_GB2312"/>
          <w:sz w:val="32"/>
          <w:szCs w:val="32"/>
        </w:rPr>
        <w:t>强与相关部门的联合执法力度，尤其是对难点、重点安全隐患加强政府部门之间联合执法，利用行政杠杆，督促各单位落实好安全生产专项整治，推进工作主体责任。</w:t>
      </w:r>
      <w:r>
        <w:rPr>
          <w:rFonts w:hint="eastAsia" w:ascii="仿宋_GB2312" w:hAnsi="仿宋_GB2312" w:eastAsia="仿宋_GB2312" w:cs="仿宋_GB2312"/>
          <w:b/>
          <w:sz w:val="32"/>
          <w:szCs w:val="32"/>
          <w:shd w:val="clear" w:color="auto" w:fill="auto"/>
          <w:lang w:eastAsia="zh-CN"/>
        </w:rPr>
        <w:t>四是</w:t>
      </w:r>
      <w:r>
        <w:rPr>
          <w:rFonts w:hint="eastAsia" w:ascii="仿宋_GB2312" w:hAnsi="仿宋_GB2312" w:eastAsia="仿宋_GB2312" w:cs="仿宋_GB2312"/>
          <w:sz w:val="32"/>
          <w:szCs w:val="32"/>
        </w:rPr>
        <w:t>进一步对非法经营成品油行为予以重打击，零容忍、严查处。</w:t>
      </w:r>
    </w:p>
    <w:p w14:paraId="6701789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43"/>
        <w:jc w:val="both"/>
        <w:rPr>
          <w:rFonts w:hint="default" w:ascii="仿宋_GB2312" w:hAnsi="仿宋_GB2312" w:eastAsia="仿宋_GB2312" w:cs="仿宋_GB2312"/>
          <w:kern w:val="2"/>
          <w:sz w:val="32"/>
          <w:szCs w:val="32"/>
          <w:lang w:val="en-US" w:eastAsia="zh-CN" w:bidi="ar-SA"/>
        </w:rPr>
      </w:pPr>
      <w:r>
        <w:rPr>
          <w:rFonts w:hint="eastAsia" w:ascii="楷体" w:hAnsi="楷体" w:eastAsia="楷体" w:cs="楷体"/>
          <w:b/>
          <w:bCs/>
          <w:kern w:val="2"/>
          <w:sz w:val="32"/>
          <w:szCs w:val="32"/>
          <w:lang w:val="en-US" w:eastAsia="zh-CN" w:bidi="ar-SA"/>
        </w:rPr>
        <w:t>7.维护商务系统大局稳定。</w:t>
      </w:r>
      <w:r>
        <w:rPr>
          <w:rFonts w:hint="eastAsia" w:ascii="仿宋_GB2312" w:hAnsi="仿宋_GB2312" w:eastAsia="仿宋_GB2312" w:cs="仿宋_GB2312"/>
          <w:kern w:val="2"/>
          <w:sz w:val="32"/>
          <w:szCs w:val="32"/>
          <w:lang w:val="en-US" w:eastAsia="zh-CN" w:bidi="ar-SA"/>
        </w:rPr>
        <w:t>县商务系统困难企业多、下岗职工多，矛盾十分突出。局领导班子想方设法为特困企业排忧解难，确保重大活动期间零上访、零进京，为全县大局稳定作贡献；全力做好信访、维稳、创建文明县城等工作。加强对商场、超市、加油站、酒店住宿业等开展安全生产检查，抓好隐患整改。继续落实环保工作职责，开展大气污染综合治理，加快推动加油站防渗漏设施的改造。</w:t>
      </w:r>
    </w:p>
    <w:p w14:paraId="578ECAAE">
      <w:pPr>
        <w:keepNext w:val="0"/>
        <w:keepLines w:val="0"/>
        <w:pageBreakBefore w:val="0"/>
        <w:kinsoku/>
        <w:wordWrap/>
        <w:overflowPunct/>
        <w:topLinePunct w:val="0"/>
        <w:autoSpaceDE w:val="0"/>
        <w:autoSpaceDN/>
        <w:bidi w:val="0"/>
        <w:spacing w:line="579" w:lineRule="exact"/>
        <w:ind w:firstLine="640"/>
        <w:textAlignment w:val="auto"/>
        <w:rPr>
          <w:rFonts w:hint="default" w:eastAsia="仿宋_GB2312"/>
          <w:lang w:val="en-US" w:eastAsia="zh-CN"/>
        </w:rPr>
      </w:pPr>
    </w:p>
    <w:p w14:paraId="0452EEE7">
      <w:pPr>
        <w:pStyle w:val="15"/>
        <w:spacing w:line="579" w:lineRule="exact"/>
        <w:rPr>
          <w:rFonts w:ascii="仿宋" w:hAnsi="仿宋" w:eastAsia="仿宋"/>
          <w:shd w:val="clear" w:color="auto" w:fill="auto"/>
        </w:rPr>
      </w:pPr>
      <w:r>
        <w:rPr>
          <w:rFonts w:hint="eastAsia"/>
          <w:shd w:val="clear" w:color="auto" w:fill="auto"/>
        </w:rPr>
        <w:t xml:space="preserve">                                </w:t>
      </w:r>
      <w:r>
        <w:rPr>
          <w:rFonts w:hint="eastAsia"/>
          <w:shd w:val="clear" w:color="auto" w:fill="auto"/>
          <w:lang w:val="en-US" w:eastAsia="zh-CN"/>
        </w:rPr>
        <w:t xml:space="preserve"> </w:t>
      </w:r>
      <w:r>
        <w:rPr>
          <w:rFonts w:hint="eastAsia"/>
          <w:shd w:val="clear" w:color="auto" w:fill="auto"/>
        </w:rPr>
        <w:t xml:space="preserve"> </w:t>
      </w:r>
      <w:r>
        <w:rPr>
          <w:rFonts w:hint="eastAsia" w:ascii="仿宋" w:hAnsi="仿宋" w:eastAsia="仿宋"/>
          <w:shd w:val="clear" w:color="auto" w:fill="auto"/>
        </w:rPr>
        <w:t>绥</w:t>
      </w:r>
      <w:r>
        <w:rPr>
          <w:rFonts w:ascii="仿宋" w:hAnsi="仿宋" w:eastAsia="仿宋"/>
          <w:shd w:val="clear" w:color="auto" w:fill="auto"/>
        </w:rPr>
        <w:t>宁县商务局</w:t>
      </w:r>
    </w:p>
    <w:p w14:paraId="0855C9E7">
      <w:pPr>
        <w:pStyle w:val="15"/>
        <w:spacing w:line="579" w:lineRule="exact"/>
        <w:rPr>
          <w:rFonts w:ascii="仿宋" w:hAnsi="仿宋" w:eastAsia="仿宋"/>
          <w:shd w:val="clear" w:color="auto" w:fill="auto"/>
        </w:rPr>
      </w:pPr>
      <w:r>
        <w:rPr>
          <w:rFonts w:hint="eastAsia" w:ascii="仿宋" w:hAnsi="仿宋" w:eastAsia="仿宋"/>
          <w:shd w:val="clear" w:color="auto" w:fill="auto"/>
        </w:rPr>
        <w:t xml:space="preserve">                               </w:t>
      </w:r>
      <w:r>
        <w:rPr>
          <w:rFonts w:hint="eastAsia" w:ascii="仿宋" w:hAnsi="仿宋" w:eastAsia="仿宋"/>
          <w:shd w:val="clear" w:color="auto" w:fill="auto"/>
          <w:lang w:val="en-US" w:eastAsia="zh-CN"/>
        </w:rPr>
        <w:t xml:space="preserve"> </w:t>
      </w:r>
      <w:r>
        <w:rPr>
          <w:rFonts w:hint="eastAsia" w:ascii="仿宋" w:hAnsi="仿宋" w:eastAsia="仿宋"/>
          <w:shd w:val="clear" w:color="auto" w:fill="auto"/>
        </w:rPr>
        <w:t>202</w:t>
      </w:r>
      <w:r>
        <w:rPr>
          <w:rFonts w:hint="eastAsia" w:ascii="仿宋" w:hAnsi="仿宋" w:eastAsia="仿宋"/>
          <w:shd w:val="clear" w:color="auto" w:fill="auto"/>
          <w:lang w:val="en-US" w:eastAsia="zh-CN"/>
        </w:rPr>
        <w:t>3</w:t>
      </w:r>
      <w:r>
        <w:rPr>
          <w:rFonts w:hint="eastAsia" w:ascii="仿宋" w:hAnsi="仿宋" w:eastAsia="仿宋"/>
          <w:shd w:val="clear" w:color="auto" w:fill="auto"/>
        </w:rPr>
        <w:t>年1</w:t>
      </w:r>
      <w:r>
        <w:rPr>
          <w:rFonts w:hint="eastAsia" w:ascii="仿宋" w:hAnsi="仿宋" w:eastAsia="仿宋"/>
          <w:shd w:val="clear" w:color="auto" w:fill="auto"/>
          <w:lang w:val="en-US" w:eastAsia="zh-CN"/>
        </w:rPr>
        <w:t>1</w:t>
      </w:r>
      <w:r>
        <w:rPr>
          <w:rFonts w:hint="eastAsia" w:ascii="仿宋" w:hAnsi="仿宋" w:eastAsia="仿宋"/>
          <w:shd w:val="clear" w:color="auto" w:fill="auto"/>
        </w:rPr>
        <w:t>月</w:t>
      </w:r>
      <w:r>
        <w:rPr>
          <w:rFonts w:hint="eastAsia" w:ascii="仿宋" w:hAnsi="仿宋" w:eastAsia="仿宋"/>
          <w:shd w:val="clear" w:color="auto" w:fill="auto"/>
          <w:lang w:val="en-US" w:eastAsia="zh-CN"/>
        </w:rPr>
        <w:t>14</w:t>
      </w:r>
      <w:r>
        <w:rPr>
          <w:rFonts w:hint="eastAsia" w:ascii="仿宋" w:hAnsi="仿宋" w:eastAsia="仿宋"/>
          <w:shd w:val="clear" w:color="auto" w:fill="auto"/>
        </w:rPr>
        <w:t>日</w:t>
      </w:r>
    </w:p>
    <w:sectPr>
      <w:footerReference r:id="rId3" w:type="default"/>
      <w:footerReference r:id="rId4" w:type="even"/>
      <w:pgSz w:w="11906" w:h="16838"/>
      <w:pgMar w:top="1814" w:right="1417" w:bottom="1814" w:left="141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570899"/>
    </w:sdtPr>
    <w:sdtContent>
      <w:p w14:paraId="70479196">
        <w:pPr>
          <w:pStyle w:val="8"/>
          <w:jc w:val="right"/>
        </w:pPr>
        <w:r>
          <w:fldChar w:fldCharType="begin"/>
        </w:r>
        <w:r>
          <w:instrText xml:space="preserve">PAGE   \* MERGEFORMAT</w:instrText>
        </w:r>
        <w:r>
          <w:fldChar w:fldCharType="separate"/>
        </w:r>
        <w:r>
          <w:rPr>
            <w:lang w:val="zh-CN"/>
          </w:rPr>
          <w:t>-</w:t>
        </w:r>
        <w:r>
          <w:t xml:space="preserve"> 1 -</w:t>
        </w:r>
        <w:r>
          <w:fldChar w:fldCharType="end"/>
        </w:r>
      </w:p>
    </w:sdtContent>
  </w:sdt>
  <w:p w14:paraId="49C3CDC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0822282"/>
    </w:sdtPr>
    <w:sdtContent>
      <w:p w14:paraId="45FD112C">
        <w:pPr>
          <w:pStyle w:val="8"/>
        </w:pPr>
        <w:r>
          <w:fldChar w:fldCharType="begin"/>
        </w:r>
        <w:r>
          <w:instrText xml:space="preserve">PAGE   \* MERGEFORMAT</w:instrText>
        </w:r>
        <w:r>
          <w:fldChar w:fldCharType="separate"/>
        </w:r>
        <w:r>
          <w:rPr>
            <w:lang w:val="zh-CN"/>
          </w:rPr>
          <w:t>-</w:t>
        </w:r>
        <w:r>
          <w:t xml:space="preserve"> 2 -</w:t>
        </w:r>
        <w:r>
          <w:fldChar w:fldCharType="end"/>
        </w:r>
      </w:p>
    </w:sdtContent>
  </w:sdt>
  <w:p w14:paraId="64D9E500">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MGJlMGFlNDJkNTc5MDI2MzE3ZjQ1MDAzNTYzNjUifQ=="/>
  </w:docVars>
  <w:rsids>
    <w:rsidRoot w:val="4EC15BF8"/>
    <w:rsid w:val="00006B6C"/>
    <w:rsid w:val="00016720"/>
    <w:rsid w:val="00017819"/>
    <w:rsid w:val="00020438"/>
    <w:rsid w:val="00027DF7"/>
    <w:rsid w:val="00036455"/>
    <w:rsid w:val="0004353A"/>
    <w:rsid w:val="0005398F"/>
    <w:rsid w:val="000D07E2"/>
    <w:rsid w:val="000E731E"/>
    <w:rsid w:val="000E7A3E"/>
    <w:rsid w:val="000F3D5E"/>
    <w:rsid w:val="00112E92"/>
    <w:rsid w:val="0012141F"/>
    <w:rsid w:val="001408D1"/>
    <w:rsid w:val="00162D78"/>
    <w:rsid w:val="00166F16"/>
    <w:rsid w:val="001744A7"/>
    <w:rsid w:val="001B1377"/>
    <w:rsid w:val="002415AA"/>
    <w:rsid w:val="00247C5A"/>
    <w:rsid w:val="00264C13"/>
    <w:rsid w:val="00265DD1"/>
    <w:rsid w:val="002B43D7"/>
    <w:rsid w:val="002C0B1D"/>
    <w:rsid w:val="002E1821"/>
    <w:rsid w:val="00312657"/>
    <w:rsid w:val="00326DA1"/>
    <w:rsid w:val="00351EAD"/>
    <w:rsid w:val="00352DBC"/>
    <w:rsid w:val="00367B0C"/>
    <w:rsid w:val="00371124"/>
    <w:rsid w:val="003C0574"/>
    <w:rsid w:val="003C6D44"/>
    <w:rsid w:val="003E5D58"/>
    <w:rsid w:val="003F1CF2"/>
    <w:rsid w:val="0042011E"/>
    <w:rsid w:val="00433CAF"/>
    <w:rsid w:val="0043548E"/>
    <w:rsid w:val="00447684"/>
    <w:rsid w:val="00484ECA"/>
    <w:rsid w:val="00492C64"/>
    <w:rsid w:val="0049340C"/>
    <w:rsid w:val="0049420E"/>
    <w:rsid w:val="004A5236"/>
    <w:rsid w:val="004B37BF"/>
    <w:rsid w:val="004C284F"/>
    <w:rsid w:val="004D3F5E"/>
    <w:rsid w:val="004E5A07"/>
    <w:rsid w:val="004E7D3C"/>
    <w:rsid w:val="0052225E"/>
    <w:rsid w:val="00525AD4"/>
    <w:rsid w:val="00533753"/>
    <w:rsid w:val="00537188"/>
    <w:rsid w:val="00542E14"/>
    <w:rsid w:val="005575F7"/>
    <w:rsid w:val="00565D59"/>
    <w:rsid w:val="005B1F7B"/>
    <w:rsid w:val="005B3F05"/>
    <w:rsid w:val="006045A6"/>
    <w:rsid w:val="006207F4"/>
    <w:rsid w:val="00646B4A"/>
    <w:rsid w:val="00661642"/>
    <w:rsid w:val="00665BA3"/>
    <w:rsid w:val="006750FD"/>
    <w:rsid w:val="006927CA"/>
    <w:rsid w:val="006A3DE7"/>
    <w:rsid w:val="006A625A"/>
    <w:rsid w:val="006C1234"/>
    <w:rsid w:val="006C6E3E"/>
    <w:rsid w:val="006E040D"/>
    <w:rsid w:val="006F33A1"/>
    <w:rsid w:val="006F7464"/>
    <w:rsid w:val="007057EF"/>
    <w:rsid w:val="00726290"/>
    <w:rsid w:val="00727C44"/>
    <w:rsid w:val="0079038B"/>
    <w:rsid w:val="007A3009"/>
    <w:rsid w:val="007B57B6"/>
    <w:rsid w:val="007B7B11"/>
    <w:rsid w:val="007C2879"/>
    <w:rsid w:val="007E71BB"/>
    <w:rsid w:val="007F56B4"/>
    <w:rsid w:val="00841E3A"/>
    <w:rsid w:val="00843CE3"/>
    <w:rsid w:val="008512A7"/>
    <w:rsid w:val="00886D7F"/>
    <w:rsid w:val="008B1E28"/>
    <w:rsid w:val="008C3F4B"/>
    <w:rsid w:val="008C549F"/>
    <w:rsid w:val="008E3B88"/>
    <w:rsid w:val="00923B79"/>
    <w:rsid w:val="00926310"/>
    <w:rsid w:val="0094567A"/>
    <w:rsid w:val="00957144"/>
    <w:rsid w:val="00987A20"/>
    <w:rsid w:val="00992743"/>
    <w:rsid w:val="009A2348"/>
    <w:rsid w:val="009A3C71"/>
    <w:rsid w:val="009B15A0"/>
    <w:rsid w:val="009C31DD"/>
    <w:rsid w:val="009D279D"/>
    <w:rsid w:val="009E496F"/>
    <w:rsid w:val="009F58AD"/>
    <w:rsid w:val="009F5F9F"/>
    <w:rsid w:val="00A17638"/>
    <w:rsid w:val="00A30F69"/>
    <w:rsid w:val="00A466F8"/>
    <w:rsid w:val="00A6077E"/>
    <w:rsid w:val="00AA6CBE"/>
    <w:rsid w:val="00AE32AA"/>
    <w:rsid w:val="00B1711C"/>
    <w:rsid w:val="00B47004"/>
    <w:rsid w:val="00B5093E"/>
    <w:rsid w:val="00B61758"/>
    <w:rsid w:val="00B9187C"/>
    <w:rsid w:val="00B91DD6"/>
    <w:rsid w:val="00BB01AF"/>
    <w:rsid w:val="00BB1FEF"/>
    <w:rsid w:val="00BB2943"/>
    <w:rsid w:val="00C02591"/>
    <w:rsid w:val="00C15215"/>
    <w:rsid w:val="00C309DC"/>
    <w:rsid w:val="00C402A9"/>
    <w:rsid w:val="00C60AC6"/>
    <w:rsid w:val="00C7118F"/>
    <w:rsid w:val="00C85105"/>
    <w:rsid w:val="00C90EB5"/>
    <w:rsid w:val="00CA2E3F"/>
    <w:rsid w:val="00CB3B7D"/>
    <w:rsid w:val="00CB5932"/>
    <w:rsid w:val="00CC1620"/>
    <w:rsid w:val="00CC72FD"/>
    <w:rsid w:val="00CE1F7C"/>
    <w:rsid w:val="00CF4124"/>
    <w:rsid w:val="00D14B1F"/>
    <w:rsid w:val="00D368BD"/>
    <w:rsid w:val="00D6670B"/>
    <w:rsid w:val="00D95E50"/>
    <w:rsid w:val="00D97ECB"/>
    <w:rsid w:val="00DA0CA0"/>
    <w:rsid w:val="00DA4FF1"/>
    <w:rsid w:val="00DB2127"/>
    <w:rsid w:val="00DB6235"/>
    <w:rsid w:val="00DD4E8D"/>
    <w:rsid w:val="00DE5B0F"/>
    <w:rsid w:val="00E033C3"/>
    <w:rsid w:val="00E17AB1"/>
    <w:rsid w:val="00E31196"/>
    <w:rsid w:val="00E44B9C"/>
    <w:rsid w:val="00E578AB"/>
    <w:rsid w:val="00E70084"/>
    <w:rsid w:val="00E918C4"/>
    <w:rsid w:val="00EF5186"/>
    <w:rsid w:val="00F00F26"/>
    <w:rsid w:val="00F0123E"/>
    <w:rsid w:val="00F11524"/>
    <w:rsid w:val="00F264B3"/>
    <w:rsid w:val="00F321D0"/>
    <w:rsid w:val="00F32B14"/>
    <w:rsid w:val="00F472B6"/>
    <w:rsid w:val="00F556B5"/>
    <w:rsid w:val="00F61932"/>
    <w:rsid w:val="00F80B0A"/>
    <w:rsid w:val="00FC1268"/>
    <w:rsid w:val="00FC667D"/>
    <w:rsid w:val="00FD44AB"/>
    <w:rsid w:val="00FE17C4"/>
    <w:rsid w:val="00FE6C49"/>
    <w:rsid w:val="00FF0327"/>
    <w:rsid w:val="01782DD4"/>
    <w:rsid w:val="048633DB"/>
    <w:rsid w:val="09772BD9"/>
    <w:rsid w:val="09FC621A"/>
    <w:rsid w:val="0C02127B"/>
    <w:rsid w:val="0DB62059"/>
    <w:rsid w:val="0FA30DE1"/>
    <w:rsid w:val="14167CC6"/>
    <w:rsid w:val="14AA3BFE"/>
    <w:rsid w:val="15A5462A"/>
    <w:rsid w:val="162C6AF9"/>
    <w:rsid w:val="163F6013"/>
    <w:rsid w:val="170830C2"/>
    <w:rsid w:val="17E726B0"/>
    <w:rsid w:val="1B410951"/>
    <w:rsid w:val="1B56AA0D"/>
    <w:rsid w:val="1BEE441B"/>
    <w:rsid w:val="1E866596"/>
    <w:rsid w:val="1EEFB974"/>
    <w:rsid w:val="1F5D1502"/>
    <w:rsid w:val="1FFB6672"/>
    <w:rsid w:val="21EE225C"/>
    <w:rsid w:val="2330573C"/>
    <w:rsid w:val="25F767DC"/>
    <w:rsid w:val="26A147F8"/>
    <w:rsid w:val="28757E8C"/>
    <w:rsid w:val="2A944F41"/>
    <w:rsid w:val="2B9D558E"/>
    <w:rsid w:val="2ECFA3A4"/>
    <w:rsid w:val="2FB9C391"/>
    <w:rsid w:val="2FBC7A10"/>
    <w:rsid w:val="2FE92DE6"/>
    <w:rsid w:val="347FB570"/>
    <w:rsid w:val="349A13A6"/>
    <w:rsid w:val="35375A41"/>
    <w:rsid w:val="36877708"/>
    <w:rsid w:val="36DD557A"/>
    <w:rsid w:val="37B75968"/>
    <w:rsid w:val="39B52648"/>
    <w:rsid w:val="3CBF84C1"/>
    <w:rsid w:val="3D6BEE77"/>
    <w:rsid w:val="3D7F45BE"/>
    <w:rsid w:val="3DB1F3F2"/>
    <w:rsid w:val="3DBD843D"/>
    <w:rsid w:val="3DFE993F"/>
    <w:rsid w:val="3DFFD362"/>
    <w:rsid w:val="3EBDE06A"/>
    <w:rsid w:val="3F1C3025"/>
    <w:rsid w:val="3FF8A24D"/>
    <w:rsid w:val="3FFF4198"/>
    <w:rsid w:val="3FFFB4E7"/>
    <w:rsid w:val="3FFFC42F"/>
    <w:rsid w:val="403F1053"/>
    <w:rsid w:val="42C817D4"/>
    <w:rsid w:val="4743793E"/>
    <w:rsid w:val="496C156E"/>
    <w:rsid w:val="49CD524B"/>
    <w:rsid w:val="4B5D2176"/>
    <w:rsid w:val="4BA91A77"/>
    <w:rsid w:val="4C3D6D8F"/>
    <w:rsid w:val="4EC15BF8"/>
    <w:rsid w:val="4F5D2DA4"/>
    <w:rsid w:val="4F7E4DD9"/>
    <w:rsid w:val="51AE7211"/>
    <w:rsid w:val="52BE22AC"/>
    <w:rsid w:val="53F7F48B"/>
    <w:rsid w:val="54F077C0"/>
    <w:rsid w:val="552B41FF"/>
    <w:rsid w:val="577BF24E"/>
    <w:rsid w:val="579D903A"/>
    <w:rsid w:val="57DB93C5"/>
    <w:rsid w:val="57EB1BD3"/>
    <w:rsid w:val="5AF3340F"/>
    <w:rsid w:val="5B590DC3"/>
    <w:rsid w:val="5B6F76CB"/>
    <w:rsid w:val="5B7F167E"/>
    <w:rsid w:val="5B9E0ECC"/>
    <w:rsid w:val="5BDC37A3"/>
    <w:rsid w:val="5C4E46A0"/>
    <w:rsid w:val="5CE24DE9"/>
    <w:rsid w:val="5E97D308"/>
    <w:rsid w:val="5EDBC858"/>
    <w:rsid w:val="5F2FE0F9"/>
    <w:rsid w:val="5F5B6D78"/>
    <w:rsid w:val="5F7F67A9"/>
    <w:rsid w:val="5F9DDCC6"/>
    <w:rsid w:val="5FBAAD01"/>
    <w:rsid w:val="5FBE6E8C"/>
    <w:rsid w:val="5FD7C7EF"/>
    <w:rsid w:val="5FFB44DB"/>
    <w:rsid w:val="61732EA3"/>
    <w:rsid w:val="624125B1"/>
    <w:rsid w:val="6347FF9F"/>
    <w:rsid w:val="64F97173"/>
    <w:rsid w:val="67BF2116"/>
    <w:rsid w:val="68784853"/>
    <w:rsid w:val="68CE0F91"/>
    <w:rsid w:val="69456E2B"/>
    <w:rsid w:val="6A5F3A4B"/>
    <w:rsid w:val="6AFC28DA"/>
    <w:rsid w:val="6BC5400C"/>
    <w:rsid w:val="6BCBF259"/>
    <w:rsid w:val="6BD716DF"/>
    <w:rsid w:val="6C270A6A"/>
    <w:rsid w:val="6CD04C5E"/>
    <w:rsid w:val="6D6581D7"/>
    <w:rsid w:val="6DBF4A68"/>
    <w:rsid w:val="6DBF4B6C"/>
    <w:rsid w:val="6E162B44"/>
    <w:rsid w:val="6EAE3C6A"/>
    <w:rsid w:val="6F6FAD1E"/>
    <w:rsid w:val="6FB97DF2"/>
    <w:rsid w:val="6FBA6529"/>
    <w:rsid w:val="6FF57F2F"/>
    <w:rsid w:val="6FFD1C8F"/>
    <w:rsid w:val="712B6906"/>
    <w:rsid w:val="72D9042F"/>
    <w:rsid w:val="737002F2"/>
    <w:rsid w:val="740F42BD"/>
    <w:rsid w:val="757E6EB6"/>
    <w:rsid w:val="75FF936E"/>
    <w:rsid w:val="77775CDD"/>
    <w:rsid w:val="777EFD16"/>
    <w:rsid w:val="77970A84"/>
    <w:rsid w:val="77F79756"/>
    <w:rsid w:val="78FD4609"/>
    <w:rsid w:val="7917618F"/>
    <w:rsid w:val="79690914"/>
    <w:rsid w:val="79D7B30B"/>
    <w:rsid w:val="79FF228A"/>
    <w:rsid w:val="79FFD7C0"/>
    <w:rsid w:val="7ADFAF27"/>
    <w:rsid w:val="7AFFAB33"/>
    <w:rsid w:val="7B6E2AD5"/>
    <w:rsid w:val="7BD74C6C"/>
    <w:rsid w:val="7D31799A"/>
    <w:rsid w:val="7DBF584B"/>
    <w:rsid w:val="7DF691AA"/>
    <w:rsid w:val="7E798669"/>
    <w:rsid w:val="7EDEC929"/>
    <w:rsid w:val="7EFC2CD4"/>
    <w:rsid w:val="7EFE902A"/>
    <w:rsid w:val="7EFF2B58"/>
    <w:rsid w:val="7F2C2E16"/>
    <w:rsid w:val="7F6A82AF"/>
    <w:rsid w:val="7F9FC6AF"/>
    <w:rsid w:val="7FB97D61"/>
    <w:rsid w:val="7FBE8988"/>
    <w:rsid w:val="7FF31FCC"/>
    <w:rsid w:val="7FF572FA"/>
    <w:rsid w:val="7FF656CB"/>
    <w:rsid w:val="7FF6C610"/>
    <w:rsid w:val="8DFF15D8"/>
    <w:rsid w:val="9F5C716C"/>
    <w:rsid w:val="9FDD5985"/>
    <w:rsid w:val="9FF902EE"/>
    <w:rsid w:val="9FFEFCF9"/>
    <w:rsid w:val="A95EBE80"/>
    <w:rsid w:val="AD375A1D"/>
    <w:rsid w:val="ADF4B8EB"/>
    <w:rsid w:val="AFF71BD1"/>
    <w:rsid w:val="B5F4D148"/>
    <w:rsid w:val="BB6E7611"/>
    <w:rsid w:val="BB773A33"/>
    <w:rsid w:val="BD1DDD78"/>
    <w:rsid w:val="BDF7A863"/>
    <w:rsid w:val="BED99FDE"/>
    <w:rsid w:val="BF9B1BB8"/>
    <w:rsid w:val="BFDD4F3F"/>
    <w:rsid w:val="CA7F1FF9"/>
    <w:rsid w:val="CF7D7CEB"/>
    <w:rsid w:val="CFBFBBD9"/>
    <w:rsid w:val="D35CB78C"/>
    <w:rsid w:val="D5FBCDC0"/>
    <w:rsid w:val="D6FD923F"/>
    <w:rsid w:val="D767A5EE"/>
    <w:rsid w:val="D7D24A83"/>
    <w:rsid w:val="D7FBB94D"/>
    <w:rsid w:val="D8FE20EB"/>
    <w:rsid w:val="DB871252"/>
    <w:rsid w:val="DBF5C26D"/>
    <w:rsid w:val="DBF78596"/>
    <w:rsid w:val="DD4EA545"/>
    <w:rsid w:val="DDFE1782"/>
    <w:rsid w:val="DF7670B6"/>
    <w:rsid w:val="DF7E7B58"/>
    <w:rsid w:val="DFFB8EA7"/>
    <w:rsid w:val="E3610F2E"/>
    <w:rsid w:val="E37F7C13"/>
    <w:rsid w:val="E67AEDED"/>
    <w:rsid w:val="E7F734DC"/>
    <w:rsid w:val="EBAF36F6"/>
    <w:rsid w:val="ED7F84DC"/>
    <w:rsid w:val="EEF7CFC8"/>
    <w:rsid w:val="EEFB5B23"/>
    <w:rsid w:val="EF29DC94"/>
    <w:rsid w:val="EF9F8F79"/>
    <w:rsid w:val="EFF7C200"/>
    <w:rsid w:val="EFFC3ED0"/>
    <w:rsid w:val="EFFFB1FB"/>
    <w:rsid w:val="F5B302A6"/>
    <w:rsid w:val="F5D8CBF5"/>
    <w:rsid w:val="F66D76F1"/>
    <w:rsid w:val="F6D6CC49"/>
    <w:rsid w:val="F77750F4"/>
    <w:rsid w:val="F7B22DCC"/>
    <w:rsid w:val="F7DF10EF"/>
    <w:rsid w:val="F7EF9AD4"/>
    <w:rsid w:val="F84F5393"/>
    <w:rsid w:val="F9E979A9"/>
    <w:rsid w:val="F9EFB42E"/>
    <w:rsid w:val="FA5FE4EE"/>
    <w:rsid w:val="FAFB3756"/>
    <w:rsid w:val="FB79456B"/>
    <w:rsid w:val="FB7D58A0"/>
    <w:rsid w:val="FBBAB85D"/>
    <w:rsid w:val="FBDC5044"/>
    <w:rsid w:val="FBF7BF2E"/>
    <w:rsid w:val="FBFF0DD6"/>
    <w:rsid w:val="FD2F66CD"/>
    <w:rsid w:val="FD5B0F76"/>
    <w:rsid w:val="FDFCF194"/>
    <w:rsid w:val="FDFFBF96"/>
    <w:rsid w:val="FE3B3C43"/>
    <w:rsid w:val="FE8FDA02"/>
    <w:rsid w:val="FED5D068"/>
    <w:rsid w:val="FEDB696B"/>
    <w:rsid w:val="FEF9165F"/>
    <w:rsid w:val="FEFAC8D4"/>
    <w:rsid w:val="FF3E6615"/>
    <w:rsid w:val="FFAC50A5"/>
    <w:rsid w:val="FFAFAF04"/>
    <w:rsid w:val="FFB3B678"/>
    <w:rsid w:val="FFBA85A8"/>
    <w:rsid w:val="FFBE4A99"/>
    <w:rsid w:val="FFD7D15E"/>
    <w:rsid w:val="FFDF3FAB"/>
    <w:rsid w:val="FFEF0D89"/>
    <w:rsid w:val="FFF64B9E"/>
    <w:rsid w:val="FFF7E62E"/>
    <w:rsid w:val="FFFAAC2A"/>
    <w:rsid w:val="FFFBFEE8"/>
    <w:rsid w:val="FFFF2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rPr>
  </w:style>
  <w:style w:type="paragraph" w:styleId="5">
    <w:name w:val="heading 3"/>
    <w:basedOn w:val="1"/>
    <w:next w:val="1"/>
    <w:unhideWhenUsed/>
    <w:qFormat/>
    <w:uiPriority w:val="0"/>
    <w:pPr>
      <w:keepNext/>
      <w:keepLines/>
      <w:spacing w:before="260" w:after="260" w:line="413" w:lineRule="auto"/>
      <w:outlineLvl w:val="2"/>
    </w:pPr>
    <w:rPr>
      <w:b/>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宋体"/>
    </w:rPr>
  </w:style>
  <w:style w:type="paragraph" w:styleId="6">
    <w:name w:val="toc 5"/>
    <w:basedOn w:val="1"/>
    <w:next w:val="1"/>
    <w:qFormat/>
    <w:uiPriority w:val="0"/>
    <w:pPr>
      <w:ind w:left="1680" w:leftChars="800"/>
    </w:pPr>
    <w:rPr>
      <w:rFonts w:ascii="Times New Roman" w:hAnsi="Times New Roman"/>
    </w:rPr>
  </w:style>
  <w:style w:type="paragraph" w:styleId="7">
    <w:name w:val="Balloon Text"/>
    <w:basedOn w:val="1"/>
    <w:link w:val="23"/>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rFonts w:eastAsia="宋体"/>
      <w:sz w:val="2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2"/>
    <w:qFormat/>
    <w:uiPriority w:val="0"/>
    <w:pPr>
      <w:ind w:firstLine="420" w:firstLineChars="100"/>
    </w:pPr>
  </w:style>
  <w:style w:type="paragraph" w:customStyle="1" w:styleId="15">
    <w:name w:val="列出段落1"/>
    <w:basedOn w:val="1"/>
    <w:qFormat/>
    <w:uiPriority w:val="0"/>
    <w:rPr>
      <w:rFonts w:eastAsia="宋体"/>
    </w:rPr>
  </w:style>
  <w:style w:type="paragraph" w:customStyle="1" w:styleId="16">
    <w:name w:val="一级标题"/>
    <w:basedOn w:val="1"/>
    <w:qFormat/>
    <w:uiPriority w:val="0"/>
    <w:rPr>
      <w:rFonts w:hint="eastAsia" w:eastAsia="黑体"/>
    </w:rPr>
  </w:style>
  <w:style w:type="paragraph" w:customStyle="1" w:styleId="17">
    <w:name w:val="二级标题"/>
    <w:basedOn w:val="1"/>
    <w:qFormat/>
    <w:uiPriority w:val="0"/>
    <w:rPr>
      <w:rFonts w:hint="eastAsia" w:eastAsia="楷体"/>
    </w:rPr>
  </w:style>
  <w:style w:type="paragraph" w:customStyle="1" w:styleId="18">
    <w:name w:val="三级标题"/>
    <w:basedOn w:val="1"/>
    <w:qFormat/>
    <w:uiPriority w:val="0"/>
    <w:rPr>
      <w:rFonts w:hint="eastAsia"/>
    </w:rPr>
  </w:style>
  <w:style w:type="paragraph" w:customStyle="1" w:styleId="19">
    <w:name w:val="大标题"/>
    <w:basedOn w:val="1"/>
    <w:qFormat/>
    <w:uiPriority w:val="0"/>
    <w:pPr>
      <w:spacing w:after="100" w:afterLines="100"/>
      <w:jc w:val="center"/>
    </w:pPr>
    <w:rPr>
      <w:rFonts w:hint="eastAsia" w:eastAsia="方正小标宋_GBK"/>
      <w:sz w:val="44"/>
    </w:rPr>
  </w:style>
  <w:style w:type="character" w:customStyle="1" w:styleId="20">
    <w:name w:val="页眉 字符"/>
    <w:basedOn w:val="14"/>
    <w:link w:val="9"/>
    <w:qFormat/>
    <w:uiPriority w:val="0"/>
    <w:rPr>
      <w:rFonts w:ascii="Calibri" w:hAnsi="Calibri" w:eastAsia="仿宋_GB2312" w:cs="Times New Roman"/>
      <w:kern w:val="2"/>
      <w:sz w:val="18"/>
      <w:szCs w:val="18"/>
    </w:rPr>
  </w:style>
  <w:style w:type="character" w:customStyle="1" w:styleId="21">
    <w:name w:val="页脚 字符"/>
    <w:basedOn w:val="14"/>
    <w:link w:val="8"/>
    <w:qFormat/>
    <w:uiPriority w:val="99"/>
    <w:rPr>
      <w:rFonts w:ascii="Calibri" w:hAnsi="Calibri" w:eastAsia="宋体" w:cs="Times New Roman"/>
      <w:kern w:val="2"/>
      <w:sz w:val="28"/>
      <w:szCs w:val="24"/>
    </w:rPr>
  </w:style>
  <w:style w:type="paragraph" w:customStyle="1" w:styleId="22">
    <w:name w:val="_Style 1"/>
    <w:basedOn w:val="1"/>
    <w:qFormat/>
    <w:uiPriority w:val="99"/>
    <w:pPr>
      <w:ind w:firstLine="420" w:firstLineChars="200"/>
    </w:pPr>
    <w:rPr>
      <w:rFonts w:asciiTheme="minorHAnsi" w:hAnsiTheme="minorHAnsi" w:eastAsiaTheme="minorEastAsia" w:cstheme="minorBidi"/>
      <w:sz w:val="21"/>
    </w:rPr>
  </w:style>
  <w:style w:type="character" w:customStyle="1" w:styleId="23">
    <w:name w:val="批注框文本 字符"/>
    <w:basedOn w:val="14"/>
    <w:link w:val="7"/>
    <w:qFormat/>
    <w:uiPriority w:val="0"/>
    <w:rPr>
      <w:rFonts w:ascii="Calibri" w:hAnsi="Calibri" w:eastAsia="仿宋_GB2312" w:cs="Times New Roman"/>
      <w:kern w:val="2"/>
      <w:sz w:val="18"/>
      <w:szCs w:val="18"/>
    </w:rPr>
  </w:style>
  <w:style w:type="paragraph" w:styleId="24">
    <w:name w:val="List Paragraph"/>
    <w:basedOn w:val="1"/>
    <w:qFormat/>
    <w:uiPriority w:val="34"/>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6326</Words>
  <Characters>6553</Characters>
  <Lines>48</Lines>
  <Paragraphs>13</Paragraphs>
  <TotalTime>3</TotalTime>
  <ScaleCrop>false</ScaleCrop>
  <LinksUpToDate>false</LinksUpToDate>
  <CharactersWithSpaces>10327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2022-10-20T16:44:00Z</dcterms:created>
  <dc:creator>Administrator</dc:creator>
  <cp:lastModifiedBy>随风而起</cp:lastModifiedBy>
  <cp:lastPrinted>2023-11-17T07:50:00Z</cp:lastPrinted>
  <dcterms:modified xsi:type="dcterms:W3CDTF">2026-01-21T01:15:26Z</dcterms:modified>
  <cp:revision>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8C4F6136B400498DA25A4905D702DC14_13</vt:lpwstr>
  </property>
  <property fmtid="{D5CDD505-2E9C-101B-9397-08002B2CF9AE}" pid="4" name="KSOTemplateDocerSaveRecord">
    <vt:lpwstr>eyJoZGlkIjoiNTI2NDhmMTc0OGQ3MGRlYTM1NzJmNTE1MDYwYTMzNmMiLCJ1c2VySWQiOiIyNzg1MzQ3NzgifQ==</vt:lpwstr>
  </property>
</Properties>
</file>