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2022年度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部门整体支出绩效自评报告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绥宁县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商务局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4月20日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为进一步规范和加强预算资金管理，提高财政资金使用绩效，根据县财政局《关于开展2022年度财政支出绩效自评工作的通知》（绥财绩〔2023〕1号）相关要求，我局对部门整体支出情况实施了绩效自评，现将自评情况报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一、部门基本情况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部门职能职责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绥宁县商务局为正科级政府工作部门。主要履行内外贸易、国际经济合作、招商引资、城乡市场、电子商务、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报废汽车管理和再生资源回收、</w:t>
      </w:r>
      <w:r>
        <w:rPr>
          <w:rFonts w:hint="eastAsia" w:ascii="仿宋" w:hAnsi="仿宋" w:eastAsia="仿宋" w:cs="仿宋"/>
          <w:sz w:val="32"/>
          <w:szCs w:val="32"/>
        </w:rPr>
        <w:t>生活必需品市场供应应急管理等</w:t>
      </w:r>
      <w:r>
        <w:rPr>
          <w:rFonts w:hint="eastAsia" w:ascii="仿宋" w:hAnsi="仿宋" w:eastAsia="仿宋" w:cs="仿宋"/>
          <w:kern w:val="0"/>
          <w:sz w:val="32"/>
          <w:szCs w:val="32"/>
        </w:rPr>
        <w:t>职能。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机构设置情况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2022年末，我部门内设股室4个，所属事业单位1个。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内设股室分别是：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办公室、电商股、市场体系建设股、行业管理股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rPr>
          <w:rFonts w:hint="default" w:ascii="Arial" w:hAnsi="Arial" w:eastAsia="楷体" w:cs="Arial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所属事业单位分别是：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投资促进事务中心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641" w:right="0" w:firstLine="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人员编制情况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年末，我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部门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共有编制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人，其中行政编制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人，事业编制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人。年末实有在职人员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退休人员23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离休人员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二、一般公共预算支出情况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基本支出情况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202</w:t>
      </w:r>
      <w:r>
        <w:rPr>
          <w:rFonts w:hint="eastAsia" w:eastAsia="仿宋_GB2312" w:cs="Times New Roman"/>
          <w:color w:val="0C0C0C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年基本支出共计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594.9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万元</w:t>
      </w:r>
      <w:r>
        <w:rPr>
          <w:rFonts w:hint="eastAsia" w:eastAsia="仿宋_GB2312" w:cs="Times New Roman"/>
          <w:color w:val="0C0C0C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color w:val="0C0C0C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人员经费</w:t>
      </w:r>
      <w:r>
        <w:rPr>
          <w:rFonts w:hint="eastAsia" w:eastAsia="仿宋_GB2312" w:cs="Times New Roman"/>
          <w:color w:val="0C0C0C"/>
          <w:sz w:val="32"/>
          <w:szCs w:val="32"/>
          <w:lang w:val="en-US" w:eastAsia="zh-CN"/>
        </w:rPr>
        <w:t>329.96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，</w:t>
      </w:r>
      <w:r>
        <w:rPr>
          <w:rFonts w:hint="eastAsia" w:eastAsia="仿宋_GB2312" w:cs="Times New Roman"/>
          <w:color w:val="0C0C0C"/>
          <w:sz w:val="32"/>
          <w:szCs w:val="32"/>
          <w:lang w:val="en-US" w:eastAsia="zh-CN"/>
        </w:rPr>
        <w:t>公用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经费</w:t>
      </w:r>
      <w:r>
        <w:rPr>
          <w:rFonts w:hint="eastAsia" w:eastAsia="仿宋_GB2312" w:cs="Times New Roman"/>
          <w:color w:val="0C0C0C"/>
          <w:sz w:val="32"/>
          <w:szCs w:val="32"/>
          <w:lang w:val="en-US" w:eastAsia="zh-CN"/>
        </w:rPr>
        <w:t>264.94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1.人员经费329.96万元。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公用经费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264.94</w:t>
      </w: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万元。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项目支出情况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年项目支出共计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1301.08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万元，其中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疫情防控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140.50万元，招商引资71.19万元，对企业的补助169.64万元，电子商务进农村县级公共服务平台872.44万元,绿洲农贸市场改造47.31万元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3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业务工作经费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71.19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主要用于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招商引资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等方面。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3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.运行维护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经费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187.81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主要用于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疫情防控、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绿洲农贸市场改造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等方面。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3.上级专项资金1042.08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其中对企业的补助专项资金169.64万元，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主要用于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电子商务发展引导资金、入规入统企业补助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等方面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；电子商务进农村县级公共服务平台专项资金872.44万元，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主要用于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电子商务进农村县级公共服务平台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等方面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三、政府性基金预算支出情况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color w:val="0C0C0C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2年度政府性基金预算支出134.17万元。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国有资本经营预算支出情况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C0C0C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0C0C0C"/>
          <w:sz w:val="32"/>
          <w:szCs w:val="32"/>
          <w:lang w:val="en-US" w:eastAsia="zh-CN"/>
        </w:rPr>
        <w:t>年度无国有资本经营预算支出。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leftChars="0" w:right="0" w:firstLine="0" w:firstLineChars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社会保险基金预算支出情况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color w:val="0C0C0C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0C0C0C"/>
          <w:sz w:val="32"/>
          <w:szCs w:val="32"/>
          <w:lang w:val="en-US" w:eastAsia="zh-CN"/>
        </w:rPr>
        <w:t>年度无社会保险基金预算支出。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六、部门整体支出绩效情况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仿宋" w:hAnsi="仿宋" w:eastAsia="仿宋" w:cs="仿宋"/>
          <w:color w:val="0C0C0C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kern w:val="2"/>
          <w:sz w:val="32"/>
          <w:szCs w:val="32"/>
          <w:lang w:val="en-US" w:eastAsia="zh-CN" w:bidi="ar-SA"/>
        </w:rPr>
        <w:t>2022年，在县委、县政府的领导下，坚持依法行政、执法为民，稳中求进，改革创新，积极作为，突出抓改革强监管促发展，各方面工作稳步推进。根据部门整体支出绩效自评评分（详见附件2），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得分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分，部门整体支出绩效为“优秀”。主要绩效如下：</w:t>
      </w:r>
    </w:p>
    <w:p>
      <w:pPr>
        <w:numPr>
          <w:ilvl w:val="0"/>
          <w:numId w:val="0"/>
        </w:numPr>
        <w:spacing w:line="579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（一）成绩一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“三重点”考核指标成效显著。</w:t>
      </w:r>
    </w:p>
    <w:p>
      <w:pPr>
        <w:numPr>
          <w:ilvl w:val="0"/>
          <w:numId w:val="0"/>
        </w:numPr>
        <w:spacing w:line="579" w:lineRule="exact"/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</w:rPr>
        <w:t>成绩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二：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电子商务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迅速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发展。</w:t>
      </w:r>
    </w:p>
    <w:p>
      <w:pPr>
        <w:numPr>
          <w:ilvl w:val="0"/>
          <w:numId w:val="0"/>
        </w:numPr>
        <w:spacing w:line="579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</w:rPr>
        <w:t>成绩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三：</w:t>
      </w:r>
      <w:r>
        <w:rPr>
          <w:rFonts w:ascii="楷体" w:hAnsi="楷体" w:eastAsia="楷体" w:cs="楷体"/>
          <w:b w:val="0"/>
          <w:bCs w:val="0"/>
          <w:sz w:val="32"/>
          <w:szCs w:val="32"/>
        </w:rPr>
        <w:t>商业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体系建设项目有序开展。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9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</w:rPr>
        <w:t>成绩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四：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招商引资工作精准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实效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79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</w:rPr>
        <w:t>成绩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五：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安全生产和信访维稳工作稳步推进。</w:t>
      </w:r>
    </w:p>
    <w:p>
      <w:pPr>
        <w:adjustRightInd w:val="0"/>
        <w:snapToGrid w:val="0"/>
        <w:spacing w:line="579" w:lineRule="exact"/>
        <w:ind w:firstLine="643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</w:rPr>
        <w:t>成绩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加大重点行业监督管理。</w:t>
      </w:r>
    </w:p>
    <w:p>
      <w:pPr>
        <w:adjustRightInd w:val="0"/>
        <w:snapToGrid w:val="0"/>
        <w:spacing w:line="579" w:lineRule="exact"/>
        <w:ind w:firstLine="643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</w:rPr>
        <w:t>成绩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新冠疫情常态化防控工作督导到位。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</w:rPr>
        <w:t>成绩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党建引领工作扎实开展。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（九）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</w:rPr>
        <w:t>成绩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仿宋_GB2312"/>
          <w:b w:val="0"/>
          <w:bCs/>
          <w:sz w:val="32"/>
          <w:szCs w:val="32"/>
        </w:rPr>
        <w:t>促进乡村振兴工作。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七、存在的问题及原因分析</w:t>
      </w:r>
    </w:p>
    <w:p>
      <w:pPr>
        <w:autoSpaceDN w:val="0"/>
        <w:ind w:firstLine="643" w:firstLineChars="200"/>
        <w:outlineLvl w:val="0"/>
        <w:rPr>
          <w:rFonts w:hint="default" w:ascii="仿宋" w:hAnsi="仿宋" w:eastAsia="仿宋"/>
          <w:color w:val="010101"/>
          <w:sz w:val="32"/>
          <w:szCs w:val="32"/>
          <w:lang w:val="en-US" w:eastAsia="zh-CN"/>
        </w:rPr>
      </w:pPr>
      <w:r>
        <w:rPr>
          <w:rFonts w:ascii="仿宋" w:hAnsi="仿宋" w:eastAsia="仿宋"/>
          <w:b/>
          <w:bCs/>
          <w:color w:val="010101"/>
          <w:sz w:val="32"/>
          <w:szCs w:val="32"/>
        </w:rPr>
        <w:t>（一）预算执行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10101"/>
          <w:sz w:val="32"/>
          <w:szCs w:val="32"/>
          <w:lang w:val="en-US" w:eastAsia="zh-CN"/>
        </w:rPr>
        <w:t>预算内项目经费在纳入预算时已经过层层把关，级级研讨、审核，上了人大常委会通过才确定的，拨付时又要级级审批，工作重复繁琐。</w:t>
      </w:r>
    </w:p>
    <w:p>
      <w:pPr>
        <w:autoSpaceDN w:val="0"/>
        <w:outlineLvl w:val="0"/>
        <w:rPr>
          <w:rFonts w:hint="default" w:ascii="仿宋" w:hAnsi="仿宋" w:eastAsia="仿宋"/>
          <w:color w:val="010101"/>
          <w:sz w:val="32"/>
          <w:szCs w:val="32"/>
          <w:lang w:val="en-US" w:eastAsia="zh-CN"/>
        </w:rPr>
      </w:pPr>
      <w:r>
        <w:rPr>
          <w:rFonts w:ascii="仿宋" w:hAnsi="仿宋" w:eastAsia="仿宋"/>
          <w:color w:val="010101"/>
          <w:sz w:val="32"/>
          <w:szCs w:val="32"/>
        </w:rPr>
        <w:t>　　</w:t>
      </w:r>
      <w:r>
        <w:rPr>
          <w:rFonts w:ascii="仿宋" w:hAnsi="仿宋" w:eastAsia="仿宋"/>
          <w:b/>
          <w:bCs/>
          <w:color w:val="010101"/>
          <w:sz w:val="32"/>
          <w:szCs w:val="32"/>
        </w:rPr>
        <w:t>（二）资产核算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10101"/>
          <w:sz w:val="32"/>
          <w:szCs w:val="32"/>
          <w:lang w:val="en-US" w:eastAsia="zh-CN"/>
        </w:rPr>
        <w:t>固定资产管理水平有待提高，固定资产实物清点没有形成常态化，造成闲置资产没有及时止损。</w:t>
      </w:r>
    </w:p>
    <w:p>
      <w:pPr>
        <w:autoSpaceDN w:val="0"/>
        <w:ind w:firstLine="630"/>
        <w:outlineLvl w:val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/>
          <w:b/>
          <w:bCs/>
          <w:color w:val="010101"/>
          <w:sz w:val="32"/>
          <w:szCs w:val="32"/>
        </w:rPr>
        <w:t>（三）内部管理</w:t>
      </w:r>
      <w:r>
        <w:rPr>
          <w:rFonts w:hint="eastAsia" w:ascii="仿宋" w:hAnsi="仿宋" w:eastAsia="仿宋"/>
          <w:b/>
          <w:bCs/>
          <w:color w:val="010101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color w:val="010101"/>
          <w:sz w:val="32"/>
          <w:szCs w:val="32"/>
          <w:lang w:val="en-US" w:eastAsia="zh-CN"/>
        </w:rPr>
        <w:t>内控制度还不完善</w:t>
      </w:r>
      <w:r>
        <w:rPr>
          <w:rFonts w:ascii="仿宋" w:hAnsi="仿宋" w:eastAsia="仿宋"/>
          <w:color w:val="010101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10101"/>
          <w:sz w:val="32"/>
          <w:szCs w:val="32"/>
          <w:lang w:val="en-US" w:eastAsia="zh-CN"/>
        </w:rPr>
        <w:t>单位绩效管理制度还需完善。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八、下一步改进措施</w:t>
      </w:r>
    </w:p>
    <w:p>
      <w:pPr>
        <w:autoSpaceDN w:val="0"/>
        <w:ind w:firstLine="643" w:firstLineChars="200"/>
        <w:outlineLvl w:val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10101"/>
          <w:sz w:val="32"/>
          <w:szCs w:val="32"/>
        </w:rPr>
        <w:t>（一）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加快项目经费拨付进度，有效调节资金使用进度，提高资金的使用效率，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与其他预算内经费一样年初一次性拨款位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autoSpaceDN w:val="0"/>
        <w:ind w:firstLine="642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10101"/>
          <w:sz w:val="32"/>
          <w:szCs w:val="32"/>
        </w:rPr>
        <w:t>（二）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10101"/>
          <w:sz w:val="32"/>
          <w:szCs w:val="32"/>
        </w:rPr>
        <w:t>（三）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加强单位绩效管理队伍建设和业务培训，建立绩效评价长效机制。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附件：1.部门整体支出绩效评价基础数据表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609" w:firstLineChars="503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2.部门整体支出绩效自评表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1-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</w:p>
    <w:p>
      <w:pPr>
        <w:spacing w:line="740" w:lineRule="exact"/>
        <w:jc w:val="center"/>
        <w:rPr>
          <w:rFonts w:hint="eastAsia" w:ascii="黑体" w:hAnsi="黑体" w:eastAsia="黑体" w:cs="黑体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202</w:t>
      </w:r>
      <w:r>
        <w:rPr>
          <w:rFonts w:hint="eastAsia" w:ascii="黑体" w:hAnsi="黑体" w:eastAsia="黑体" w:cs="黑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年度部门整体支出绩效评价基础数据表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</w:rPr>
      </w:pPr>
    </w:p>
    <w:tbl>
      <w:tblPr>
        <w:tblStyle w:val="5"/>
        <w:tblW w:w="99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0"/>
        <w:gridCol w:w="1199"/>
        <w:gridCol w:w="924"/>
        <w:gridCol w:w="938"/>
        <w:gridCol w:w="1103"/>
        <w:gridCol w:w="1147"/>
        <w:gridCol w:w="1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财政供养人员情况（人）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经费控制情况（万元）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1.76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1.00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1、公务用车购置和维护经费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其中：公车购置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公车运行维护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2、出国经费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3、公务接待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1.76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1.00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项目支出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695.73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1301.08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15" w:firstLineChars="15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1、业务工作经费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42.57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78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71.19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运行维护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经费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72.96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187.81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3、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专项资金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580.20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1042.08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其中：对企业的补助专项资金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284.00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169.64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电子商务进农村县级公共服务平台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专项资金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296.2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872.44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公用经费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175.70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24.03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264.94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其中：办公经费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5.39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9.03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水费、电费、差旅费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23.76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4.1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26.07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  <w:t xml:space="preserve"> 会议费、培训费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4.54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2.63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部门基本支出预算调整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382.13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180.87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594.90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年完工项目）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实际规模（㎡）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规模控制率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4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严格执行各项财经纪律，规范支出管理，贯彻落实县委县政府过“紧日子”要求，超预算、超支出、超范围、无政策依据的经费不予支出。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hint="default" w:ascii="Times New Roman" w:hAnsi="Times New Roman" w:eastAsia="仿宋_GB2312" w:cs="Times New Roman"/>
          <w:kern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pacing w:line="579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740" w:lineRule="exact"/>
        <w:jc w:val="center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202</w:t>
      </w:r>
      <w:r>
        <w:rPr>
          <w:rFonts w:hint="eastAsia" w:ascii="黑体" w:hAnsi="黑体" w:eastAsia="黑体" w:cs="黑体"/>
          <w:sz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</w:rPr>
        <w:t>年度部门整体支出绩效自评表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</w:rPr>
      </w:pPr>
    </w:p>
    <w:tbl>
      <w:tblPr>
        <w:tblStyle w:val="5"/>
        <w:tblW w:w="104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1"/>
        <w:gridCol w:w="770"/>
        <w:gridCol w:w="1350"/>
        <w:gridCol w:w="253"/>
        <w:gridCol w:w="1487"/>
        <w:gridCol w:w="1635"/>
        <w:gridCol w:w="825"/>
        <w:gridCol w:w="1455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绥宁县商务局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全年预算数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(A)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全年执行数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执行率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258.87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1895.98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1895.98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1895.98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1895.98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其中：一般公共预算：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1757.01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594.9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政府性基金拨款：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134.17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1301.08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4.80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全年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20" w:lineRule="exact"/>
              <w:ind w:firstLine="420" w:firstLineChars="200"/>
              <w:jc w:val="both"/>
              <w:rPr>
                <w:rFonts w:hint="eastAsia" w:ascii="仿宋_GB2312" w:hAnsi="仿宋_GB2312" w:cs="仿宋_GB2312"/>
                <w:szCs w:val="32"/>
                <w:lang w:eastAsia="zh-CN"/>
              </w:rPr>
            </w:pPr>
          </w:p>
          <w:p>
            <w:pPr>
              <w:widowControl/>
              <w:spacing w:line="220" w:lineRule="exact"/>
              <w:ind w:firstLine="420" w:firstLineChars="200"/>
              <w:jc w:val="both"/>
              <w:rPr>
                <w:rFonts w:hint="eastAsia" w:ascii="仿宋" w:hAnsi="仿宋" w:eastAsia="宋体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按规定、按要求开支，专款专用，搞好商务</w:t>
            </w:r>
            <w:r>
              <w:rPr>
                <w:rFonts w:hint="eastAsia" w:ascii="仿宋_GB2312" w:hAnsi="仿宋_GB2312" w:cs="仿宋_GB2312"/>
                <w:szCs w:val="32"/>
              </w:rPr>
              <w:t>工作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。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420" w:firstLineChars="200"/>
              <w:jc w:val="both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spacing w:line="240" w:lineRule="exact"/>
              <w:ind w:firstLine="42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围绕目标，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大家</w:t>
            </w:r>
            <w:r>
              <w:rPr>
                <w:rFonts w:hint="eastAsia" w:ascii="仿宋_GB2312" w:hAnsi="仿宋_GB2312" w:cs="仿宋_GB2312"/>
                <w:szCs w:val="32"/>
              </w:rPr>
              <w:t>勠力同心，强化工作措施，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使</w:t>
            </w:r>
            <w:r>
              <w:rPr>
                <w:rFonts w:hint="eastAsia" w:ascii="仿宋_GB2312" w:hAnsi="仿宋_GB2312" w:cs="仿宋_GB2312"/>
                <w:szCs w:val="32"/>
              </w:rPr>
              <w:t>招商引资、电子商务、市场体系建设等工作取得了较大进展。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绩效</w:t>
            </w:r>
          </w:p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产出指标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50分）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数量   指标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基本支出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94.9万元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94.9万元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质量   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支出正确率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支出及时率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基本支出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594.9万元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94.9万元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效益指标（30分）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经济效益指标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保工资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保运转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社会效益指标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政策知晓率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生态效益指标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可持续影响指标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满意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指标（10分）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服务对象满意度指标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受益对象满意率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96%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ascii="仿宋" w:hAnsi="仿宋" w:eastAsia="仿宋" w:cs="仿宋"/>
          <w:sz w:val="4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960" w:right="0" w:hanging="960" w:hangingChars="400"/>
        <w:jc w:val="both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960" w:right="0" w:hanging="960" w:hangingChars="40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2.综合评价等级分为优秀（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大于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90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）、良好（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80-90分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）、较差（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60-80分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 差（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小于60分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</w:t>
      </w:r>
      <w:r>
        <w:rPr>
          <w:rFonts w:ascii="Calibri" w:hAnsi="Calibri" w:eastAsia="仿宋_GB2312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3.三级绩效指标按需自行增减行。个别不涉及的二级指标可删除不要。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项目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支出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绩效自评报告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绥宁县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商务局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4月20日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方正小标宋_GBK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8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资金下达预算及项目情况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县委县政府领导高度重视我县商务工作，在县财政紧张的情况下，安排2022年度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项目支出共计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1301.08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万元，其中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疫情防控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140.50万元，招商引资71.19万元，对企业的补助169.64万元，电子商务进农村县级公共服务平台872.44万元，绿洲农贸市场改造47.31万元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资金项目绩效目标设定情况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资金项目绩效目标设定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规范、合理。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二、绩效自评工作开展情况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开展范围：绩效自评围绕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疫情防控、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招商引资、对企业的补助、电子商务进农村县级公共服务平台、绿洲农贸市场改造等项目开展。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对象：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疫情防控、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招商引资、对企业的补助、电子商务进农村县级公共服务平台、绿洲农贸市场改造等项目。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时间及方式：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2022年度的项目支出绩效自评。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三、绩效目标完成情况分析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3" w:firstLineChars="200"/>
        <w:jc w:val="both"/>
        <w:textAlignment w:val="auto"/>
        <w:rPr>
          <w:rFonts w:hint="eastAsia" w:ascii="楷体" w:hAnsi="楷体" w:eastAsia="楷体" w:cs="楷体"/>
          <w:b/>
          <w:bCs/>
          <w:spacing w:val="1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10"/>
          <w:sz w:val="32"/>
          <w:szCs w:val="32"/>
        </w:rPr>
        <w:t>(一)项目资金情况分析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default" w:ascii="仿宋" w:hAnsi="仿宋" w:eastAsia="仿宋" w:cs="仿宋"/>
          <w:spacing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1.项目资金到位情况分析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：县财政划拨给县商务局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2022年度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项目支出共计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1301.08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万元，其中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疫情防控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140.50万元，招商引资71.19万元，对企业的补助169.64万元，电子商务进农村县级公共服务平台872.44万元，绿洲农贸市场改造47.31万元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2.项目资金执行情况分析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：县商务局实际使用这五项专项资金分别为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疫情防控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140.50万元，招商引资71.19万元，对企业的补助169.64万元，电子商务进农村县级公共服务平台872.44万元，绿洲农贸市场改造47.31万元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3.项目资金管理情况分析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该资金由县商务局负责管理，资金使用按实报销。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3" w:firstLineChars="200"/>
        <w:jc w:val="both"/>
        <w:textAlignment w:val="auto"/>
        <w:rPr>
          <w:rFonts w:hint="eastAsia" w:ascii="楷体" w:hAnsi="楷体" w:eastAsia="楷体" w:cs="楷体"/>
          <w:b/>
          <w:bCs/>
          <w:spacing w:val="1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10"/>
          <w:sz w:val="32"/>
          <w:szCs w:val="32"/>
        </w:rPr>
        <w:t>(二)项目绩效指标完成情况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1.产出指标完成情况分析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(1)项目完成数量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疫情防控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140.50万元，招商引资71.19万元，对企业的补助169.64万元，电子商务进农村县级公共服务平台872.44万元，绿洲农贸市场改造47.31万元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(2)项目完成质量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：项目验收合格后，付款精准。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(3)项目实施进度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：项目经验收合格后，及时付款。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(4)项目成本节约情况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</w:t>
      </w:r>
      <w:r>
        <w:rPr>
          <w:rStyle w:val="7"/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严格控制经费支出。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2.效益指标完成情况分析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(1)项目实施的经济效益分析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：项目稳定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发展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，使商务工作正常运转。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(2)项目实施的社会效益分析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：大家都知晓招商引资、电商、防疫的政策。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(3)项目实施的生态效益分析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(4)项目实施的可持续影响分析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default" w:ascii="仿宋" w:hAnsi="仿宋" w:eastAsia="仿宋" w:cs="仿宋"/>
          <w:spacing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3、满意度指标完成情况分析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：受益对象对项目的满意率度都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很高。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四、存在的主要问题及产生的原因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3" w:firstLineChars="200"/>
        <w:jc w:val="both"/>
        <w:textAlignment w:val="auto"/>
        <w:rPr>
          <w:rFonts w:hint="eastAsia" w:ascii="楷体" w:hAnsi="楷体" w:eastAsia="楷体" w:cs="楷体"/>
          <w:b/>
          <w:bCs/>
          <w:spacing w:val="1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10"/>
          <w:sz w:val="32"/>
          <w:szCs w:val="32"/>
        </w:rPr>
        <w:t>(一)项目申报及实施管理方面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default" w:ascii="仿宋" w:hAnsi="仿宋" w:eastAsia="仿宋" w:cs="仿宋"/>
          <w:spacing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1、项目立项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：没有立项，都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是根据需要才申报，没有前瞻性。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2、项目跟踪监管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：只适时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跟踪监管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，没有全程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跟踪监管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default" w:ascii="仿宋" w:hAnsi="仿宋" w:eastAsia="仿宋" w:cs="仿宋"/>
          <w:spacing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3、项目实施进度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：只管大概方向，没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管细致进度。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3" w:firstLineChars="200"/>
        <w:jc w:val="both"/>
        <w:textAlignment w:val="auto"/>
        <w:rPr>
          <w:rFonts w:hint="eastAsia" w:ascii="楷体" w:hAnsi="楷体" w:eastAsia="楷体" w:cs="楷体"/>
          <w:b/>
          <w:bCs/>
          <w:spacing w:val="1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10"/>
          <w:sz w:val="32"/>
          <w:szCs w:val="32"/>
        </w:rPr>
        <w:t>(二)资金管理方面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1、资金使用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：专款专用，时有占用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default" w:ascii="仿宋" w:hAnsi="仿宋" w:eastAsia="仿宋" w:cs="仿宋"/>
          <w:spacing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2、项目资金拨付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：拨款手续繁杂，有时不及时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3" w:firstLineChars="200"/>
        <w:jc w:val="both"/>
        <w:textAlignment w:val="auto"/>
        <w:rPr>
          <w:rFonts w:hint="eastAsia" w:ascii="楷体" w:hAnsi="楷体" w:eastAsia="楷体" w:cs="楷体"/>
          <w:b/>
          <w:bCs/>
          <w:spacing w:val="1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10"/>
          <w:sz w:val="32"/>
          <w:szCs w:val="32"/>
        </w:rPr>
        <w:t>(三)产生的原因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pacing w:val="1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pacing w:val="10"/>
          <w:sz w:val="32"/>
          <w:szCs w:val="32"/>
          <w:lang w:eastAsia="zh-CN"/>
        </w:rPr>
        <w:t>项目都没立项，缺泛前瞻性，有时拨款不及时，工作欠细致。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五、下一步改进措施及建议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3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10"/>
          <w:sz w:val="32"/>
          <w:szCs w:val="32"/>
          <w:lang w:eastAsia="zh-CN"/>
        </w:rPr>
        <w:t>（一）加强项目建设管理，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加强局业务处室的沟通配合，提高项目设计精准度，提前做好项目储备。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3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10"/>
          <w:sz w:val="32"/>
          <w:szCs w:val="32"/>
          <w:lang w:eastAsia="zh-CN"/>
        </w:rPr>
        <w:t>（二）是进一步健全和完善财务管理制度，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创新管理手段，用新思路、新方法，改进完善财务管理方法。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六、绩效自评结果拟应用和公开情况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将项目支出后的实际状况与项目申报的绩效目标进行对比分析。按项目实际支出和项目申报绩效目标进行对比分析自评得分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分，所有项目均与批复下达相符。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附件：项目支出绩效目标自评表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spacing w:before="227" w:line="182" w:lineRule="auto"/>
        <w:jc w:val="center"/>
        <w:rPr>
          <w:rFonts w:hint="eastAsia" w:ascii="黑体" w:hAnsi="黑体" w:eastAsia="黑体" w:cs="黑体"/>
          <w:spacing w:val="-1"/>
          <w:sz w:val="44"/>
          <w:szCs w:val="44"/>
        </w:rPr>
      </w:pP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项目支出</w:t>
      </w:r>
      <w:r>
        <w:rPr>
          <w:rFonts w:hint="eastAsia" w:ascii="黑体" w:hAnsi="黑体" w:eastAsia="黑体" w:cs="黑体"/>
          <w:spacing w:val="-2"/>
          <w:sz w:val="44"/>
          <w:szCs w:val="44"/>
        </w:rPr>
        <w:t>绩</w:t>
      </w:r>
      <w:r>
        <w:rPr>
          <w:rFonts w:hint="eastAsia" w:ascii="黑体" w:hAnsi="黑体" w:eastAsia="黑体" w:cs="黑体"/>
          <w:spacing w:val="-1"/>
          <w:sz w:val="44"/>
          <w:szCs w:val="44"/>
        </w:rPr>
        <w:t>效目标自评表</w:t>
      </w:r>
    </w:p>
    <w:p>
      <w:pPr>
        <w:spacing w:before="47" w:line="197" w:lineRule="auto"/>
        <w:ind w:left="3525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17145</wp:posOffset>
                </wp:positionV>
                <wp:extent cx="633095" cy="2362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19" w:lineRule="auto"/>
                              <w:ind w:left="20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5.25pt;margin-top:1.35pt;height:18.6pt;width:49.85pt;z-index:251659264;mso-width-relative:page;mso-height-relative:page;" filled="f" stroked="f" coordsize="21600,21600" o:gfxdata="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Lyz/S2AAAAAgBAAAPAAAAAAAAAAEAIAAAACIAAABkcnMvZG93bnJldi54bWxQSwEC&#10;FAAUAAAACACHTuJAhdehcLsBAABx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19" w:lineRule="auto"/>
                        <w:ind w:left="20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pacing w:val="22"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spacing w:val="17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年度)</w:t>
      </w:r>
    </w:p>
    <w:tbl>
      <w:tblPr>
        <w:tblStyle w:val="9"/>
        <w:tblW w:w="8132" w:type="dxa"/>
        <w:tblInd w:w="2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695"/>
        <w:gridCol w:w="658"/>
        <w:gridCol w:w="1772"/>
        <w:gridCol w:w="937"/>
        <w:gridCol w:w="919"/>
        <w:gridCol w:w="516"/>
        <w:gridCol w:w="675"/>
        <w:gridCol w:w="900"/>
        <w:gridCol w:w="5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906" w:type="dxa"/>
            <w:gridSpan w:val="3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项目名称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项目支出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项目负责人及电话</w:t>
            </w:r>
          </w:p>
        </w:tc>
        <w:tc>
          <w:tcPr>
            <w:tcW w:w="2082" w:type="dxa"/>
            <w:gridSpan w:val="3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徐邦东</w:t>
            </w:r>
          </w:p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13789190528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6" w:type="dxa"/>
            <w:gridSpan w:val="3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主管部门</w:t>
            </w:r>
          </w:p>
        </w:tc>
        <w:tc>
          <w:tcPr>
            <w:tcW w:w="2709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绥宁县商务局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实施单位</w:t>
            </w:r>
          </w:p>
        </w:tc>
        <w:tc>
          <w:tcPr>
            <w:tcW w:w="2082" w:type="dxa"/>
            <w:gridSpan w:val="3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绥宁县商务局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3" w:hRule="atLeast"/>
        </w:trPr>
        <w:tc>
          <w:tcPr>
            <w:tcW w:w="1906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资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金情况(万元)</w:t>
            </w:r>
          </w:p>
        </w:tc>
        <w:tc>
          <w:tcPr>
            <w:tcW w:w="177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全年预算数(A)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全年执行数(B)</w:t>
            </w:r>
          </w:p>
        </w:tc>
        <w:tc>
          <w:tcPr>
            <w:tcW w:w="675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分值</w:t>
            </w:r>
          </w:p>
        </w:tc>
        <w:tc>
          <w:tcPr>
            <w:tcW w:w="900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执行率(B/A)</w:t>
            </w:r>
          </w:p>
        </w:tc>
        <w:tc>
          <w:tcPr>
            <w:tcW w:w="507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90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年度资金总额：</w:t>
            </w:r>
          </w:p>
        </w:tc>
        <w:tc>
          <w:tcPr>
            <w:tcW w:w="937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1301.08</w:t>
            </w:r>
          </w:p>
        </w:tc>
        <w:tc>
          <w:tcPr>
            <w:tcW w:w="1435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1301.08</w:t>
            </w:r>
          </w:p>
        </w:tc>
        <w:tc>
          <w:tcPr>
            <w:tcW w:w="675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07" w:type="dxa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4" w:hRule="atLeast"/>
        </w:trPr>
        <w:tc>
          <w:tcPr>
            <w:tcW w:w="190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其中：本年财政拨款</w:t>
            </w:r>
          </w:p>
        </w:tc>
        <w:tc>
          <w:tcPr>
            <w:tcW w:w="937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675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  <w:tc>
          <w:tcPr>
            <w:tcW w:w="90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507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4" w:hRule="atLeast"/>
        </w:trPr>
        <w:tc>
          <w:tcPr>
            <w:tcW w:w="1906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其他资金</w:t>
            </w:r>
          </w:p>
        </w:tc>
        <w:tc>
          <w:tcPr>
            <w:tcW w:w="937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675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  <w:tc>
          <w:tcPr>
            <w:tcW w:w="90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507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553" w:type="dxa"/>
            <w:vMerge w:val="restart"/>
            <w:tcBorders>
              <w:bottom w:val="nil"/>
            </w:tcBorders>
            <w:vAlign w:val="center"/>
          </w:tcPr>
          <w:p>
            <w:pPr>
              <w:spacing w:before="176" w:line="219" w:lineRule="auto"/>
              <w:ind w:left="184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年度总体目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标</w:t>
            </w:r>
          </w:p>
        </w:tc>
        <w:tc>
          <w:tcPr>
            <w:tcW w:w="4062" w:type="dxa"/>
            <w:gridSpan w:val="4"/>
            <w:vAlign w:val="top"/>
          </w:tcPr>
          <w:p>
            <w:pPr>
              <w:spacing w:before="10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初设定目标</w:t>
            </w:r>
          </w:p>
        </w:tc>
        <w:tc>
          <w:tcPr>
            <w:tcW w:w="3517" w:type="dxa"/>
            <w:gridSpan w:val="5"/>
            <w:vAlign w:val="top"/>
          </w:tcPr>
          <w:p>
            <w:pPr>
              <w:spacing w:before="10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年度总体目标完成情况综述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08" w:hRule="atLeast"/>
        </w:trPr>
        <w:tc>
          <w:tcPr>
            <w:tcW w:w="5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62" w:type="dxa"/>
            <w:gridSpan w:val="4"/>
            <w:vAlign w:val="top"/>
          </w:tcPr>
          <w:p>
            <w:pPr>
              <w:ind w:firstLine="420" w:firstLineChars="20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ind w:firstLine="420" w:firstLineChars="200"/>
              <w:rPr>
                <w:rFonts w:hint="eastAsia" w:ascii="仿宋" w:hAnsi="仿宋" w:eastAsia="宋体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严格按规定、按要求支出项目资金，做到专款专用，搞好商务</w:t>
            </w:r>
            <w:r>
              <w:rPr>
                <w:rFonts w:hint="eastAsia" w:ascii="仿宋_GB2312" w:hAnsi="仿宋_GB2312" w:cs="仿宋_GB2312"/>
                <w:szCs w:val="32"/>
              </w:rPr>
              <w:t>工作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。</w:t>
            </w:r>
          </w:p>
        </w:tc>
        <w:tc>
          <w:tcPr>
            <w:tcW w:w="3517" w:type="dxa"/>
            <w:gridSpan w:val="5"/>
            <w:vAlign w:val="top"/>
          </w:tcPr>
          <w:p>
            <w:pPr>
              <w:ind w:firstLine="420" w:firstLineChars="200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围绕目标，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大家</w:t>
            </w:r>
            <w:r>
              <w:rPr>
                <w:rFonts w:hint="eastAsia" w:ascii="仿宋_GB2312" w:hAnsi="仿宋_GB2312" w:cs="仿宋_GB2312"/>
                <w:szCs w:val="32"/>
              </w:rPr>
              <w:t>勠力同心，强化工作措施，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便</w:t>
            </w:r>
            <w:r>
              <w:rPr>
                <w:rFonts w:hint="eastAsia" w:ascii="仿宋_GB2312" w:hAnsi="仿宋_GB2312" w:cs="仿宋_GB2312"/>
                <w:szCs w:val="32"/>
              </w:rPr>
              <w:t>招商引资、电子商务、市场体系建设等工作取得了较大进展。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53" w:type="dxa"/>
            <w:vMerge w:val="restart"/>
            <w:tcBorders>
              <w:bottom w:val="nil"/>
            </w:tcBorders>
            <w:vAlign w:val="bottom"/>
          </w:tcPr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绩</w:t>
            </w:r>
          </w:p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效</w:t>
            </w:r>
          </w:p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指</w:t>
            </w:r>
          </w:p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695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一级指标</w:t>
            </w:r>
          </w:p>
        </w:tc>
        <w:tc>
          <w:tcPr>
            <w:tcW w:w="658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二级指标</w:t>
            </w:r>
          </w:p>
        </w:tc>
        <w:tc>
          <w:tcPr>
            <w:tcW w:w="1772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三级指标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实际完成值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675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得分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未完成的原因及拟采取的改进措施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>
            <w:pPr>
              <w:spacing w:before="58"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出指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标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(5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0分)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  <w:t>数量指标</w:t>
            </w: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疫情防控</w:t>
            </w: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140.50</w:t>
            </w: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140.50</w:t>
            </w: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3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spacing w:before="58"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招商引资</w:t>
            </w: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71.19</w:t>
            </w: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71.19</w:t>
            </w: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3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spacing w:before="58"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对企业的补助</w:t>
            </w: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169.64</w:t>
            </w: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169.64</w:t>
            </w: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spacing w:before="58"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电子商务进农村县级公共服务平台</w:t>
            </w: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872.44</w:t>
            </w: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872.44</w:t>
            </w: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绿洲农贸市场改造</w:t>
            </w: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47.31</w:t>
            </w: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47.31</w:t>
            </w: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212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质量指标</w:t>
            </w:r>
          </w:p>
        </w:tc>
        <w:tc>
          <w:tcPr>
            <w:tcW w:w="17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支出正确率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时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效指标</w:t>
            </w:r>
          </w:p>
        </w:tc>
        <w:tc>
          <w:tcPr>
            <w:tcW w:w="17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支出及时率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9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2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成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本指标</w:t>
            </w: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疫情防控</w:t>
            </w: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140.50</w:t>
            </w: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140.50</w:t>
            </w: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before="212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招商引资</w:t>
            </w: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71.19</w:t>
            </w: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71.19</w:t>
            </w: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before="212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对企业的补助</w:t>
            </w: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169.64</w:t>
            </w: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169.64</w:t>
            </w: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电子商务进农村县级公共服务平台</w:t>
            </w: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872.44</w:t>
            </w: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872.44</w:t>
            </w: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绿洲农贸市场改造</w:t>
            </w: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47.31</w:t>
            </w: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47.31</w:t>
            </w: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>
            <w:pPr>
              <w:spacing w:before="59" w:line="212" w:lineRule="auto"/>
              <w:ind w:right="6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效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益指标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(30</w:t>
            </w: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pacing w:val="19"/>
                <w:sz w:val="21"/>
                <w:szCs w:val="21"/>
              </w:rPr>
              <w:t>)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11" w:line="221" w:lineRule="auto"/>
              <w:ind w:right="11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经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济效益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7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稳项目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稳运转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8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7" w:line="209" w:lineRule="auto"/>
              <w:ind w:right="11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社会效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益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7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政策知晓率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11" w:line="223" w:lineRule="auto"/>
              <w:ind w:right="2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生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态效益指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11" w:line="221" w:lineRule="auto"/>
              <w:ind w:right="2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可持续影响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9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>
            <w:pPr>
              <w:spacing w:before="4" w:line="194" w:lineRule="auto"/>
              <w:ind w:right="6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满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意度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标(10)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分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01" w:line="20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服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务对象满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7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受益对象满意率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96%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05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9" w:hRule="atLeast"/>
        </w:trPr>
        <w:tc>
          <w:tcPr>
            <w:tcW w:w="5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0" w:hRule="atLeast"/>
        </w:trPr>
        <w:tc>
          <w:tcPr>
            <w:tcW w:w="553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96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2.综合评价等级分为优秀（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大于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90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）、良好（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80-90分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）、较差（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60-80分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 差（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小于60分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</w:t>
      </w:r>
      <w:r>
        <w:rPr>
          <w:rFonts w:ascii="Calibri" w:hAnsi="Calibri" w:eastAsia="仿宋_GB2312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480" w:firstLineChars="20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3.三级绩效指标按需自行增减行。个别不涉及的二级指标可删除不要。</w:t>
      </w:r>
    </w:p>
    <w:p>
      <w:pPr>
        <w:spacing w:line="6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47CD0C"/>
    <w:multiLevelType w:val="singleLevel"/>
    <w:tmpl w:val="2047CD0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DD6DCE7"/>
    <w:multiLevelType w:val="singleLevel"/>
    <w:tmpl w:val="6DD6DC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NzQyMTNhNWYxZDA5OGJjYzgxNDhkZDBmNjRiY2UifQ=="/>
  </w:docVars>
  <w:rsids>
    <w:rsidRoot w:val="00000000"/>
    <w:rsid w:val="00BF1F7E"/>
    <w:rsid w:val="03D047A4"/>
    <w:rsid w:val="0506170D"/>
    <w:rsid w:val="07740BAF"/>
    <w:rsid w:val="07DE427B"/>
    <w:rsid w:val="08CE1392"/>
    <w:rsid w:val="09E3010C"/>
    <w:rsid w:val="0B0577DC"/>
    <w:rsid w:val="0B5C4210"/>
    <w:rsid w:val="0E544E57"/>
    <w:rsid w:val="10EF574B"/>
    <w:rsid w:val="12AA1814"/>
    <w:rsid w:val="1434292D"/>
    <w:rsid w:val="16DC3E4F"/>
    <w:rsid w:val="16EE1BB5"/>
    <w:rsid w:val="17EB6307"/>
    <w:rsid w:val="1CA94A00"/>
    <w:rsid w:val="1D3F35B6"/>
    <w:rsid w:val="20777BF7"/>
    <w:rsid w:val="23B02B18"/>
    <w:rsid w:val="23C969CE"/>
    <w:rsid w:val="268070C2"/>
    <w:rsid w:val="281025A5"/>
    <w:rsid w:val="285E30F8"/>
    <w:rsid w:val="2C772974"/>
    <w:rsid w:val="2DD445FD"/>
    <w:rsid w:val="2F6A7221"/>
    <w:rsid w:val="3041038A"/>
    <w:rsid w:val="32686C99"/>
    <w:rsid w:val="34823EFC"/>
    <w:rsid w:val="390835AA"/>
    <w:rsid w:val="39B0341A"/>
    <w:rsid w:val="3CE27966"/>
    <w:rsid w:val="3F537BCE"/>
    <w:rsid w:val="41A03D74"/>
    <w:rsid w:val="423D5A66"/>
    <w:rsid w:val="423F308D"/>
    <w:rsid w:val="47BC613F"/>
    <w:rsid w:val="48410841"/>
    <w:rsid w:val="4AEC7B3E"/>
    <w:rsid w:val="4C14041B"/>
    <w:rsid w:val="50B25A3B"/>
    <w:rsid w:val="50E13F2A"/>
    <w:rsid w:val="518912A0"/>
    <w:rsid w:val="51EA20C4"/>
    <w:rsid w:val="53D55AFF"/>
    <w:rsid w:val="54EA07AF"/>
    <w:rsid w:val="553140E4"/>
    <w:rsid w:val="571E76EE"/>
    <w:rsid w:val="5A2A7623"/>
    <w:rsid w:val="5AD21008"/>
    <w:rsid w:val="5CD115BF"/>
    <w:rsid w:val="5CF74D74"/>
    <w:rsid w:val="5DB4040F"/>
    <w:rsid w:val="60DB04CD"/>
    <w:rsid w:val="62332162"/>
    <w:rsid w:val="625B78EE"/>
    <w:rsid w:val="62BD432E"/>
    <w:rsid w:val="62BD7466"/>
    <w:rsid w:val="632A3916"/>
    <w:rsid w:val="63473BF7"/>
    <w:rsid w:val="635655AC"/>
    <w:rsid w:val="65805465"/>
    <w:rsid w:val="65932748"/>
    <w:rsid w:val="66833198"/>
    <w:rsid w:val="684041D3"/>
    <w:rsid w:val="694A5FFE"/>
    <w:rsid w:val="6ABB2000"/>
    <w:rsid w:val="6D62736B"/>
    <w:rsid w:val="6D9565B3"/>
    <w:rsid w:val="6DA560EA"/>
    <w:rsid w:val="6DCA3694"/>
    <w:rsid w:val="706E4EB9"/>
    <w:rsid w:val="721042A2"/>
    <w:rsid w:val="725400DF"/>
    <w:rsid w:val="725C2B6E"/>
    <w:rsid w:val="760B06B8"/>
    <w:rsid w:val="76203748"/>
    <w:rsid w:val="765C4824"/>
    <w:rsid w:val="77C704C0"/>
    <w:rsid w:val="78850FF2"/>
    <w:rsid w:val="796C7E7C"/>
    <w:rsid w:val="7A2125C0"/>
    <w:rsid w:val="7C80044E"/>
    <w:rsid w:val="7E7933A7"/>
    <w:rsid w:val="7F1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ind w:firstLine="664"/>
    </w:p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4456</Words>
  <Characters>5243</Characters>
  <Lines>0</Lines>
  <Paragraphs>0</Paragraphs>
  <TotalTime>24</TotalTime>
  <ScaleCrop>false</ScaleCrop>
  <LinksUpToDate>false</LinksUpToDate>
  <CharactersWithSpaces>5328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微笑</cp:lastModifiedBy>
  <dcterms:modified xsi:type="dcterms:W3CDTF">2023-05-09T02:16:48Z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9F7F921BA28E43EC84B57275942B48C3_13</vt:lpwstr>
  </property>
</Properties>
</file>