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绥宁县全民健身服务中心2022年度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部门整体支出绩效自评报告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一、部门基本情况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部门职能职责</w:t>
      </w:r>
    </w:p>
    <w:p>
      <w:pPr>
        <w:pStyle w:val="10"/>
        <w:autoSpaceDN w:val="0"/>
        <w:ind w:firstLine="640" w:firstLineChars="200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eastAsia="仿宋"/>
          <w:sz w:val="32"/>
          <w:szCs w:val="32"/>
          <w:lang w:val="en-US" w:eastAsia="en-US"/>
        </w:rPr>
        <w:t>贯彻执行国家、省、市有关全民健身服务工作的方针政策，研究拟订县级全民健身服务工作规划并组织实施；负责所属公共体育场馆和设施的建设、管理和维护以及向社会免费低收费开放工作，为公众开展体育健身活动提供服务；组织、策划各项群众体育赛事，协助组织参加市以上群众性体育竞赛；宣传全民健身政策法规，普及推广全民健身科普知识，开展健身指导咨询，举办各类体育运动健身知识和技能培训，承担全县社会体育指导员的培训工作；负责开展全县公民体质监测工作，掌握全县国民体质变化规律；积极向省市有关部门争取全民健身项目器材和资金支持，促进全县全民健身事业开展；负责全县青少年体育人才的业余选拔、培训、教学工作；负责全县青少年体育竞技工作等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2022年末，我部门内设股室3个，所属事业单位0个。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内设股室分别是：</w:t>
      </w:r>
      <w:r>
        <w:rPr>
          <w:rFonts w:eastAsia="仿宋"/>
          <w:sz w:val="32"/>
          <w:szCs w:val="32"/>
          <w:lang w:val="en-US" w:eastAsia="en-US"/>
        </w:rPr>
        <w:t>综合办公室、场地管理股、业务股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rPr>
          <w:rFonts w:hint="default" w:ascii="Arial" w:hAnsi="Arial" w:eastAsia="楷体" w:cs="Arial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所属事业单位分别是：无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641" w:right="0" w:firstLine="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人员编制情况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年末，我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共有编制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人，其中行政编制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人，事业编制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人。年末实有在职人员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退休人员1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离休人员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二、一般公共预算支出情况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基本支出情况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202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133.25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万元</w:t>
      </w:r>
      <w:r>
        <w:rPr>
          <w:rFonts w:hint="eastAsia" w:eastAsia="仿宋_GB2312" w:cs="Times New Roman"/>
          <w:color w:val="0C0C0C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人员经费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92.83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公用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经费</w:t>
      </w:r>
      <w:r>
        <w:rPr>
          <w:rFonts w:hint="eastAsia" w:eastAsia="仿宋_GB2312" w:cs="Times New Roman"/>
          <w:color w:val="0C0C0C"/>
          <w:sz w:val="32"/>
          <w:szCs w:val="32"/>
          <w:lang w:val="en-US" w:eastAsia="zh-CN"/>
        </w:rPr>
        <w:t>40.41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0C0C0C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1.人员经费92.83万元。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40.41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万元。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运行维护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专项资金5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.运行维护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10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3.上级专项资金56</w:t>
      </w:r>
      <w:r>
        <w:rPr>
          <w:rFonts w:hint="default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三、政府性基金预算支出情况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2年度政府性基金预算支出16.31万元，为用于体育事业的彩票公益金支出。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国有资本经营预算支出情况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6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年度无国有资本经营预算支出。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leftChars="0" w:right="0" w:firstLine="0" w:firstLineChars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社会保险基金预算支出情况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C0C0C"/>
          <w:sz w:val="32"/>
          <w:szCs w:val="32"/>
          <w:lang w:val="en-US" w:eastAsia="zh-CN"/>
        </w:rPr>
        <w:t>年度无社会保险基金预算支出。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六、部门整体支出绩效情况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仿宋" w:hAnsi="仿宋" w:eastAsia="仿宋" w:cs="仿宋"/>
          <w:color w:val="0C0C0C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  <w:lang w:val="en-US" w:eastAsia="zh-CN" w:bidi="ar-SA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96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  <w:lang w:val="en-US" w:eastAsia="zh-CN" w:bidi="ar-SA"/>
        </w:rPr>
        <w:t>分，部门整体支出绩效为“优”。主要绩效如下：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全额或超额完成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指标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成绩二。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配合财政完成好统筹整合资金方案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成绩三。</w:t>
      </w:r>
      <w:r>
        <w:rPr>
          <w:rFonts w:hint="eastAsia" w:ascii="楷体" w:hAnsi="楷体" w:eastAsia="楷体"/>
          <w:sz w:val="32"/>
          <w:szCs w:val="32"/>
        </w:rPr>
        <w:t>全年疫情防控取得阶段性胜利。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成绩四。</w:t>
      </w:r>
      <w:r>
        <w:rPr>
          <w:rFonts w:hint="eastAsia" w:ascii="楷体" w:hAnsi="楷体" w:eastAsia="楷体"/>
          <w:sz w:val="32"/>
          <w:szCs w:val="32"/>
        </w:rPr>
        <w:t>开展全民健身群众体育活动。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成绩四。</w:t>
      </w:r>
      <w:r>
        <w:rPr>
          <w:rFonts w:hint="eastAsia" w:ascii="楷体" w:hAnsi="楷体" w:eastAsia="楷体"/>
          <w:sz w:val="32"/>
          <w:szCs w:val="32"/>
        </w:rPr>
        <w:t>健全、协调、引导，发挥协会作用。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七、存在的问题及原因分析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（一）问题一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ascii="仿宋" w:hAnsi="仿宋" w:eastAsia="仿宋"/>
          <w:sz w:val="32"/>
          <w:szCs w:val="32"/>
        </w:rPr>
        <w:t>全民健身的宣传引导还有待加强。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（二）问题二。</w:t>
      </w:r>
      <w:r>
        <w:rPr>
          <w:rFonts w:ascii="仿宋" w:hAnsi="仿宋" w:eastAsia="仿宋"/>
          <w:sz w:val="32"/>
          <w:szCs w:val="32"/>
        </w:rPr>
        <w:t>全民健身的场地设施还有待充实。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leftChars="0" w:right="0" w:rightChars="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（三）问题三。</w:t>
      </w:r>
      <w:r>
        <w:rPr>
          <w:rFonts w:ascii="仿宋" w:hAnsi="仿宋" w:eastAsia="仿宋"/>
          <w:sz w:val="32"/>
          <w:szCs w:val="32"/>
        </w:rPr>
        <w:t>全民健身的体制机制还有待健全。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leftChars="0" w:right="0" w:right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（四）问题四。</w:t>
      </w:r>
      <w:r>
        <w:rPr>
          <w:rFonts w:ascii="仿宋" w:hAnsi="仿宋" w:eastAsia="仿宋"/>
          <w:sz w:val="32"/>
          <w:szCs w:val="32"/>
        </w:rPr>
        <w:t>全民健身的指导力量还有待强化。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八、下一步改进措施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（一）、全面抓好队伍建设；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（二）、继续组织实施《全民健身计划纲要》重点抓好全民健身月各项体育健身活动，广泛宣传与开展全民健身运动的力度与质量，特别是篮球、乒乓球、气排球赛、羽毛球、职工长跑等赛事；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（三）推动体育事业高质量发展。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1.促进体育与旅游融合发展，办好2022年中国户外健身休闲大会、丰源滑板比赛。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强和省、市对接，进一步争体育资金、项目，力争拿下市级武术基地人才建设，持续做好武术进校园，培养我县武术人才，挖掘推广绥宁苗拳。同时，不断完善城乡体育基础设施，持续开展全民健身活动，实现群众 “强身、健心、睦邻、乐群”的目标；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（四）、坚决落实疫情防控各项预防措施；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（五）、协助其他相关部门开展好节假日期间系列全民健身群体活动；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（六）、协助乡镇做好体育工作。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附件：1.部门整体支出绩效评价基础数据表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09" w:firstLineChars="503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2.部门整体支出绩效自评表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1-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spacing w:line="740" w:lineRule="exact"/>
        <w:jc w:val="center"/>
        <w:rPr>
          <w:rFonts w:hint="eastAsia"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202</w:t>
      </w:r>
      <w:r>
        <w:rPr>
          <w:rFonts w:hint="eastAsia" w:ascii="黑体" w:hAnsi="黑体" w:eastAsia="黑体" w:cs="黑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年度部门整体支出绩效评价基础数据表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</w:p>
    <w:tbl>
      <w:tblPr>
        <w:tblStyle w:val="7"/>
        <w:tblW w:w="100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0.06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0.06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123.21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运行维护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上级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其中：免开专项资金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105.21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体育彩票公益金专项资金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25.17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8.25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0.81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10.67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7.27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0.78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1.25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40.87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103.67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76.71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159.22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突出重点，务求实效，严格落实厉行节约目标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202</w:t>
      </w:r>
      <w:r>
        <w:rPr>
          <w:rFonts w:hint="eastAsia" w:ascii="黑体" w:hAnsi="黑体" w:eastAsia="黑体" w:cs="黑体"/>
          <w:sz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</w:rPr>
        <w:t>年度部门整体支出绩效自评表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</w:rPr>
      </w:pPr>
    </w:p>
    <w:tbl>
      <w:tblPr>
        <w:tblStyle w:val="7"/>
        <w:tblW w:w="104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绥宁县全民健身服务中心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全年预算数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全年执行数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执行率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76.71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226.67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227.22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100.24%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226.67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227.22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198.69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159.22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16.31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11.66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全年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7"/>
              </w:tabs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更好的满足全县人民运动需求要求,推动全县社会政治、经济、文化、健康和科学的发展 。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通过完善体育场馆设施,日益满足广大市民各种运动需求,真正的"全民健身"，使体育文化真正成为我县崛起的支撑力.通过不断的完善服务体系,使服务对象受益,让全民健身得到社会公众的认可。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产出指标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规范项目实施和资产管理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规范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开展全民健身活动及培训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指导全县各级体育协会开展群众体育工作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达标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完成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财政资金使用合规性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规范预算开支，符合国家财经法规和单位财务管理制度规定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基本完成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工作有效性及安全性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不得出现重大事故及投诉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零故障零投诉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验收合格率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各项目实施及设备验收合格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工作效率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完成全年任务考核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完成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降低行政成本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不超全年预算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未超全年预算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加强经费和资产管理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措施得力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效果良好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项目使用性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较强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较强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提高身体素质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提高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持续提高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拓展体育馆服务范围履盖到全县范围内运动爱好者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达标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基本完成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满意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受益对象满意度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社会公众满意度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" w:hAnsi="仿宋" w:eastAsia="仿宋" w:cs="仿宋"/>
          <w:sz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960" w:right="0" w:hanging="960" w:hangingChars="40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960" w:right="0" w:hanging="960" w:hangingChars="4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2.综合评价等级分为优秀（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大于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90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）、良好（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80-90分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）、较差（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60-80分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 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小于60分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3.三级绩效指标按需自行增减行。个别不涉及的二级指标可删除不要。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Calibri" w:hAnsi="Calibri" w:eastAsia="黑体" w:cs="Calibri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2022年体育场馆免费开放、四城同创维修改造、绿洲杯篮球比赛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项目绩效自评报告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绥宁县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全民健身服务中心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4月18日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方正小标宋_GBK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1．资金下达预算及项目情况。</w:t>
      </w:r>
    </w:p>
    <w:p>
      <w:pPr>
        <w:ind w:firstLine="680" w:firstLineChars="200"/>
        <w:jc w:val="both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体育场馆免费开放项目下达资金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56万元，用于举办赛事活动、培训、场馆维修及场馆临时工工资；四城同创维修改造项目下达资金10万元，用于全年绿化临时工工资、绿化、</w:t>
      </w:r>
      <w:r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  <w:t>体育场馆护栏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安装、</w:t>
      </w:r>
      <w:r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  <w:t>下水道积水、排污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；绿洲杯篮球比赛项目下达资金2万元，用于赛事场地费、卫生费、水电费。</w:t>
      </w:r>
    </w:p>
    <w:p>
      <w:pPr>
        <w:pStyle w:val="2"/>
        <w:rPr>
          <w:rFonts w:hint="default" w:eastAsia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资金项目绩效目标设定情况。</w:t>
      </w:r>
    </w:p>
    <w:p>
      <w:pPr>
        <w:pStyle w:val="2"/>
        <w:numPr>
          <w:ilvl w:val="0"/>
          <w:numId w:val="0"/>
        </w:numPr>
        <w:ind w:firstLine="680" w:firstLineChars="200"/>
        <w:rPr>
          <w:rFonts w:hint="default" w:ascii="仿宋" w:hAnsi="仿宋" w:eastAsia="仿宋" w:cs="仿宋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体育场馆免费开放项目共计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56万元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0"/>
          <w:kern w:val="2"/>
          <w:sz w:val="32"/>
          <w:szCs w:val="32"/>
          <w:lang w:val="en-US" w:eastAsia="zh-CN" w:bidi="ar-SA"/>
        </w:rPr>
        <w:t>丰富全县干部职工精神文化生活，加强干部职工之间的交流与协作，增进团结与友谊，展现“活力绥宁”风采。；二是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四城同创维修改造项目共计10万元，提升了人民群众的生活环境和生活质量；三是绿洲杯篮球比赛项目共计2万元，推广篮球运动，增进全县职工团结与友谊。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二、绩效自评工作开展情况</w:t>
      </w:r>
    </w:p>
    <w:p>
      <w:pPr>
        <w:ind w:firstLine="643" w:firstLineChars="200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6"/>
          <w:rFonts w:hint="eastAsia" w:ascii="仿宋" w:hAnsi="仿宋" w:eastAsia="仿宋"/>
          <w:b/>
          <w:bCs/>
          <w:color w:val="auto"/>
          <w:sz w:val="32"/>
          <w:szCs w:val="32"/>
          <w:u w:val="none"/>
          <w:lang w:eastAsia="zh-CN"/>
        </w:rPr>
        <w:t>（一）前期准备：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根据《关于开展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2021年度各预算单位专项资金和项目资金支出绩效自评价工作的通知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》（绥财绩〔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2022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〕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7号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）要求，县全民健身服务中心成立专项工作者负责本次绩效自评工作。</w:t>
      </w:r>
    </w:p>
    <w:p>
      <w:pPr>
        <w:ind w:firstLine="643" w:firstLineChars="200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6"/>
          <w:rFonts w:hint="eastAsia" w:ascii="仿宋" w:hAnsi="仿宋" w:eastAsia="仿宋"/>
          <w:b/>
          <w:bCs/>
          <w:color w:val="auto"/>
          <w:sz w:val="32"/>
          <w:szCs w:val="32"/>
          <w:u w:val="none"/>
          <w:lang w:eastAsia="zh-CN"/>
        </w:rPr>
        <w:t>（二）组织过程：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工作组根据年度验收结算情况，安排技术人员深入了解项目完成情况，核查成效。</w:t>
      </w:r>
    </w:p>
    <w:p>
      <w:pPr>
        <w:ind w:firstLine="643" w:firstLineChars="200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6"/>
          <w:rFonts w:hint="eastAsia" w:ascii="仿宋" w:hAnsi="仿宋" w:eastAsia="仿宋"/>
          <w:b/>
          <w:bCs/>
          <w:color w:val="auto"/>
          <w:sz w:val="32"/>
          <w:szCs w:val="32"/>
          <w:u w:val="none"/>
          <w:lang w:eastAsia="zh-CN"/>
        </w:rPr>
        <w:t>（三）分析评价：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通过</w:t>
      </w:r>
      <w:r>
        <w:rPr>
          <w:rFonts w:hint="eastAsia" w:ascii="仿宋" w:hAnsi="仿宋" w:eastAsia="仿宋"/>
          <w:sz w:val="32"/>
          <w:szCs w:val="32"/>
        </w:rPr>
        <w:t>开展全民健身活动，增强人民体质，</w:t>
      </w:r>
      <w:r>
        <w:rPr>
          <w:rFonts w:hint="eastAsia" w:ascii="仿宋" w:hAnsi="仿宋" w:eastAsia="仿宋" w:cs="Times New Roman"/>
          <w:sz w:val="32"/>
          <w:szCs w:val="32"/>
        </w:rPr>
        <w:t>体育发展进一步</w:t>
      </w:r>
      <w:r>
        <w:rPr>
          <w:rStyle w:val="6"/>
          <w:rFonts w:hint="eastAsia" w:ascii="仿宋" w:hAnsi="仿宋" w:eastAsia="仿宋" w:cs="Times New Roman"/>
          <w:color w:val="auto"/>
          <w:sz w:val="32"/>
          <w:szCs w:val="32"/>
          <w:u w:val="none"/>
          <w:lang w:eastAsia="zh-CN"/>
        </w:rPr>
        <w:t>提升，升级硬件设施，提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高了大家的幸福感和满意度。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三、绩效目标完成情况分析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(一)项目资金情况分析。</w:t>
      </w:r>
    </w:p>
    <w:p>
      <w:pPr>
        <w:ind w:firstLine="680" w:firstLineChars="200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1.项目资金到位情况分析；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县全民健身服务中心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2022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年度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体育场馆免费开放项目资金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56万元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;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四城同创维修改造项目资金10万元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;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绿洲杯篮球比赛项目资金2万元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2.项目资金执行情况分析；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县全民健身服务中心实际使用这三项专项资金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分别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体育场馆免费开放项目资金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56万元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;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四城同创维修改造项目资金10万元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;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绿洲杯篮球比赛项目资金2万元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ind w:firstLine="680" w:firstLineChars="200"/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3.项目资金管理情况分析；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该资金由县全民健身服务中心负责管理，资金使用按实报销。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(二)项目绩效指标完成情况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1.产出指标完成情况分析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(1)项目完成数量；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完成了体育场馆免费开放项目资金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56万元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;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四城同创维修改造项目资金10万元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;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绿洲杯篮球比赛项目资金2万元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(2)项目完成质量；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促进全县精神文明建设，推动全市社会政 治、经济、文化、健康和科学的发展，使更多民众能够自主的运动，提高身体素质，促进社会主义建设；四城同创维修改造项目提升了人民群众的生活环境和生活质量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增进团结与友谊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绿洲杯篮球比赛项目丰富精神文化生活，推广篮球运动，增进全县职工团结与友谊。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(3)项目实施进度；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体育场馆免费开放项目、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四城同创维修改造项目、绿洲杯篮球比赛项目2022年度已保质保量完成。</w:t>
      </w:r>
    </w:p>
    <w:p>
      <w:pPr>
        <w:shd w:val="solid" w:color="FFFFFF" w:fill="auto"/>
        <w:autoSpaceDN w:val="0"/>
        <w:spacing w:line="540" w:lineRule="exact"/>
        <w:ind w:firstLine="680" w:firstLineChars="200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(4)项目成本节约情况；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严格控制经费支出。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2.效益指标完成情况分析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(1)项目实施的经济效益分析；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(2)项目实施的社会效益分析；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 xml:space="preserve">促进全县精神文明建设，推动全市社会政 治、经济、文化、健康和科学的发展，使更多民众能够自主的运动，提高身体素质，促进社会主义建设。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(3)项目实施的生态效益分析；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优化环境。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(4)项目实施的可持续影响分析；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增进团结与友谊。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3、满意度指标完成情况分析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/>
        </w:rPr>
      </w:pPr>
      <w:r>
        <w:rPr>
          <w:rStyle w:val="6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我中心始终围绕大局，扎实推进工作，着力打造人民群众满意的服务型机关。</w:t>
      </w:r>
      <w:r>
        <w:rPr>
          <w:rStyle w:val="6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一是</w:t>
      </w:r>
      <w:r>
        <w:rPr>
          <w:rStyle w:val="6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社会满意度保持高比例；</w:t>
      </w:r>
      <w:r>
        <w:rPr>
          <w:rStyle w:val="6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二是</w:t>
      </w:r>
      <w:r>
        <w:rPr>
          <w:rStyle w:val="6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服务水平得到社会高度赞扬。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存在的主要问题及产生的原因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通过对整体支出情况的分析，我中心在整体支出预算的过程中存在一些问题和不足。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(一)项目申报及实施管理方面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1、项目立项；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2、项目跟踪监管；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体育场馆免费开放项目、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四城同创维修改造项目、绿洲杯篮球比赛项目</w:t>
      </w:r>
      <w:r>
        <w:rPr>
          <w:rStyle w:val="6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采取动态监管。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3、项目实施进度;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体育场馆免费开放项目、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四城同创维修改造项目、绿洲杯篮球比赛项目2022年度已保质保量完成。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4、项目其他方面；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(二)资金管理方面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1、资金使用；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2、项目资金拨付；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3、会计核算；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3" w:firstLineChars="200"/>
        <w:jc w:val="both"/>
        <w:textAlignment w:val="auto"/>
        <w:rPr>
          <w:rFonts w:hint="eastAsia" w:ascii="楷体" w:hAnsi="楷体" w:eastAsia="楷体" w:cs="楷体"/>
          <w:b/>
          <w:bCs/>
          <w:spacing w:val="1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</w:rPr>
        <w:t>(三)产生的原因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五、下一步改进措施及建议</w:t>
      </w:r>
    </w:p>
    <w:p>
      <w:pPr>
        <w:pStyle w:val="2"/>
        <w:ind w:left="0" w:leftChars="0" w:firstLine="683" w:firstLineChars="200"/>
        <w:rPr>
          <w:rFonts w:hint="eastAsia"/>
        </w:rPr>
      </w:pPr>
      <w:r>
        <w:rPr>
          <w:rFonts w:hint="eastAsia" w:ascii="楷体" w:hAnsi="楷体" w:eastAsia="楷体" w:cs="楷体"/>
          <w:b/>
          <w:bCs/>
          <w:spacing w:val="10"/>
          <w:sz w:val="32"/>
          <w:szCs w:val="32"/>
          <w:lang w:eastAsia="zh-CN"/>
        </w:rPr>
        <w:t>一是加强项目建设管理，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加强中心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的沟通配合，提高项目设计精准度，减少项目后期变更，提前做好项目储备，对年度无法实施的项目能及时进行项目调整。</w:t>
      </w:r>
      <w:r>
        <w:rPr>
          <w:rFonts w:hint="eastAsia" w:ascii="仿宋" w:hAnsi="仿宋" w:eastAsia="仿宋" w:cs="仿宋"/>
          <w:b/>
          <w:bCs/>
          <w:spacing w:val="10"/>
          <w:sz w:val="32"/>
          <w:szCs w:val="32"/>
          <w:lang w:eastAsia="zh-CN"/>
        </w:rPr>
        <w:t>二是进一步健全和完善财务管理制度，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创新管理手段，用新思路、新方法，改进完善财务管理方法。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绩效自评结果拟应用和公开情况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1、我单位根据专项绩效评定指标对各项目量化评价，自评指标得分9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2、将项目支出后的实际状况与项目申报的绩效目标进行对比分析。按项目实际支出和项目申报绩效目标进行对比分析自评得分100分，所有项目均与批复下达相符。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附件：项目支出绩效目标自评表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spacing w:before="227" w:line="182" w:lineRule="auto"/>
        <w:jc w:val="center"/>
        <w:rPr>
          <w:rFonts w:hint="eastAsia" w:ascii="黑体" w:hAnsi="黑体" w:eastAsia="黑体" w:cs="黑体"/>
          <w:spacing w:val="-1"/>
          <w:sz w:val="44"/>
          <w:szCs w:val="44"/>
        </w:rPr>
      </w:pP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项目支出</w:t>
      </w:r>
      <w:r>
        <w:rPr>
          <w:rFonts w:hint="eastAsia" w:ascii="黑体" w:hAnsi="黑体" w:eastAsia="黑体" w:cs="黑体"/>
          <w:spacing w:val="-2"/>
          <w:sz w:val="44"/>
          <w:szCs w:val="44"/>
        </w:rPr>
        <w:t>绩</w:t>
      </w:r>
      <w:r>
        <w:rPr>
          <w:rFonts w:hint="eastAsia" w:ascii="黑体" w:hAnsi="黑体" w:eastAsia="黑体" w:cs="黑体"/>
          <w:spacing w:val="-1"/>
          <w:sz w:val="44"/>
          <w:szCs w:val="44"/>
        </w:rPr>
        <w:t>效目标自评表</w:t>
      </w:r>
    </w:p>
    <w:p>
      <w:pPr>
        <w:spacing w:before="47" w:line="197" w:lineRule="auto"/>
        <w:ind w:left="3525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17145</wp:posOffset>
                </wp:positionV>
                <wp:extent cx="633095" cy="2362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19" w:lineRule="auto"/>
                              <w:ind w:left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25pt;margin-top:1.35pt;height:18.6pt;width:49.85pt;z-index:251659264;mso-width-relative:page;mso-height-relative:page;" filled="f" stroked="f" coordsize="21600,21600" o:gfxdata="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vLP9LYAAAACAEAAA8AAAAAAAAA&#10;AQAgAAAAIgAAAGRycy9kb3ducmV2LnhtbFBLAQIUABQAAAAIAIdO4kBVAVC4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19" w:lineRule="auto"/>
                        <w:ind w:left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22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pacing w:val="17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年度)</w:t>
      </w:r>
    </w:p>
    <w:tbl>
      <w:tblPr>
        <w:tblStyle w:val="9"/>
        <w:tblW w:w="8132" w:type="dxa"/>
        <w:tblInd w:w="2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95"/>
        <w:gridCol w:w="658"/>
        <w:gridCol w:w="1379"/>
        <w:gridCol w:w="1102"/>
        <w:gridCol w:w="738"/>
        <w:gridCol w:w="706"/>
        <w:gridCol w:w="650"/>
        <w:gridCol w:w="820"/>
        <w:gridCol w:w="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项目名称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体育场馆免费开放项目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项目负责人及电话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陈伟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13574920333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主管部门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县文化旅游广电体育局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实施单位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县全民健身服务中心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0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金情况(万元)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全年预算数(A)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全年执行数(B)</w:t>
            </w:r>
          </w:p>
        </w:tc>
        <w:tc>
          <w:tcPr>
            <w:tcW w:w="65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分值</w:t>
            </w:r>
          </w:p>
        </w:tc>
        <w:tc>
          <w:tcPr>
            <w:tcW w:w="82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执行率(B/A)</w:t>
            </w:r>
          </w:p>
        </w:tc>
        <w:tc>
          <w:tcPr>
            <w:tcW w:w="831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年度资金总额：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10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其中：本年财政拨款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其他资金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76" w:line="219" w:lineRule="auto"/>
              <w:ind w:left="184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标</w:t>
            </w:r>
          </w:p>
        </w:tc>
        <w:tc>
          <w:tcPr>
            <w:tcW w:w="3834" w:type="dxa"/>
            <w:gridSpan w:val="4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初设定目标</w:t>
            </w:r>
          </w:p>
        </w:tc>
        <w:tc>
          <w:tcPr>
            <w:tcW w:w="3745" w:type="dxa"/>
            <w:gridSpan w:val="5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年度总体目标完成情况综述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按要求完成赛事活动、培训</w:t>
            </w:r>
          </w:p>
        </w:tc>
        <w:tc>
          <w:tcPr>
            <w:tcW w:w="374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53" w:type="dxa"/>
            <w:vMerge w:val="restart"/>
            <w:tcBorders>
              <w:bottom w:val="nil"/>
            </w:tcBorders>
            <w:vAlign w:val="bottom"/>
          </w:tcPr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绩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效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指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695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一级指标</w:t>
            </w:r>
          </w:p>
        </w:tc>
        <w:tc>
          <w:tcPr>
            <w:tcW w:w="65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二级指标</w:t>
            </w: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三级指标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分值</w:t>
            </w:r>
          </w:p>
        </w:tc>
        <w:tc>
          <w:tcPr>
            <w:tcW w:w="73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年度指标值</w:t>
            </w:r>
          </w:p>
        </w:tc>
        <w:tc>
          <w:tcPr>
            <w:tcW w:w="706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全年实际值</w:t>
            </w:r>
          </w:p>
        </w:tc>
        <w:tc>
          <w:tcPr>
            <w:tcW w:w="65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未完成的原因及拟采取的改进措施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出指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标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(5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0分)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数量指标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举办赛事活动次数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8次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8次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质量指标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验收合格率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效指标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项目完成及时率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本指标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举办赛事活动费用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7万元/次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7万元/次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2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效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益指标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(30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经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济效益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" w:line="209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社会效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促进全县精神文明建设，使更多民众能够自主的运动，提高身体素质，促进社会主义建设。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3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生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态效益指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可持续影响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增进团结与友谊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4" w:line="194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满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意度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标(10)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分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服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务对象满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受益对象满意度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社会公众满意度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85" w:type="dxa"/>
            <w:gridSpan w:val="4"/>
            <w:vAlign w:val="top"/>
          </w:tcPr>
          <w:p>
            <w:pPr>
              <w:spacing w:before="71" w:line="22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1102" w:type="dxa"/>
            <w:vAlign w:val="top"/>
          </w:tcPr>
          <w:p>
            <w:pPr>
              <w:spacing w:before="104" w:line="19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100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2.综合评价等级分为优秀（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大于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90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）、良好（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80-90分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）、较差（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60-80分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 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小于60分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3.三级绩效指标按需自行增减行。个别不涉及的二级指标可删除不要。</w:t>
      </w:r>
    </w:p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spacing w:before="227" w:line="182" w:lineRule="auto"/>
        <w:jc w:val="center"/>
        <w:rPr>
          <w:rFonts w:hint="eastAsia" w:ascii="黑体" w:hAnsi="黑体" w:eastAsia="黑体" w:cs="黑体"/>
          <w:spacing w:val="-1"/>
          <w:sz w:val="44"/>
          <w:szCs w:val="44"/>
        </w:rPr>
      </w:pP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项目支出</w:t>
      </w:r>
      <w:r>
        <w:rPr>
          <w:rFonts w:hint="eastAsia" w:ascii="黑体" w:hAnsi="黑体" w:eastAsia="黑体" w:cs="黑体"/>
          <w:spacing w:val="-2"/>
          <w:sz w:val="44"/>
          <w:szCs w:val="44"/>
        </w:rPr>
        <w:t>绩</w:t>
      </w:r>
      <w:r>
        <w:rPr>
          <w:rFonts w:hint="eastAsia" w:ascii="黑体" w:hAnsi="黑体" w:eastAsia="黑体" w:cs="黑体"/>
          <w:spacing w:val="-1"/>
          <w:sz w:val="44"/>
          <w:szCs w:val="44"/>
        </w:rPr>
        <w:t>效目标自评表</w:t>
      </w:r>
    </w:p>
    <w:p>
      <w:pPr>
        <w:spacing w:before="47" w:line="197" w:lineRule="auto"/>
        <w:ind w:left="3525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17145</wp:posOffset>
                </wp:positionV>
                <wp:extent cx="633095" cy="2362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19" w:lineRule="auto"/>
                              <w:ind w:left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25pt;margin-top:1.35pt;height:18.6pt;width:49.85pt;z-index:251660288;mso-width-relative:page;mso-height-relative:page;" filled="f" stroked="f" coordsize="21600,21600" o:gfxdata="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vLP9LYAAAACAEAAA8AAAAAAAAA&#10;AQAgAAAAIgAAAGRycy9kb3ducmV2LnhtbFBLAQIUABQAAAAIAIdO4kALFVuG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19" w:lineRule="auto"/>
                        <w:ind w:left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22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pacing w:val="17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年度)</w:t>
      </w:r>
    </w:p>
    <w:tbl>
      <w:tblPr>
        <w:tblStyle w:val="9"/>
        <w:tblW w:w="8132" w:type="dxa"/>
        <w:tblInd w:w="2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95"/>
        <w:gridCol w:w="658"/>
        <w:gridCol w:w="1379"/>
        <w:gridCol w:w="1102"/>
        <w:gridCol w:w="738"/>
        <w:gridCol w:w="706"/>
        <w:gridCol w:w="650"/>
        <w:gridCol w:w="820"/>
        <w:gridCol w:w="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项目名称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四城同创维修改造项目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项目负责人及电话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陈伟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13574920333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主管部门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县文化旅游广电体育局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实施单位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县全民健身服务中心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0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金情况(万元)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全年预算数(A)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全年执行数(B)</w:t>
            </w:r>
          </w:p>
        </w:tc>
        <w:tc>
          <w:tcPr>
            <w:tcW w:w="65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分值</w:t>
            </w:r>
          </w:p>
        </w:tc>
        <w:tc>
          <w:tcPr>
            <w:tcW w:w="82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执行率(B/A)</w:t>
            </w:r>
          </w:p>
        </w:tc>
        <w:tc>
          <w:tcPr>
            <w:tcW w:w="831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年度资金总额：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10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其中：本年财政拨款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其他资金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76" w:line="219" w:lineRule="auto"/>
              <w:ind w:left="184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标</w:t>
            </w:r>
          </w:p>
        </w:tc>
        <w:tc>
          <w:tcPr>
            <w:tcW w:w="3834" w:type="dxa"/>
            <w:gridSpan w:val="4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初设定目标</w:t>
            </w:r>
          </w:p>
        </w:tc>
        <w:tc>
          <w:tcPr>
            <w:tcW w:w="3745" w:type="dxa"/>
            <w:gridSpan w:val="5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年度总体目标完成情况综述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提升人民群众的生活环境和生活质量</w:t>
            </w:r>
          </w:p>
        </w:tc>
        <w:tc>
          <w:tcPr>
            <w:tcW w:w="374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人民群众的生活环境和生活质量得到提升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53" w:type="dxa"/>
            <w:vMerge w:val="restart"/>
            <w:tcBorders>
              <w:bottom w:val="nil"/>
            </w:tcBorders>
            <w:vAlign w:val="bottom"/>
          </w:tcPr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绩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效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指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695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一级指标</w:t>
            </w:r>
          </w:p>
        </w:tc>
        <w:tc>
          <w:tcPr>
            <w:tcW w:w="65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二级指标</w:t>
            </w: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三级指标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分值</w:t>
            </w:r>
          </w:p>
        </w:tc>
        <w:tc>
          <w:tcPr>
            <w:tcW w:w="73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年度指标值</w:t>
            </w:r>
          </w:p>
        </w:tc>
        <w:tc>
          <w:tcPr>
            <w:tcW w:w="706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全年实际值</w:t>
            </w:r>
          </w:p>
        </w:tc>
        <w:tc>
          <w:tcPr>
            <w:tcW w:w="65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未完成的原因及拟采取的改进措施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出指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标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(5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0分)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数量指标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全年绿化临时工工资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买树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18颗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18颗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安装护栏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150米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150米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下水道积水排污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1次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1次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质量指标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验收合格率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效指标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项目完成及时率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本指标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全年绿化临时工工资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15000元/人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15000元/人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买树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420元/颗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420元/颗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安装护栏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150元/米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150元/米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下水道积水排污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54940元 /次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54940元 /次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2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效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益指标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(30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经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济效益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" w:line="209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社会效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服务能力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3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生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态效益指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可持续影响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4" w:line="194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满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意度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标(10)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分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服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务对象满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受益对象满意度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社会公众满意度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85" w:type="dxa"/>
            <w:gridSpan w:val="4"/>
            <w:vAlign w:val="top"/>
          </w:tcPr>
          <w:p>
            <w:pPr>
              <w:spacing w:before="71" w:line="22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1102" w:type="dxa"/>
            <w:vAlign w:val="top"/>
          </w:tcPr>
          <w:p>
            <w:pPr>
              <w:spacing w:before="104" w:line="19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100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2.综合评价等级分为优秀（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大于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90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）、良好（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80-90分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）、较差（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60-80分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 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小于60分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3.三级绩效指标按需自行增减行。个别不涉及的二级指标可删除不要。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spacing w:before="227" w:line="182" w:lineRule="auto"/>
        <w:jc w:val="center"/>
        <w:rPr>
          <w:rFonts w:hint="eastAsia" w:ascii="黑体" w:hAnsi="黑体" w:eastAsia="黑体" w:cs="黑体"/>
          <w:spacing w:val="-1"/>
          <w:sz w:val="44"/>
          <w:szCs w:val="44"/>
        </w:rPr>
      </w:pPr>
      <w:r>
        <w:rPr>
          <w:rFonts w:hint="eastAsia" w:ascii="黑体" w:hAnsi="黑体" w:eastAsia="黑体" w:cs="黑体"/>
          <w:spacing w:val="-2"/>
          <w:sz w:val="44"/>
          <w:szCs w:val="44"/>
          <w:lang w:val="en-US" w:eastAsia="zh-CN"/>
        </w:rPr>
        <w:t>项目支出</w:t>
      </w:r>
      <w:r>
        <w:rPr>
          <w:rFonts w:hint="eastAsia" w:ascii="黑体" w:hAnsi="黑体" w:eastAsia="黑体" w:cs="黑体"/>
          <w:spacing w:val="-2"/>
          <w:sz w:val="44"/>
          <w:szCs w:val="44"/>
        </w:rPr>
        <w:t>绩</w:t>
      </w:r>
      <w:r>
        <w:rPr>
          <w:rFonts w:hint="eastAsia" w:ascii="黑体" w:hAnsi="黑体" w:eastAsia="黑体" w:cs="黑体"/>
          <w:spacing w:val="-1"/>
          <w:sz w:val="44"/>
          <w:szCs w:val="44"/>
        </w:rPr>
        <w:t>效目标自评表</w:t>
      </w:r>
    </w:p>
    <w:p>
      <w:pPr>
        <w:spacing w:before="47" w:line="197" w:lineRule="auto"/>
        <w:ind w:left="3525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17145</wp:posOffset>
                </wp:positionV>
                <wp:extent cx="633095" cy="2362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19" w:lineRule="auto"/>
                              <w:ind w:left="20"/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25pt;margin-top:1.35pt;height:18.6pt;width:49.85pt;z-index:251661312;mso-width-relative:page;mso-height-relative:page;" filled="f" stroked="f" coordsize="21600,21600" o:gfxdata="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vLP9LYAAAACAEAAA8AAAAAAAAA&#10;AQAgAAAAIgAAAGRycy9kb3ducmV2LnhtbFBLAQIUABQAAAAIAIdO4kCg8HkbnwEAACM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19" w:lineRule="auto"/>
                        <w:ind w:left="20"/>
                        <w:rPr>
                          <w:rFonts w:ascii="仿宋" w:hAnsi="仿宋" w:eastAsia="仿宋" w:cs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22"/>
          <w:sz w:val="32"/>
          <w:szCs w:val="32"/>
        </w:rPr>
        <w:t>(</w:t>
      </w:r>
      <w:r>
        <w:rPr>
          <w:rFonts w:hint="eastAsia" w:ascii="仿宋" w:hAnsi="仿宋" w:eastAsia="仿宋" w:cs="仿宋"/>
          <w:b/>
          <w:bCs/>
          <w:spacing w:val="17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pacing w:val="17"/>
          <w:sz w:val="32"/>
          <w:szCs w:val="32"/>
        </w:rPr>
        <w:t>年度)</w:t>
      </w:r>
    </w:p>
    <w:tbl>
      <w:tblPr>
        <w:tblStyle w:val="9"/>
        <w:tblW w:w="8132" w:type="dxa"/>
        <w:tblInd w:w="2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95"/>
        <w:gridCol w:w="658"/>
        <w:gridCol w:w="1379"/>
        <w:gridCol w:w="1102"/>
        <w:gridCol w:w="738"/>
        <w:gridCol w:w="706"/>
        <w:gridCol w:w="650"/>
        <w:gridCol w:w="820"/>
        <w:gridCol w:w="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项目名称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绿洲杯篮球比赛项目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项目负责人及电话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陈伟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13574920333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6" w:type="dxa"/>
            <w:gridSpan w:val="3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主管部门</w:t>
            </w:r>
          </w:p>
        </w:tc>
        <w:tc>
          <w:tcPr>
            <w:tcW w:w="2481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县文化旅游广电体育局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实施单位</w:t>
            </w:r>
          </w:p>
        </w:tc>
        <w:tc>
          <w:tcPr>
            <w:tcW w:w="2301" w:type="dxa"/>
            <w:gridSpan w:val="3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eastAsia="zh-CN"/>
              </w:rPr>
              <w:t>县全民健身服务中心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0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资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金情况(万元)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全年预算数(A)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全年执行数(B)</w:t>
            </w:r>
          </w:p>
        </w:tc>
        <w:tc>
          <w:tcPr>
            <w:tcW w:w="65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分值</w:t>
            </w:r>
          </w:p>
        </w:tc>
        <w:tc>
          <w:tcPr>
            <w:tcW w:w="82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执行率(B/A)</w:t>
            </w:r>
          </w:p>
        </w:tc>
        <w:tc>
          <w:tcPr>
            <w:tcW w:w="831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年度资金总额：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10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其中：本年财政拨款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06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其他资金</w:t>
            </w:r>
          </w:p>
        </w:tc>
        <w:tc>
          <w:tcPr>
            <w:tcW w:w="1102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  <w:tc>
          <w:tcPr>
            <w:tcW w:w="820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</w:p>
        </w:tc>
        <w:tc>
          <w:tcPr>
            <w:tcW w:w="831" w:type="dxa"/>
            <w:vAlign w:val="top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76" w:line="219" w:lineRule="auto"/>
              <w:ind w:left="184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标</w:t>
            </w:r>
          </w:p>
        </w:tc>
        <w:tc>
          <w:tcPr>
            <w:tcW w:w="3834" w:type="dxa"/>
            <w:gridSpan w:val="4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初设定目标</w:t>
            </w:r>
          </w:p>
        </w:tc>
        <w:tc>
          <w:tcPr>
            <w:tcW w:w="3745" w:type="dxa"/>
            <w:gridSpan w:val="5"/>
            <w:vAlign w:val="top"/>
          </w:tcPr>
          <w:p>
            <w:pPr>
              <w:spacing w:before="10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年度总体目标完成情况综述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5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喜迎党的二十大胜利召开，丰富全县干部职工精神文化生活，加强干部职工之间的交流与协作，增进团结与友谊，展现“活力绥宁”风采。</w:t>
            </w:r>
          </w:p>
        </w:tc>
        <w:tc>
          <w:tcPr>
            <w:tcW w:w="374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53" w:type="dxa"/>
            <w:vMerge w:val="restart"/>
            <w:tcBorders>
              <w:bottom w:val="nil"/>
            </w:tcBorders>
            <w:vAlign w:val="bottom"/>
          </w:tcPr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绩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效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指</w:t>
            </w:r>
          </w:p>
          <w:p>
            <w:pPr>
              <w:spacing w:before="62" w:line="210" w:lineRule="auto"/>
              <w:ind w:right="75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695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一级指标</w:t>
            </w:r>
          </w:p>
        </w:tc>
        <w:tc>
          <w:tcPr>
            <w:tcW w:w="65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二级指标</w:t>
            </w:r>
          </w:p>
        </w:tc>
        <w:tc>
          <w:tcPr>
            <w:tcW w:w="1379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三级指标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分值</w:t>
            </w:r>
          </w:p>
        </w:tc>
        <w:tc>
          <w:tcPr>
            <w:tcW w:w="738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年度指标值</w:t>
            </w:r>
          </w:p>
        </w:tc>
        <w:tc>
          <w:tcPr>
            <w:tcW w:w="706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全年实际值</w:t>
            </w:r>
          </w:p>
        </w:tc>
        <w:tc>
          <w:tcPr>
            <w:tcW w:w="650" w:type="dxa"/>
            <w:vAlign w:val="center"/>
          </w:tcPr>
          <w:p>
            <w:pPr>
              <w:spacing w:before="59" w:line="227" w:lineRule="auto"/>
              <w:jc w:val="center"/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得分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before="59" w:line="227" w:lineRule="auto"/>
              <w:jc w:val="center"/>
              <w:rPr>
                <w:rFonts w:hint="default" w:ascii="仿宋" w:hAnsi="仿宋" w:eastAsia="仿宋" w:cs="仿宋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lang w:val="en-US" w:eastAsia="zh-CN"/>
              </w:rPr>
              <w:t>未完成的原因及拟采取的改进措施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出指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</w:rPr>
              <w:t>标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(5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0分)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数量指标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赛事场地、卫生、水电费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质量指标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验收合格率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3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时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效指标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项目完成及时率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2" w:line="22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成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本指标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赛事场地、卫生、水电费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2万元/次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2万元/次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2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效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益指标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(30</w:t>
            </w:r>
            <w:r>
              <w:rPr>
                <w:rFonts w:hint="eastAsia" w:ascii="仿宋" w:hAnsi="仿宋" w:eastAsia="仿宋" w:cs="仿宋"/>
                <w:spacing w:val="20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19"/>
                <w:sz w:val="21"/>
                <w:szCs w:val="21"/>
              </w:rPr>
              <w:t>)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经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济效益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" w:line="209" w:lineRule="auto"/>
              <w:ind w:right="119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社会效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益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促进全县精神文明建设，使更多民众能够自主的运动，提高身体素质，促进社会主义建设。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3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生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>态效益指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11" w:line="221" w:lineRule="auto"/>
              <w:ind w:right="2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可持续影响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推广篮球运动，增进团结与友谊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>
            <w:pPr>
              <w:spacing w:before="4" w:line="194" w:lineRule="auto"/>
              <w:ind w:right="6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</w:rPr>
              <w:t>满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意度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标(10)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分</w:t>
            </w:r>
          </w:p>
        </w:tc>
        <w:tc>
          <w:tcPr>
            <w:tcW w:w="6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07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</w:rPr>
              <w:t>服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务对象满</w:t>
            </w:r>
            <w:r>
              <w:rPr>
                <w:rFonts w:hint="eastAsia" w:ascii="仿宋" w:hAnsi="仿宋" w:eastAsia="仿宋" w:cs="仿宋"/>
                <w:spacing w:val="3"/>
                <w:sz w:val="21"/>
                <w:szCs w:val="21"/>
              </w:rPr>
              <w:t>意度指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</w:rPr>
              <w:t>标</w:t>
            </w: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受益对象满意度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社会公众满意度</w:t>
            </w:r>
          </w:p>
        </w:tc>
        <w:tc>
          <w:tcPr>
            <w:tcW w:w="1102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706" w:type="dxa"/>
            <w:vAlign w:val="top"/>
          </w:tcPr>
          <w:p>
            <w:pPr>
              <w:spacing w:line="205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0" w:type="dxa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spacing w:line="205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285" w:type="dxa"/>
            <w:gridSpan w:val="4"/>
            <w:vAlign w:val="top"/>
          </w:tcPr>
          <w:p>
            <w:pPr>
              <w:spacing w:before="71" w:line="22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1102" w:type="dxa"/>
            <w:vAlign w:val="top"/>
          </w:tcPr>
          <w:p>
            <w:pPr>
              <w:spacing w:before="104" w:line="196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100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651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2.综合评价等级分为优秀（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大于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90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）、良好（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80-90分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）、较差（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60-80分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）、 差（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小于60分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ascii="Calibri" w:hAnsi="Calibri" w:eastAsia="仿宋_GB2312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3.三级绩效指标按需自行增减行。个别不涉及的二级指标可删除不要。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F987B"/>
    <w:multiLevelType w:val="singleLevel"/>
    <w:tmpl w:val="B9BF987B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D99D4A05"/>
    <w:multiLevelType w:val="singleLevel"/>
    <w:tmpl w:val="D99D4A05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2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E721B3A"/>
    <w:multiLevelType w:val="singleLevel"/>
    <w:tmpl w:val="7E721B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DFjYjczMTc2ZDY3MjRjNzY1MzA2NDIzMmE4NTMifQ=="/>
  </w:docVars>
  <w:rsids>
    <w:rsidRoot w:val="00000000"/>
    <w:rsid w:val="00BF1F7E"/>
    <w:rsid w:val="07740BAF"/>
    <w:rsid w:val="08CE1392"/>
    <w:rsid w:val="0B0577DC"/>
    <w:rsid w:val="0E544E57"/>
    <w:rsid w:val="10EF574B"/>
    <w:rsid w:val="12635AA8"/>
    <w:rsid w:val="12AA1814"/>
    <w:rsid w:val="16DC3E4F"/>
    <w:rsid w:val="16EE1BB5"/>
    <w:rsid w:val="17EB6307"/>
    <w:rsid w:val="1D3F35B6"/>
    <w:rsid w:val="23B02B18"/>
    <w:rsid w:val="23C969CE"/>
    <w:rsid w:val="268070C2"/>
    <w:rsid w:val="27E91FF5"/>
    <w:rsid w:val="281025A5"/>
    <w:rsid w:val="285E30F8"/>
    <w:rsid w:val="2DD445FD"/>
    <w:rsid w:val="3041038A"/>
    <w:rsid w:val="30E56023"/>
    <w:rsid w:val="330B22E9"/>
    <w:rsid w:val="36944431"/>
    <w:rsid w:val="39B0341A"/>
    <w:rsid w:val="3A2E1940"/>
    <w:rsid w:val="3CE27966"/>
    <w:rsid w:val="41A03D74"/>
    <w:rsid w:val="423D5A66"/>
    <w:rsid w:val="46B869B7"/>
    <w:rsid w:val="48410841"/>
    <w:rsid w:val="4AEC7B3E"/>
    <w:rsid w:val="4EDD5639"/>
    <w:rsid w:val="50E13F2A"/>
    <w:rsid w:val="518912A0"/>
    <w:rsid w:val="51EA20C4"/>
    <w:rsid w:val="53D55AFF"/>
    <w:rsid w:val="571E76EE"/>
    <w:rsid w:val="5A2A7623"/>
    <w:rsid w:val="5CF74D74"/>
    <w:rsid w:val="5DB4040F"/>
    <w:rsid w:val="5E573ACB"/>
    <w:rsid w:val="62332162"/>
    <w:rsid w:val="62BD432E"/>
    <w:rsid w:val="62BD7466"/>
    <w:rsid w:val="632A3916"/>
    <w:rsid w:val="63473BF7"/>
    <w:rsid w:val="635655AC"/>
    <w:rsid w:val="66833198"/>
    <w:rsid w:val="6ABB2000"/>
    <w:rsid w:val="6D62736B"/>
    <w:rsid w:val="6D9565B3"/>
    <w:rsid w:val="6DA560EA"/>
    <w:rsid w:val="6DB72573"/>
    <w:rsid w:val="6E023299"/>
    <w:rsid w:val="721042A2"/>
    <w:rsid w:val="725400DF"/>
    <w:rsid w:val="72C446FC"/>
    <w:rsid w:val="741E3FC0"/>
    <w:rsid w:val="76203748"/>
    <w:rsid w:val="77C704C0"/>
    <w:rsid w:val="78850FF2"/>
    <w:rsid w:val="7A2125C0"/>
    <w:rsid w:val="7C80044E"/>
    <w:rsid w:val="7DB7469F"/>
    <w:rsid w:val="7E7933A7"/>
    <w:rsid w:val="7F1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table" w:customStyle="1" w:styleId="9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cs="Times New Roman" w:eastAsiaTheme="minorEastAsia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6476</Words>
  <Characters>7097</Characters>
  <Lines>0</Lines>
  <Paragraphs>0</Paragraphs>
  <TotalTime>9</TotalTime>
  <ScaleCrop>false</ScaleCrop>
  <LinksUpToDate>false</LinksUpToDate>
  <CharactersWithSpaces>7214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2023-09-05T03:11:35Z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B4EF37EE795A49B2B0D15E1EA9B34C3A_13</vt:lpwstr>
  </property>
</Properties>
</file>