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ind w:firstLineChars="500" w:firstLine="1600"/>
        <w:rPr>
          <w:rFonts w:ascii="仿宋" w:eastAsia="仿宋" w:hAnsi="仿宋" w:hint="eastAsia"/>
          <w:sz w:val="32"/>
          <w:szCs w:val="32"/>
          <w:lang w:val="en-US" w:eastAsia="zh-CN"/>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lang w:eastAsia="zh-CN"/>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center"/>
        <w:rPr>
          <w:rFonts w:ascii="黑体" w:eastAsia="黑体" w:cs="黑体" w:hAnsi="黑体" w:hint="eastAsia"/>
          <w:i w:val="0"/>
          <w:iCs w:val="0"/>
          <w:caps w:val="0"/>
          <w:smallCaps w:val="0"/>
          <w:color w:val="000000"/>
          <w:spacing w:val="0"/>
          <w:sz w:val="44"/>
          <w:szCs w:val="44"/>
          <w:shd w:val="clear" w:color="auto" w:fill="FFFFFF"/>
        </w:rPr>
      </w:pPr>
      <w:r>
        <w:rPr>
          <w:rFonts w:ascii="黑体" w:eastAsia="黑体" w:cs="黑体" w:hAnsi="黑体" w:hint="eastAsia"/>
          <w:i w:val="0"/>
          <w:iCs w:val="0"/>
          <w:caps w:val="0"/>
          <w:smallCaps w:val="0"/>
          <w:color w:val="000000"/>
          <w:spacing w:val="0"/>
          <w:sz w:val="44"/>
          <w:szCs w:val="44"/>
          <w:shd w:val="clear" w:color="auto" w:fill="FFFFFF"/>
          <w:lang w:val="en-US" w:eastAsia="zh-CN"/>
        </w:rPr>
        <w:t>2024年度</w:t>
      </w:r>
      <w:r>
        <w:rPr>
          <w:rFonts w:ascii="黑体" w:eastAsia="黑体" w:cs="黑体" w:hAnsi="黑体" w:hint="eastAsia"/>
          <w:color w:val="000000"/>
          <w:sz w:val="44"/>
          <w:szCs w:val="44"/>
          <w:shd w:val="clear" w:color="auto" w:fill="FFFFFF"/>
          <w:lang w:val="en-US" w:eastAsia="zh-CN"/>
        </w:rPr>
        <w:t>绥宁县政协</w:t>
      </w:r>
      <w:r>
        <w:rPr>
          <w:rFonts w:ascii="黑体" w:eastAsia="黑体" w:cs="黑体" w:hAnsi="黑体" w:hint="eastAsia"/>
          <w:i w:val="0"/>
          <w:iCs w:val="0"/>
          <w:caps w:val="0"/>
          <w:smallCaps w:val="0"/>
          <w:color w:val="000000"/>
          <w:spacing w:val="0"/>
          <w:sz w:val="44"/>
          <w:szCs w:val="44"/>
          <w:shd w:val="clear" w:color="auto" w:fill="FFFFFF"/>
        </w:rPr>
        <w:t>部门整体支出绩效自评报告</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center"/>
        <w:rPr>
          <w:rFonts w:ascii="仿宋" w:eastAsia="仿宋" w:cs="仿宋" w:hAnsi="仿宋" w:hint="eastAsia"/>
          <w:i w:val="0"/>
          <w:iCs w:val="0"/>
          <w:caps w:val="0"/>
          <w:smallCaps w:val="0"/>
          <w:color w:val="000000"/>
          <w:spacing w:val="0"/>
          <w:sz w:val="44"/>
          <w:szCs w:val="44"/>
        </w:rPr>
      </w:pPr>
    </w:p>
    <w:p>
      <w:pPr>
        <w:keepNext w:val="0"/>
        <w:keepLines w:val="0"/>
        <w:widowControl/>
        <w:suppressLineNumbers w:val="0"/>
        <w:ind w:firstLineChars="200" w:firstLine="640"/>
        <w:jc w:val="both"/>
        <w:rPr>
          <w:rFonts w:ascii="仿宋" w:eastAsia="仿宋" w:cs="仿宋" w:hAnsi="仿宋" w:hint="eastAsia"/>
          <w:i w:val="0"/>
          <w:iCs w:val="0"/>
          <w:caps w:val="0"/>
          <w:smallCaps w:val="0"/>
          <w:color w:val="000000"/>
          <w:spacing w:val="0"/>
          <w:sz w:val="32"/>
          <w:szCs w:val="32"/>
        </w:rPr>
      </w:pPr>
      <w:r>
        <w:rPr>
          <w:rFonts w:ascii="仿宋" w:eastAsia="仿宋" w:cs="仿宋" w:hAnsi="仿宋" w:hint="eastAsia"/>
          <w:color w:val="000000"/>
          <w:kern w:val="0"/>
          <w:sz w:val="32"/>
          <w:szCs w:val="32"/>
          <w:lang w:val="en-US" w:eastAsia="zh-CN"/>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rPr>
          <w:rFonts w:ascii="黑体" w:eastAsia="黑体" w:cs="黑体" w:hAnsi="黑体" w:hint="eastAsia"/>
          <w:i w:val="0"/>
          <w:iCs w:val="0"/>
          <w:caps w:val="0"/>
          <w:smallCaps w:val="0"/>
          <w:color w:val="000000"/>
          <w:spacing w:val="0"/>
          <w:sz w:val="32"/>
          <w:szCs w:val="32"/>
        </w:rPr>
      </w:pPr>
      <w:r>
        <w:rPr>
          <w:rFonts w:ascii="黑体" w:eastAsia="黑体" w:cs="黑体" w:hAnsi="黑体" w:hint="eastAsia"/>
          <w:i w:val="0"/>
          <w:iCs w:val="0"/>
          <w:caps w:val="0"/>
          <w:smallCaps w:val="0"/>
          <w:color w:val="000000"/>
          <w:spacing w:val="0"/>
          <w:sz w:val="32"/>
          <w:szCs w:val="32"/>
          <w:shd w:val="clear" w:color="auto" w:fill="FFFFFF"/>
        </w:rPr>
        <w:t>一、部门基本情况</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rPr>
          <w:rFonts w:ascii="楷体" w:eastAsia="楷体" w:cs="楷体" w:hAnsi="楷体" w:hint="eastAsia"/>
          <w:b/>
          <w:bCs/>
          <w:i w:val="0"/>
          <w:iCs w:val="0"/>
          <w:caps w:val="0"/>
          <w:smallCaps w:val="0"/>
          <w:color w:val="000000"/>
          <w:spacing w:val="0"/>
          <w:sz w:val="32"/>
          <w:szCs w:val="32"/>
          <w:shd w:val="clear" w:color="auto" w:fill="FFFFFF"/>
          <w:lang w:val="en-US" w:eastAsia="zh-CN"/>
        </w:rPr>
      </w:pPr>
      <w:r>
        <w:rPr>
          <w:rFonts w:ascii="楷体" w:eastAsia="楷体" w:cs="楷体" w:hAnsi="楷体" w:hint="eastAsia"/>
          <w:b/>
          <w:bCs/>
          <w:i w:val="0"/>
          <w:iCs w:val="0"/>
          <w:caps w:val="0"/>
          <w:smallCaps w:val="0"/>
          <w:color w:val="000000"/>
          <w:spacing w:val="0"/>
          <w:sz w:val="32"/>
          <w:szCs w:val="32"/>
          <w:shd w:val="clear" w:color="auto" w:fill="FFFFFF"/>
        </w:rPr>
        <w:t>（一）</w:t>
      </w:r>
      <w:r>
        <w:rPr>
          <w:rFonts w:ascii="楷体" w:eastAsia="楷体" w:cs="楷体" w:hAnsi="楷体" w:hint="eastAsia"/>
          <w:b/>
          <w:bCs/>
          <w:i w:val="0"/>
          <w:iCs w:val="0"/>
          <w:caps w:val="0"/>
          <w:smallCaps w:val="0"/>
          <w:color w:val="000000"/>
          <w:spacing w:val="0"/>
          <w:sz w:val="32"/>
          <w:szCs w:val="32"/>
          <w:shd w:val="clear" w:color="auto" w:fill="FFFFFF"/>
          <w:lang w:val="en-US" w:eastAsia="zh-CN"/>
        </w:rPr>
        <w:t>部门职能职责</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right="0" w:firstLineChars="200" w:firstLine="640"/>
        <w:rPr>
          <w:rFonts w:ascii="仿宋" w:eastAsia="仿宋" w:cs="仿宋" w:hAnsi="仿宋" w:hint="eastAsia"/>
          <w:b w:val="0"/>
          <w:bCs w:val="0"/>
          <w:i w:val="0"/>
          <w:iCs w:val="0"/>
          <w:caps w:val="0"/>
          <w:smallCaps w:val="0"/>
          <w:color w:val="000000"/>
          <w:spacing w:val="0"/>
          <w:sz w:val="32"/>
          <w:szCs w:val="32"/>
          <w:shd w:val="clear" w:color="auto" w:fill="FFFFFF"/>
          <w:lang w:val="en-US" w:eastAsia="zh-CN"/>
        </w:rPr>
      </w:pP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2019年4月23日，根据绥办发〔2019〕43号文件精神，确定中国人民政治协商会议绥宁县委员会主要职责。</w:t>
      </w:r>
    </w:p>
    <w:p>
      <w:pPr>
        <w:ind w:left="0" w:firstLineChars="200" w:firstLine="640"/>
        <w:jc w:val="both"/>
        <w:rPr>
          <w:rFonts w:ascii="仿宋_GB2312" w:eastAsia="仿宋_GB2312" w:cs="仿宋_GB2312" w:hAnsi="仿宋_GB2312" w:hint="eastAsia"/>
          <w:b w:val="0"/>
          <w:bCs w:val="0"/>
          <w:sz w:val="32"/>
          <w:szCs w:val="32"/>
          <w:lang w:val="en-US" w:eastAsia="zh-CN"/>
        </w:rPr>
      </w:pPr>
      <w:r>
        <w:rPr>
          <w:rFonts w:ascii="仿宋_GB2312" w:eastAsia="仿宋_GB2312" w:cs="仿宋_GB2312" w:hAnsi="仿宋_GB2312" w:hint="eastAsia"/>
          <w:b w:val="0"/>
          <w:bCs w:val="0"/>
          <w:sz w:val="32"/>
          <w:szCs w:val="32"/>
          <w:lang w:val="en-US" w:eastAsia="zh-CN"/>
        </w:rPr>
        <w:t>1.负责县政协全体会议、常务委员会议、主席会议、主席办公会、常务委员专题座谈会和专门委员会的会务工作，负责上述会议所形成的决议、决定、建议案的组织实施。</w:t>
      </w:r>
    </w:p>
    <w:p>
      <w:pPr>
        <w:ind w:left="0" w:firstLineChars="200" w:firstLine="640"/>
        <w:jc w:val="both"/>
        <w:rPr>
          <w:rFonts w:ascii="仿宋_GB2312" w:eastAsia="仿宋_GB2312" w:cs="仿宋_GB2312" w:hAnsi="仿宋_GB2312" w:hint="eastAsia"/>
          <w:b w:val="0"/>
          <w:bCs w:val="0"/>
          <w:sz w:val="32"/>
          <w:szCs w:val="32"/>
          <w:lang w:val="en-US" w:eastAsia="zh-CN"/>
        </w:rPr>
      </w:pPr>
      <w:r>
        <w:rPr>
          <w:rFonts w:ascii="仿宋_GB2312" w:eastAsia="仿宋_GB2312" w:cs="仿宋_GB2312" w:hAnsi="仿宋_GB2312" w:hint="eastAsia"/>
          <w:b w:val="0"/>
          <w:bCs w:val="0"/>
          <w:sz w:val="32"/>
          <w:szCs w:val="32"/>
          <w:lang w:val="en-US" w:eastAsia="zh-CN"/>
        </w:rPr>
        <w:t>2.协调县政协机关各委室的工作，充分发挥县政协委员的作用，履行好政治协商、民主监督、参政议政的基本职能。</w:t>
      </w:r>
    </w:p>
    <w:p>
      <w:pPr>
        <w:ind w:left="0" w:firstLineChars="200" w:firstLine="640"/>
        <w:jc w:val="both"/>
        <w:rPr>
          <w:rFonts w:ascii="仿宋_GB2312" w:eastAsia="仿宋_GB2312" w:cs="仿宋_GB2312" w:hAnsi="仿宋_GB2312" w:hint="eastAsia"/>
          <w:b w:val="0"/>
          <w:bCs w:val="0"/>
          <w:sz w:val="32"/>
          <w:szCs w:val="32"/>
          <w:lang w:val="en-US" w:eastAsia="zh-CN"/>
        </w:rPr>
      </w:pPr>
      <w:r>
        <w:rPr>
          <w:rFonts w:ascii="仿宋_GB2312" w:eastAsia="仿宋_GB2312" w:cs="仿宋_GB2312" w:hAnsi="仿宋_GB2312" w:hint="eastAsia"/>
          <w:b w:val="0"/>
          <w:bCs w:val="0"/>
          <w:sz w:val="32"/>
          <w:szCs w:val="32"/>
          <w:lang w:val="en-US" w:eastAsia="zh-CN"/>
        </w:rPr>
        <w:t>3.负责县政协委员进行视察、参观、调研、座谈、学习、研讨等日常活动的服务和具体组织工作。受市政协办公室的委托，组织在绥市政协委员进行调研、视察等活动。</w:t>
      </w:r>
    </w:p>
    <w:p>
      <w:pPr>
        <w:ind w:left="0" w:firstLineChars="200" w:firstLine="640"/>
        <w:jc w:val="both"/>
        <w:rPr>
          <w:rFonts w:ascii="仿宋_GB2312" w:eastAsia="仿宋_GB2312" w:cs="仿宋_GB2312" w:hAnsi="仿宋_GB2312" w:hint="eastAsia"/>
          <w:b w:val="0"/>
          <w:bCs w:val="0"/>
          <w:sz w:val="32"/>
          <w:szCs w:val="32"/>
          <w:lang w:val="en-US" w:eastAsia="zh-CN"/>
        </w:rPr>
      </w:pPr>
      <w:r>
        <w:rPr>
          <w:rFonts w:ascii="仿宋_GB2312" w:eastAsia="仿宋_GB2312" w:cs="仿宋_GB2312" w:hAnsi="仿宋_GB2312" w:hint="eastAsia"/>
          <w:b w:val="0"/>
          <w:bCs w:val="0"/>
          <w:sz w:val="32"/>
          <w:szCs w:val="32"/>
          <w:lang w:val="en-US" w:eastAsia="zh-CN"/>
        </w:rPr>
        <w:t>4.研究统一战线和人民政协的理论、政策，调查研究地方政协的共同性问题及其解决方法，供领导参考。</w:t>
      </w:r>
    </w:p>
    <w:p>
      <w:pPr>
        <w:ind w:left="0" w:firstLineChars="200" w:firstLine="640"/>
        <w:jc w:val="both"/>
        <w:rPr>
          <w:rFonts w:ascii="仿宋_GB2312" w:eastAsia="仿宋_GB2312" w:cs="仿宋_GB2312" w:hAnsi="仿宋_GB2312" w:hint="eastAsia"/>
          <w:b w:val="0"/>
          <w:bCs w:val="0"/>
          <w:sz w:val="32"/>
          <w:szCs w:val="32"/>
          <w:lang w:val="en-US" w:eastAsia="zh-CN"/>
        </w:rPr>
      </w:pPr>
      <w:r>
        <w:rPr>
          <w:rFonts w:ascii="仿宋_GB2312" w:eastAsia="仿宋_GB2312" w:cs="仿宋_GB2312" w:hAnsi="仿宋_GB2312" w:hint="eastAsia"/>
          <w:b w:val="0"/>
          <w:bCs w:val="0"/>
          <w:sz w:val="32"/>
          <w:szCs w:val="32"/>
          <w:lang w:val="en-US" w:eastAsia="zh-CN"/>
        </w:rPr>
        <w:t>5.宣传人民政协的方针政策、工作业绩和经验以及政协委员的先进事迹，收集、反映县政协委员和各界人士的意见、建议，综合、反映社情民意。</w:t>
      </w:r>
    </w:p>
    <w:p>
      <w:pPr>
        <w:ind w:left="0" w:firstLineChars="200" w:firstLine="640"/>
        <w:jc w:val="both"/>
        <w:rPr>
          <w:rFonts w:ascii="仿宋_GB2312" w:eastAsia="仿宋_GB2312" w:cs="仿宋_GB2312" w:hAnsi="仿宋_GB2312" w:hint="eastAsia"/>
          <w:b w:val="0"/>
          <w:bCs w:val="0"/>
          <w:sz w:val="32"/>
          <w:szCs w:val="32"/>
          <w:lang w:val="en-US" w:eastAsia="zh-CN"/>
        </w:rPr>
      </w:pPr>
      <w:r>
        <w:rPr>
          <w:rFonts w:ascii="仿宋_GB2312" w:eastAsia="仿宋_GB2312" w:cs="仿宋_GB2312" w:hAnsi="仿宋_GB2312" w:hint="eastAsia"/>
          <w:b w:val="0"/>
          <w:bCs w:val="0"/>
          <w:sz w:val="32"/>
          <w:szCs w:val="32"/>
          <w:lang w:val="en-US" w:eastAsia="zh-CN"/>
        </w:rPr>
        <w:t>6.联系和指导全县政协工作，联系工商联、各人民团体和无党派人士。联系县直有关部门，互通信息，协商工作，加强合作。</w:t>
      </w:r>
    </w:p>
    <w:p>
      <w:pPr>
        <w:ind w:left="0" w:firstLineChars="200" w:firstLine="640"/>
        <w:jc w:val="both"/>
        <w:rPr>
          <w:rFonts w:ascii="仿宋_GB2312" w:eastAsia="仿宋_GB2312" w:cs="仿宋_GB2312" w:hAnsi="仿宋_GB2312" w:hint="eastAsia"/>
          <w:b w:val="0"/>
          <w:bCs w:val="0"/>
          <w:sz w:val="32"/>
          <w:szCs w:val="32"/>
          <w:lang w:val="en-US" w:eastAsia="zh-CN"/>
        </w:rPr>
      </w:pPr>
      <w:r>
        <w:rPr>
          <w:rFonts w:ascii="仿宋_GB2312" w:eastAsia="仿宋_GB2312" w:cs="仿宋_GB2312" w:hAnsi="仿宋_GB2312" w:hint="eastAsia"/>
          <w:b w:val="0"/>
          <w:bCs w:val="0"/>
          <w:sz w:val="32"/>
          <w:szCs w:val="32"/>
          <w:lang w:val="en-US" w:eastAsia="zh-CN"/>
        </w:rPr>
        <w:t>7.负责县政协开展各项活动的有关后勤服务保障工作和县政协机关行政事务管理工作。</w:t>
      </w:r>
    </w:p>
    <w:p>
      <w:pPr>
        <w:ind w:left="0" w:firstLineChars="200" w:firstLine="640"/>
        <w:jc w:val="both"/>
        <w:rPr>
          <w:rFonts w:ascii="仿宋_GB2312" w:eastAsia="仿宋_GB2312" w:cs="仿宋_GB2312" w:hAnsi="仿宋_GB2312" w:hint="eastAsia"/>
          <w:b w:val="0"/>
          <w:bCs w:val="0"/>
          <w:sz w:val="32"/>
          <w:szCs w:val="32"/>
          <w:lang w:val="en-US" w:eastAsia="zh-CN"/>
        </w:rPr>
      </w:pPr>
      <w:r>
        <w:rPr>
          <w:rFonts w:ascii="仿宋_GB2312" w:eastAsia="仿宋_GB2312" w:cs="仿宋_GB2312" w:hAnsi="仿宋_GB2312" w:hint="eastAsia"/>
          <w:b w:val="0"/>
          <w:bCs w:val="0"/>
          <w:sz w:val="32"/>
          <w:szCs w:val="32"/>
          <w:lang w:val="en-US" w:eastAsia="zh-CN"/>
        </w:rPr>
        <w:t>8.负责权限范围内的人事任免。</w:t>
      </w:r>
    </w:p>
    <w:p>
      <w:pPr>
        <w:ind w:left="0" w:firstLineChars="200" w:firstLine="640"/>
        <w:jc w:val="both"/>
        <w:rPr>
          <w:rFonts w:ascii="仿宋_GB2312" w:eastAsia="仿宋_GB2312" w:cs="仿宋_GB2312" w:hAnsi="仿宋_GB2312" w:hint="eastAsia"/>
          <w:b w:val="0"/>
          <w:bCs w:val="0"/>
          <w:sz w:val="32"/>
          <w:szCs w:val="32"/>
          <w:lang w:val="en-US" w:eastAsia="zh-CN"/>
        </w:rPr>
      </w:pPr>
      <w:r>
        <w:rPr>
          <w:rFonts w:ascii="仿宋_GB2312" w:eastAsia="仿宋_GB2312" w:cs="仿宋_GB2312" w:hAnsi="仿宋_GB2312" w:hint="eastAsia"/>
          <w:b w:val="0"/>
          <w:bCs w:val="0"/>
          <w:sz w:val="32"/>
          <w:szCs w:val="32"/>
          <w:lang w:val="en-US" w:eastAsia="zh-CN"/>
        </w:rPr>
        <w:t>9.负责接待来我县访问的海内外友好人士和对外联谊工作。</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right="0" w:firstLineChars="200" w:firstLine="640"/>
        <w:rPr>
          <w:rFonts w:ascii="仿宋" w:eastAsia="仿宋" w:cs="仿宋" w:hAnsi="仿宋" w:hint="eastAsia"/>
          <w:b w:val="0"/>
          <w:bCs w:val="0"/>
          <w:i w:val="0"/>
          <w:iCs w:val="0"/>
          <w:caps w:val="0"/>
          <w:smallCaps w:val="0"/>
          <w:color w:val="000000"/>
          <w:spacing w:val="0"/>
          <w:sz w:val="32"/>
          <w:szCs w:val="32"/>
          <w:shd w:val="clear" w:color="auto" w:fill="FFFFFF"/>
          <w:lang w:val="en-US" w:eastAsia="zh-CN"/>
        </w:rPr>
      </w:pPr>
      <w:r>
        <w:rPr>
          <w:rFonts w:ascii="仿宋_GB2312" w:eastAsia="仿宋_GB2312" w:cs="仿宋_GB2312" w:hAnsi="仿宋_GB2312" w:hint="eastAsia"/>
          <w:b w:val="0"/>
          <w:bCs w:val="0"/>
          <w:sz w:val="32"/>
          <w:szCs w:val="32"/>
          <w:lang w:val="en-US" w:eastAsia="zh-CN"/>
        </w:rPr>
        <w:t>10.承办县政协主席、副主席交办的其他事项。</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rPr>
          <w:rFonts w:ascii="楷体" w:eastAsia="楷体" w:cs="楷体" w:hAnsi="楷体" w:hint="eastAsia"/>
          <w:b/>
          <w:bCs/>
          <w:i w:val="0"/>
          <w:iCs w:val="0"/>
          <w:caps w:val="0"/>
          <w:smallCaps w:val="0"/>
          <w:color w:val="000000"/>
          <w:spacing w:val="0"/>
          <w:sz w:val="32"/>
          <w:szCs w:val="32"/>
          <w:shd w:val="clear" w:color="auto" w:fill="FFFFFF"/>
          <w:lang w:val="en-US" w:eastAsia="zh-CN"/>
        </w:rPr>
      </w:pPr>
      <w:r>
        <w:rPr>
          <w:rFonts w:ascii="楷体" w:eastAsia="楷体" w:cs="楷体" w:hAnsi="楷体" w:hint="eastAsia"/>
          <w:b/>
          <w:bCs/>
          <w:i w:val="0"/>
          <w:iCs w:val="0"/>
          <w:caps w:val="0"/>
          <w:smallCaps w:val="0"/>
          <w:color w:val="000000"/>
          <w:spacing w:val="0"/>
          <w:sz w:val="32"/>
          <w:szCs w:val="32"/>
          <w:shd w:val="clear" w:color="auto" w:fill="FFFFFF"/>
        </w:rPr>
        <w:t>（二）</w:t>
      </w:r>
      <w:r>
        <w:rPr>
          <w:rFonts w:ascii="楷体" w:eastAsia="楷体" w:cs="楷体" w:hAnsi="楷体" w:hint="eastAsia"/>
          <w:b/>
          <w:bCs/>
          <w:i w:val="0"/>
          <w:iCs w:val="0"/>
          <w:caps w:val="0"/>
          <w:smallCaps w:val="0"/>
          <w:color w:val="000000"/>
          <w:spacing w:val="0"/>
          <w:sz w:val="32"/>
          <w:szCs w:val="32"/>
          <w:shd w:val="clear" w:color="auto" w:fill="FFFFFF"/>
          <w:lang w:val="en-US" w:eastAsia="zh-CN"/>
        </w:rPr>
        <w:t>机构设置情况</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right="0" w:firstLineChars="200" w:firstLine="640"/>
        <w:rPr>
          <w:rFonts w:ascii="仿宋" w:eastAsia="仿宋" w:cs="仿宋" w:hAnsi="仿宋" w:hint="eastAsia"/>
          <w:b w:val="0"/>
          <w:bCs w:val="0"/>
          <w:i w:val="0"/>
          <w:iCs w:val="0"/>
          <w:caps w:val="0"/>
          <w:smallCaps w:val="0"/>
          <w:color w:val="000000"/>
          <w:spacing w:val="0"/>
          <w:sz w:val="32"/>
          <w:szCs w:val="32"/>
          <w:shd w:val="clear" w:color="auto" w:fill="FFFFFF"/>
          <w:lang w:val="en-US" w:eastAsia="zh-CN"/>
        </w:rPr>
      </w:pP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2024年末，我部门内设委室6个，所属事业单位1个。</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right="0" w:firstLineChars="200" w:firstLine="640"/>
        <w:rPr>
          <w:rFonts w:ascii="仿宋" w:eastAsia="仿宋" w:cs="仿宋" w:hAnsi="仿宋" w:hint="eastAsia"/>
          <w:b w:val="0"/>
          <w:bCs w:val="0"/>
          <w:i w:val="0"/>
          <w:iCs w:val="0"/>
          <w:caps w:val="0"/>
          <w:smallCaps w:val="0"/>
          <w:color w:val="000000"/>
          <w:spacing w:val="0"/>
          <w:sz w:val="32"/>
          <w:szCs w:val="32"/>
          <w:shd w:val="clear" w:color="auto" w:fill="FFFFFF"/>
          <w:lang w:val="en-US" w:eastAsia="zh-CN"/>
        </w:rPr>
      </w:pP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内设委室分别是：</w:t>
      </w:r>
      <w:r>
        <w:rPr>
          <w:rFonts w:ascii="仿宋_GB2312" w:eastAsia="仿宋_GB2312" w:cs="仿宋_GB2312" w:hAnsi="仿宋_GB2312" w:hint="eastAsia"/>
          <w:b w:val="0"/>
          <w:bCs w:val="0"/>
          <w:sz w:val="32"/>
          <w:szCs w:val="32"/>
          <w:lang w:val="en-US" w:eastAsia="zh-CN"/>
        </w:rPr>
        <w:t>办公室（加挂信访办公室牌子，正科级）、提案和委员学习联络委员会（正科级）、经济科技和外事委员会（正科级）、农业农村和人口资源环境委员会（正科级）、文教卫体和文史委员会（正科级）、社会法制和民族宗教委员会（正科级）。</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rPr>
          <w:rFonts w:ascii="Arial" w:eastAsia="楷体" w:cs="Arial" w:hAnsi="Arial"/>
          <w:b/>
          <w:bCs/>
          <w:i w:val="0"/>
          <w:iCs w:val="0"/>
          <w:caps w:val="0"/>
          <w:smallCaps w:val="0"/>
          <w:color w:val="000000"/>
          <w:spacing w:val="0"/>
          <w:sz w:val="32"/>
          <w:szCs w:val="32"/>
          <w:shd w:val="clear" w:color="auto" w:fill="FFFFFF"/>
          <w:lang w:val="en-US" w:eastAsia="zh-CN"/>
        </w:rPr>
      </w:pP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所属事业单位分别是：</w:t>
      </w:r>
      <w:r>
        <w:rPr>
          <w:rFonts w:ascii="仿宋_GB2312" w:eastAsia="仿宋_GB2312" w:cs="仿宋_GB2312" w:hAnsi="仿宋_GB2312" w:hint="eastAsia"/>
          <w:color w:val="000000"/>
          <w:kern w:val="0"/>
          <w:sz w:val="31"/>
          <w:szCs w:val="31"/>
          <w:lang w:val="en-US" w:eastAsia="zh-CN"/>
        </w:rPr>
        <w:t>绥宁县政协委员服务中心。</w:t>
      </w:r>
    </w:p>
    <w:p>
      <w:pPr>
        <w:pStyle w:val="2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ascii="楷体" w:eastAsia="楷体" w:cs="楷体" w:hAnsi="楷体" w:hint="eastAsia"/>
          <w:b/>
          <w:bCs/>
          <w:i w:val="0"/>
          <w:iCs w:val="0"/>
          <w:caps w:val="0"/>
          <w:smallCaps w:val="0"/>
          <w:color w:val="000000"/>
          <w:spacing w:val="0"/>
          <w:sz w:val="32"/>
          <w:szCs w:val="32"/>
          <w:shd w:val="clear" w:color="auto" w:fill="FFFFFF"/>
          <w:lang w:val="en-US" w:eastAsia="zh-CN"/>
        </w:rPr>
      </w:pPr>
      <w:r>
        <w:rPr>
          <w:rFonts w:ascii="楷体" w:eastAsia="楷体" w:cs="楷体" w:hAnsi="楷体" w:hint="eastAsia"/>
          <w:b/>
          <w:bCs/>
          <w:i w:val="0"/>
          <w:iCs w:val="0"/>
          <w:caps w:val="0"/>
          <w:smallCaps w:val="0"/>
          <w:color w:val="000000"/>
          <w:spacing w:val="0"/>
          <w:sz w:val="32"/>
          <w:szCs w:val="32"/>
          <w:shd w:val="clear" w:color="auto" w:fill="FFFFFF"/>
        </w:rPr>
        <w:t>（三）</w:t>
      </w:r>
      <w:r>
        <w:rPr>
          <w:rFonts w:ascii="楷体" w:eastAsia="楷体" w:cs="楷体" w:hAnsi="楷体" w:hint="eastAsia"/>
          <w:b/>
          <w:bCs/>
          <w:i w:val="0"/>
          <w:iCs w:val="0"/>
          <w:caps w:val="0"/>
          <w:smallCaps w:val="0"/>
          <w:color w:val="000000"/>
          <w:spacing w:val="0"/>
          <w:sz w:val="32"/>
          <w:szCs w:val="32"/>
          <w:shd w:val="clear" w:color="auto" w:fill="FFFFFF"/>
          <w:lang w:val="en-US" w:eastAsia="zh-CN"/>
        </w:rPr>
        <w:t>人员编制情况</w:t>
      </w:r>
    </w:p>
    <w:p>
      <w:pPr>
        <w:pStyle w:val="2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atLeast"/>
        <w:ind w:right="0" w:firstLineChars="200" w:firstLine="640"/>
        <w:jc w:val="left"/>
        <w:textAlignment w:val="auto"/>
        <w:rPr>
          <w:rFonts w:ascii="仿宋" w:eastAsia="仿宋" w:cs="仿宋" w:hAnsi="仿宋"/>
          <w:b w:val="0"/>
          <w:bCs w:val="0"/>
          <w:i w:val="0"/>
          <w:iCs w:val="0"/>
          <w:caps w:val="0"/>
          <w:smallCaps w:val="0"/>
          <w:color w:val="000000"/>
          <w:spacing w:val="0"/>
          <w:sz w:val="32"/>
          <w:szCs w:val="32"/>
          <w:shd w:val="clear" w:color="auto" w:fill="FFFFFF"/>
          <w:lang w:val="en-US" w:eastAsia="zh-CN"/>
        </w:rPr>
      </w:pP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2024</w:t>
      </w:r>
      <w:r>
        <w:rPr>
          <w:rFonts w:ascii="仿宋" w:eastAsia="仿宋" w:cs="仿宋" w:hAnsi="仿宋"/>
          <w:b w:val="0"/>
          <w:bCs w:val="0"/>
          <w:i w:val="0"/>
          <w:iCs w:val="0"/>
          <w:caps w:val="0"/>
          <w:smallCaps w:val="0"/>
          <w:color w:val="000000"/>
          <w:spacing w:val="0"/>
          <w:sz w:val="32"/>
          <w:szCs w:val="32"/>
          <w:shd w:val="clear" w:color="auto" w:fill="FFFFFF"/>
          <w:lang w:val="en-US" w:eastAsia="zh-CN"/>
        </w:rPr>
        <w:t>年末，我</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部门</w:t>
      </w:r>
      <w:r>
        <w:rPr>
          <w:rFonts w:ascii="仿宋" w:eastAsia="仿宋" w:cs="仿宋" w:hAnsi="仿宋"/>
          <w:b w:val="0"/>
          <w:bCs w:val="0"/>
          <w:i w:val="0"/>
          <w:iCs w:val="0"/>
          <w:caps w:val="0"/>
          <w:smallCaps w:val="0"/>
          <w:color w:val="000000"/>
          <w:spacing w:val="0"/>
          <w:sz w:val="32"/>
          <w:szCs w:val="32"/>
          <w:shd w:val="clear" w:color="auto" w:fill="FFFFFF"/>
          <w:lang w:val="en-US" w:eastAsia="zh-CN"/>
        </w:rPr>
        <w:t>共有编制</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25</w:t>
      </w:r>
      <w:r>
        <w:rPr>
          <w:rFonts w:ascii="仿宋" w:eastAsia="仿宋" w:cs="仿宋" w:hAnsi="仿宋"/>
          <w:b w:val="0"/>
          <w:bCs w:val="0"/>
          <w:i w:val="0"/>
          <w:iCs w:val="0"/>
          <w:caps w:val="0"/>
          <w:smallCaps w:val="0"/>
          <w:color w:val="000000"/>
          <w:spacing w:val="0"/>
          <w:sz w:val="32"/>
          <w:szCs w:val="32"/>
          <w:shd w:val="clear" w:color="auto" w:fill="FFFFFF"/>
          <w:lang w:val="en-US" w:eastAsia="zh-CN"/>
        </w:rPr>
        <w:t>人，其中行政编制</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20</w:t>
      </w:r>
      <w:r>
        <w:rPr>
          <w:rFonts w:ascii="仿宋" w:eastAsia="仿宋" w:cs="仿宋" w:hAnsi="仿宋"/>
          <w:b w:val="0"/>
          <w:bCs w:val="0"/>
          <w:i w:val="0"/>
          <w:iCs w:val="0"/>
          <w:caps w:val="0"/>
          <w:smallCaps w:val="0"/>
          <w:color w:val="000000"/>
          <w:spacing w:val="0"/>
          <w:sz w:val="32"/>
          <w:szCs w:val="32"/>
          <w:shd w:val="clear" w:color="auto" w:fill="FFFFFF"/>
          <w:lang w:val="en-US" w:eastAsia="zh-CN"/>
        </w:rPr>
        <w:t>人，事业编制</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5</w:t>
      </w:r>
      <w:r>
        <w:rPr>
          <w:rFonts w:ascii="仿宋" w:eastAsia="仿宋" w:cs="仿宋" w:hAnsi="仿宋"/>
          <w:b w:val="0"/>
          <w:bCs w:val="0"/>
          <w:i w:val="0"/>
          <w:iCs w:val="0"/>
          <w:caps w:val="0"/>
          <w:smallCaps w:val="0"/>
          <w:color w:val="000000"/>
          <w:spacing w:val="0"/>
          <w:sz w:val="32"/>
          <w:szCs w:val="32"/>
          <w:shd w:val="clear" w:color="auto" w:fill="FFFFFF"/>
          <w:lang w:val="en-US" w:eastAsia="zh-CN"/>
        </w:rPr>
        <w:t>人。年末实有在职人员</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25</w:t>
      </w:r>
      <w:r>
        <w:rPr>
          <w:rFonts w:ascii="仿宋" w:eastAsia="仿宋" w:cs="仿宋" w:hAnsi="仿宋"/>
          <w:b w:val="0"/>
          <w:bCs w:val="0"/>
          <w:i w:val="0"/>
          <w:iCs w:val="0"/>
          <w:caps w:val="0"/>
          <w:smallCaps w:val="0"/>
          <w:color w:val="000000"/>
          <w:spacing w:val="0"/>
          <w:sz w:val="32"/>
          <w:szCs w:val="32"/>
          <w:shd w:val="clear" w:color="auto" w:fill="FFFFFF"/>
          <w:lang w:val="en-US" w:eastAsia="zh-CN"/>
        </w:rPr>
        <w:t>人，</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退休人员44</w:t>
      </w:r>
      <w:r>
        <w:rPr>
          <w:rFonts w:ascii="仿宋" w:eastAsia="仿宋" w:cs="仿宋" w:hAnsi="仿宋"/>
          <w:b w:val="0"/>
          <w:bCs w:val="0"/>
          <w:i w:val="0"/>
          <w:iCs w:val="0"/>
          <w:caps w:val="0"/>
          <w:smallCaps w:val="0"/>
          <w:color w:val="000000"/>
          <w:spacing w:val="0"/>
          <w:sz w:val="32"/>
          <w:szCs w:val="32"/>
          <w:shd w:val="clear" w:color="auto" w:fill="FFFFFF"/>
          <w:lang w:val="en-US" w:eastAsia="zh-CN"/>
        </w:rPr>
        <w:t>人</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w:t>
      </w:r>
      <w:r>
        <w:rPr>
          <w:rFonts w:ascii="仿宋" w:eastAsia="仿宋" w:cs="仿宋" w:hAnsi="仿宋"/>
          <w:b w:val="0"/>
          <w:bCs w:val="0"/>
          <w:i w:val="0"/>
          <w:iCs w:val="0"/>
          <w:caps w:val="0"/>
          <w:smallCaps w:val="0"/>
          <w:color w:val="000000"/>
          <w:spacing w:val="0"/>
          <w:sz w:val="32"/>
          <w:szCs w:val="32"/>
          <w:shd w:val="clear" w:color="auto" w:fill="FFFFFF"/>
          <w:lang w:val="en-US" w:eastAsia="zh-CN"/>
        </w:rPr>
        <w:t>离休人员</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0</w:t>
      </w:r>
      <w:r>
        <w:rPr>
          <w:rFonts w:ascii="仿宋" w:eastAsia="仿宋" w:cs="仿宋" w:hAnsi="仿宋"/>
          <w:b w:val="0"/>
          <w:bCs w:val="0"/>
          <w:i w:val="0"/>
          <w:iCs w:val="0"/>
          <w:caps w:val="0"/>
          <w:smallCaps w:val="0"/>
          <w:color w:val="000000"/>
          <w:spacing w:val="0"/>
          <w:sz w:val="32"/>
          <w:szCs w:val="32"/>
          <w:shd w:val="clear" w:color="auto" w:fill="FFFFFF"/>
          <w:lang w:val="en-US" w:eastAsia="zh-CN"/>
        </w:rPr>
        <w:t>人。</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二、一般公共预算支出情况</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楷体" w:eastAsia="楷体" w:cs="楷体" w:hAnsi="楷体" w:hint="eastAsia"/>
          <w:b/>
          <w:bCs/>
          <w:i w:val="0"/>
          <w:iCs w:val="0"/>
          <w:caps w:val="0"/>
          <w:smallCaps w:val="0"/>
          <w:color w:val="000000"/>
          <w:spacing w:val="0"/>
          <w:sz w:val="32"/>
          <w:szCs w:val="32"/>
          <w:shd w:val="clear" w:color="auto" w:fill="FFFFFF"/>
          <w:lang w:val="en-US" w:eastAsia="zh-CN"/>
        </w:rPr>
      </w:pPr>
      <w:r>
        <w:rPr>
          <w:rFonts w:ascii="楷体" w:eastAsia="楷体" w:cs="楷体" w:hAnsi="楷体" w:hint="eastAsia"/>
          <w:b/>
          <w:bCs/>
          <w:i w:val="0"/>
          <w:iCs w:val="0"/>
          <w:caps w:val="0"/>
          <w:smallCaps w:val="0"/>
          <w:color w:val="000000"/>
          <w:spacing w:val="0"/>
          <w:sz w:val="32"/>
          <w:szCs w:val="32"/>
          <w:shd w:val="clear" w:color="auto" w:fill="FFFFFF"/>
        </w:rPr>
        <w:t>（一）</w:t>
      </w:r>
      <w:r>
        <w:rPr>
          <w:rFonts w:ascii="楷体" w:eastAsia="楷体" w:cs="楷体" w:hAnsi="楷体" w:hint="eastAsia"/>
          <w:b/>
          <w:bCs/>
          <w:i w:val="0"/>
          <w:iCs w:val="0"/>
          <w:caps w:val="0"/>
          <w:smallCaps w:val="0"/>
          <w:color w:val="000000"/>
          <w:spacing w:val="0"/>
          <w:sz w:val="32"/>
          <w:szCs w:val="32"/>
          <w:shd w:val="clear" w:color="auto" w:fill="FFFFFF"/>
          <w:lang w:val="en-US" w:eastAsia="zh-CN"/>
        </w:rPr>
        <w:t>基本支出情况</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adjustRightInd/>
        <w:snapToGrid w:val="0"/>
        <w:spacing w:line="586" w:lineRule="exact"/>
        <w:ind w:firstLineChars="200" w:firstLine="640"/>
        <w:rPr>
          <w:rFonts w:ascii="Times New Roman" w:eastAsia="仿宋_GB2312" w:cs="Times New Roman" w:hAnsi="Times New Roman"/>
          <w:color w:val="0C0C0C"/>
          <w:sz w:val="32"/>
          <w:szCs w:val="32"/>
          <w:lang w:val="en-US" w:eastAsia="zh-CN"/>
        </w:rPr>
      </w:pPr>
      <w:r>
        <w:rPr>
          <w:rFonts w:eastAsia="仿宋_GB2312" w:cs="Times New Roman" w:hint="eastAsia"/>
          <w:color w:val="0C0C0C"/>
          <w:sz w:val="32"/>
          <w:szCs w:val="32"/>
          <w:lang w:eastAsia="zh-CN"/>
        </w:rPr>
        <w:t>2024</w:t>
      </w:r>
      <w:r>
        <w:rPr>
          <w:rFonts w:ascii="Times New Roman" w:eastAsia="仿宋_GB2312" w:cs="Times New Roman" w:hAnsi="Times New Roman"/>
          <w:color w:val="0C0C0C"/>
          <w:sz w:val="32"/>
          <w:szCs w:val="32"/>
        </w:rPr>
        <w:t>年基本支出共计</w:t>
      </w:r>
      <w:r>
        <w:rPr>
          <w:rFonts w:ascii="Lucida Sans" w:eastAsia="仿宋_GB2312" w:cs="仿宋_GB2312" w:hAnsi="仿宋_GB2312"/>
          <w:color w:val="000000"/>
          <w:kern w:val="0"/>
          <w:sz w:val="31"/>
          <w:szCs w:val="31"/>
          <w:lang w:val="en-US" w:eastAsia="zh-CN"/>
        </w:rPr>
        <w:t>721.16</w:t>
      </w:r>
      <w:r>
        <w:rPr>
          <w:rFonts w:ascii="Times New Roman" w:eastAsia="仿宋_GB2312" w:cs="Times New Roman" w:hAnsi="Times New Roman"/>
          <w:color w:val="0C0C0C"/>
          <w:sz w:val="32"/>
          <w:szCs w:val="32"/>
        </w:rPr>
        <w:t>万元</w:t>
      </w:r>
      <w:r>
        <w:rPr>
          <w:rFonts w:eastAsia="仿宋_GB2312" w:cs="Times New Roman" w:hint="eastAsia"/>
          <w:color w:val="0C0C0C"/>
          <w:sz w:val="32"/>
          <w:szCs w:val="32"/>
          <w:lang w:eastAsia="zh-CN"/>
        </w:rPr>
        <w:t>，</w:t>
      </w:r>
      <w:r>
        <w:rPr>
          <w:rFonts w:eastAsia="仿宋_GB2312" w:cs="Times New Roman" w:hint="eastAsia"/>
          <w:color w:val="0C0C0C"/>
          <w:sz w:val="32"/>
          <w:szCs w:val="32"/>
          <w:lang w:val="en-US" w:eastAsia="zh-CN"/>
        </w:rPr>
        <w:t>其中</w:t>
      </w:r>
      <w:r>
        <w:rPr>
          <w:rFonts w:ascii="Times New Roman" w:eastAsia="仿宋_GB2312" w:cs="Times New Roman" w:hAnsi="Times New Roman"/>
          <w:color w:val="0C0C0C"/>
          <w:sz w:val="32"/>
          <w:szCs w:val="32"/>
          <w:lang w:val="en-US" w:eastAsia="zh-CN"/>
        </w:rPr>
        <w:t>人员经费431.78万元</w:t>
      </w:r>
      <w:r>
        <w:rPr>
          <w:rFonts w:ascii="Times New Roman" w:eastAsia="仿宋_GB2312" w:cs="Times New Roman" w:hAnsi="Times New Roman" w:hint="eastAsia"/>
          <w:color w:val="0C0C0C"/>
          <w:sz w:val="32"/>
          <w:szCs w:val="32"/>
          <w:lang w:val="en-US" w:eastAsia="zh-CN"/>
        </w:rPr>
        <w:t>，</w:t>
      </w:r>
      <w:r>
        <w:rPr>
          <w:rFonts w:ascii="Times New Roman" w:eastAsia="仿宋_GB2312" w:cs="Times New Roman" w:hAnsi="Times New Roman"/>
          <w:color w:val="0C0C0C"/>
          <w:sz w:val="32"/>
          <w:szCs w:val="32"/>
          <w:lang w:val="en-US" w:eastAsia="zh-CN"/>
        </w:rPr>
        <w:t>人员经费289.38万元</w:t>
      </w:r>
      <w:r>
        <w:rPr>
          <w:rFonts w:ascii="Times New Roman" w:eastAsia="仿宋_GB2312" w:cs="Times New Roman" w:hAnsi="Times New Roman" w:hint="eastAsia"/>
          <w:color w:val="0C0C0C"/>
          <w:sz w:val="32"/>
          <w:szCs w:val="32"/>
          <w:lang w:val="en-US" w:eastAsia="zh-CN"/>
        </w:rPr>
        <w:t>。</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adjustRightInd/>
        <w:snapToGrid w:val="0"/>
        <w:spacing w:line="586" w:lineRule="exact"/>
        <w:ind w:firstLineChars="200" w:firstLine="640"/>
        <w:rPr>
          <w:rFonts w:ascii="Times New Roman" w:eastAsia="仿宋_GB2312" w:cs="Times New Roman" w:hAnsi="Times New Roman"/>
          <w:color w:val="0C0C0C"/>
          <w:sz w:val="32"/>
          <w:szCs w:val="32"/>
        </w:rPr>
      </w:pPr>
      <w:r>
        <w:rPr>
          <w:rFonts w:ascii="仿宋" w:eastAsia="仿宋" w:cs="仿宋" w:hAnsi="仿宋" w:hint="eastAsia"/>
          <w:b/>
          <w:bCs/>
          <w:color w:val="0C0C0C"/>
          <w:sz w:val="32"/>
          <w:szCs w:val="32"/>
          <w:lang w:val="en-US" w:eastAsia="zh-CN"/>
        </w:rPr>
        <w:t>1.人员经费</w:t>
      </w:r>
      <w:r>
        <w:rPr>
          <w:rFonts w:ascii="Lucida Sans" w:eastAsia="仿宋" w:cs="仿宋" w:hAnsi="仿宋"/>
          <w:b/>
          <w:bCs/>
          <w:color w:val="0C0C0C"/>
          <w:sz w:val="32"/>
          <w:szCs w:val="32"/>
          <w:lang w:val="en-US" w:eastAsia="zh-CN"/>
        </w:rPr>
        <w:t>431.78</w:t>
      </w:r>
      <w:r>
        <w:rPr>
          <w:rFonts w:ascii="仿宋" w:eastAsia="仿宋" w:cs="仿宋" w:hAnsi="仿宋" w:hint="eastAsia"/>
          <w:b/>
          <w:bCs/>
          <w:color w:val="0C0C0C"/>
          <w:sz w:val="32"/>
          <w:szCs w:val="32"/>
          <w:lang w:val="en-US" w:eastAsia="zh-CN"/>
        </w:rPr>
        <w:t>万元。</w:t>
      </w:r>
      <w:r>
        <w:rPr>
          <w:rFonts w:ascii="Times New Roman" w:eastAsia="仿宋_GB2312" w:cs="Times New Roman" w:hAnsi="Times New Roman"/>
          <w:color w:val="0C0C0C"/>
          <w:sz w:val="32"/>
          <w:szCs w:val="32"/>
        </w:rPr>
        <w:t>主要用于在职人员工资津补贴、奖金、离休费、社保缴费、住房公积金缴费、老干医疗费、抚恤金等。人员经费支出严格按照相关政策和标准列支。</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adjustRightInd/>
        <w:snapToGrid w:val="0"/>
        <w:spacing w:line="586" w:lineRule="exact"/>
        <w:ind w:firstLineChars="200" w:firstLine="640"/>
        <w:rPr>
          <w:rFonts w:ascii="Times New Roman" w:eastAsia="仿宋_GB2312" w:cs="Times New Roman" w:hAnsi="Times New Roman"/>
          <w:color w:val="0C0C0C"/>
          <w:sz w:val="32"/>
          <w:szCs w:val="32"/>
        </w:rPr>
      </w:pPr>
      <w:r>
        <w:rPr>
          <w:rFonts w:ascii="仿宋" w:eastAsia="仿宋" w:cs="仿宋" w:hAnsi="仿宋"/>
          <w:b/>
          <w:bCs/>
          <w:color w:val="0C0C0C"/>
          <w:sz w:val="32"/>
          <w:szCs w:val="32"/>
          <w:lang w:val="en-US" w:eastAsia="zh-CN"/>
        </w:rPr>
        <w:t>2</w:t>
      </w:r>
      <w:r>
        <w:rPr>
          <w:rFonts w:ascii="仿宋" w:eastAsia="仿宋" w:cs="仿宋" w:hAnsi="仿宋" w:hint="eastAsia"/>
          <w:b/>
          <w:bCs/>
          <w:color w:val="0C0C0C"/>
          <w:sz w:val="32"/>
          <w:szCs w:val="32"/>
          <w:lang w:val="en-US" w:eastAsia="zh-CN"/>
        </w:rPr>
        <w:t>.</w:t>
      </w:r>
      <w:r>
        <w:rPr>
          <w:rFonts w:ascii="仿宋" w:eastAsia="仿宋" w:cs="仿宋" w:hAnsi="仿宋"/>
          <w:b/>
          <w:bCs/>
          <w:color w:val="0C0C0C"/>
          <w:sz w:val="32"/>
          <w:szCs w:val="32"/>
          <w:lang w:val="en-US" w:eastAsia="zh-CN"/>
        </w:rPr>
        <w:t>公用经费</w:t>
      </w:r>
      <w:r>
        <w:rPr>
          <w:rFonts w:ascii="Lucida Sans" w:eastAsia="仿宋" w:cs="仿宋" w:hAnsi="仿宋"/>
          <w:b/>
          <w:bCs/>
          <w:color w:val="0C0C0C"/>
          <w:sz w:val="32"/>
          <w:szCs w:val="32"/>
          <w:lang w:val="en-US" w:eastAsia="zh-CN"/>
        </w:rPr>
        <w:t>289.38</w:t>
      </w:r>
      <w:r>
        <w:rPr>
          <w:rFonts w:ascii="仿宋" w:eastAsia="仿宋" w:cs="仿宋" w:hAnsi="仿宋"/>
          <w:b/>
          <w:bCs/>
          <w:color w:val="0C0C0C"/>
          <w:sz w:val="32"/>
          <w:szCs w:val="32"/>
          <w:lang w:val="en-US" w:eastAsia="zh-CN"/>
        </w:rPr>
        <w:t>万元。</w:t>
      </w:r>
      <w:r>
        <w:rPr>
          <w:rFonts w:ascii="Times New Roman" w:eastAsia="仿宋_GB2312" w:cs="Times New Roman" w:hAnsi="Times New Roman"/>
          <w:color w:val="0C0C0C"/>
          <w:sz w:val="32"/>
          <w:szCs w:val="32"/>
        </w:rPr>
        <w:t>主要用于为保障基本运行而发生的办公费、印刷费、邮电费、水费、电费、物业管理费、取暖费、维修费、差旅费等。公用经费支出严格执行部门预算，厉行节约，控制运行成本。</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both"/>
        <w:rPr>
          <w:rFonts w:ascii="楷体" w:eastAsia="楷体" w:cs="楷体" w:hAnsi="楷体" w:hint="eastAsia"/>
          <w:b/>
          <w:bCs/>
          <w:i w:val="0"/>
          <w:iCs w:val="0"/>
          <w:caps w:val="0"/>
          <w:smallCaps w:val="0"/>
          <w:color w:val="000000"/>
          <w:spacing w:val="0"/>
          <w:sz w:val="32"/>
          <w:szCs w:val="32"/>
          <w:shd w:val="clear" w:color="auto" w:fill="FFFFFF"/>
          <w:lang w:val="en-US" w:eastAsia="zh-CN"/>
        </w:rPr>
      </w:pPr>
      <w:r>
        <w:rPr>
          <w:rFonts w:ascii="楷体" w:eastAsia="楷体" w:cs="楷体" w:hAnsi="楷体" w:hint="eastAsia"/>
          <w:b/>
          <w:bCs/>
          <w:i w:val="0"/>
          <w:iCs w:val="0"/>
          <w:caps w:val="0"/>
          <w:smallCaps w:val="0"/>
          <w:color w:val="000000"/>
          <w:spacing w:val="0"/>
          <w:sz w:val="32"/>
          <w:szCs w:val="32"/>
          <w:shd w:val="clear" w:color="auto" w:fill="FFFFFF"/>
        </w:rPr>
        <w:t>（二）</w:t>
      </w:r>
      <w:r>
        <w:rPr>
          <w:rFonts w:ascii="楷体" w:eastAsia="楷体" w:cs="楷体" w:hAnsi="楷体" w:hint="eastAsia"/>
          <w:b/>
          <w:bCs/>
          <w:i w:val="0"/>
          <w:iCs w:val="0"/>
          <w:caps w:val="0"/>
          <w:smallCaps w:val="0"/>
          <w:color w:val="000000"/>
          <w:spacing w:val="0"/>
          <w:sz w:val="32"/>
          <w:szCs w:val="32"/>
          <w:shd w:val="clear" w:color="auto" w:fill="FFFFFF"/>
          <w:lang w:val="en-US" w:eastAsia="zh-CN"/>
        </w:rPr>
        <w:t>项目支出情况</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仿宋" w:eastAsia="仿宋" w:cs="仿宋" w:hAnsi="仿宋" w:hint="eastAsia"/>
          <w:color w:val="0C0C0C"/>
          <w:sz w:val="32"/>
          <w:szCs w:val="32"/>
        </w:rPr>
      </w:pPr>
      <w:r>
        <w:rPr>
          <w:rFonts w:ascii="仿宋" w:eastAsia="仿宋" w:cs="仿宋" w:hAnsi="仿宋" w:hint="eastAsia"/>
          <w:color w:val="0C0C0C"/>
          <w:sz w:val="32"/>
          <w:szCs w:val="32"/>
          <w:lang w:eastAsia="zh-CN"/>
        </w:rPr>
        <w:t>2024</w:t>
      </w:r>
      <w:r>
        <w:rPr>
          <w:rFonts w:ascii="仿宋" w:eastAsia="仿宋" w:cs="仿宋" w:hAnsi="仿宋" w:hint="eastAsia"/>
          <w:color w:val="0C0C0C"/>
          <w:sz w:val="32"/>
          <w:szCs w:val="32"/>
        </w:rPr>
        <w:t>年项目支出共计</w:t>
      </w:r>
      <w:r>
        <w:rPr>
          <w:rFonts w:ascii="仿宋" w:eastAsia="仿宋" w:cs="仿宋" w:hAnsi="仿宋"/>
          <w:color w:val="000000"/>
          <w:kern w:val="0"/>
          <w:sz w:val="32"/>
          <w:szCs w:val="32"/>
          <w:lang w:val="en-US" w:eastAsia="zh-CN"/>
        </w:rPr>
        <w:t>0</w:t>
      </w:r>
      <w:r>
        <w:rPr>
          <w:rFonts w:ascii="仿宋" w:eastAsia="仿宋" w:cs="仿宋" w:hAnsi="仿宋" w:hint="eastAsia"/>
          <w:color w:val="0C0C0C"/>
          <w:sz w:val="32"/>
          <w:szCs w:val="32"/>
        </w:rPr>
        <w:t>万元，其中业务工作经费</w:t>
      </w:r>
      <w:r>
        <w:rPr>
          <w:rFonts w:ascii="仿宋" w:eastAsia="仿宋" w:cs="仿宋" w:hAnsi="仿宋"/>
          <w:color w:val="000000"/>
          <w:kern w:val="0"/>
          <w:sz w:val="32"/>
          <w:szCs w:val="32"/>
          <w:lang w:val="en-US" w:eastAsia="zh-CN"/>
        </w:rPr>
        <w:t>0</w:t>
      </w:r>
      <w:r>
        <w:rPr>
          <w:rFonts w:ascii="仿宋" w:eastAsia="仿宋" w:cs="仿宋" w:hAnsi="仿宋" w:hint="eastAsia"/>
          <w:color w:val="0C0C0C"/>
          <w:sz w:val="32"/>
          <w:szCs w:val="32"/>
        </w:rPr>
        <w:t>万元，</w:t>
      </w:r>
      <w:r>
        <w:rPr>
          <w:rFonts w:ascii="仿宋" w:eastAsia="仿宋" w:cs="仿宋" w:hAnsi="仿宋" w:hint="eastAsia"/>
          <w:color w:val="0C0C0C"/>
          <w:sz w:val="32"/>
          <w:szCs w:val="32"/>
          <w:lang w:val="en-US" w:eastAsia="zh-CN"/>
        </w:rPr>
        <w:t>运行维护</w:t>
      </w:r>
      <w:r>
        <w:rPr>
          <w:rFonts w:ascii="仿宋" w:eastAsia="仿宋" w:cs="仿宋" w:hAnsi="仿宋" w:hint="eastAsia"/>
          <w:color w:val="0C0C0C"/>
          <w:sz w:val="32"/>
          <w:szCs w:val="32"/>
        </w:rPr>
        <w:t>经费</w:t>
      </w:r>
      <w:r>
        <w:rPr>
          <w:rFonts w:ascii="仿宋" w:eastAsia="仿宋" w:cs="仿宋" w:hAnsi="仿宋"/>
          <w:color w:val="000000"/>
          <w:kern w:val="0"/>
          <w:sz w:val="32"/>
          <w:szCs w:val="32"/>
          <w:lang w:val="en-US" w:eastAsia="zh-CN"/>
        </w:rPr>
        <w:t>0</w:t>
      </w:r>
      <w:r>
        <w:rPr>
          <w:rFonts w:ascii="仿宋" w:eastAsia="仿宋" w:cs="仿宋" w:hAnsi="仿宋" w:hint="eastAsia"/>
          <w:color w:val="0C0C0C"/>
          <w:sz w:val="32"/>
          <w:szCs w:val="32"/>
        </w:rPr>
        <w:t>万元，</w:t>
      </w:r>
      <w:r>
        <w:rPr>
          <w:rFonts w:ascii="仿宋" w:eastAsia="仿宋" w:cs="仿宋" w:hAnsi="仿宋" w:hint="eastAsia"/>
          <w:color w:val="0C0C0C"/>
          <w:sz w:val="32"/>
          <w:szCs w:val="32"/>
          <w:lang w:val="en-US" w:eastAsia="zh-CN"/>
        </w:rPr>
        <w:t>专项资金</w:t>
      </w:r>
      <w:r>
        <w:rPr>
          <w:rFonts w:ascii="仿宋" w:eastAsia="仿宋" w:cs="仿宋" w:hAnsi="仿宋"/>
          <w:color w:val="000000"/>
          <w:kern w:val="0"/>
          <w:sz w:val="32"/>
          <w:szCs w:val="32"/>
          <w:lang w:val="en-US" w:eastAsia="zh-CN"/>
        </w:rPr>
        <w:t>0</w:t>
      </w:r>
      <w:r>
        <w:rPr>
          <w:rFonts w:ascii="仿宋" w:eastAsia="仿宋" w:cs="仿宋" w:hAnsi="仿宋" w:hint="eastAsia"/>
          <w:color w:val="0C0C0C"/>
          <w:sz w:val="32"/>
          <w:szCs w:val="32"/>
        </w:rPr>
        <w:t>万元。</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仿宋" w:eastAsia="仿宋" w:cs="仿宋" w:hAnsi="仿宋"/>
          <w:color w:val="0C0C0C"/>
          <w:sz w:val="32"/>
          <w:szCs w:val="32"/>
          <w:lang w:val="en-US" w:eastAsia="zh-CN"/>
        </w:rPr>
      </w:pPr>
      <w:r>
        <w:rPr>
          <w:rFonts w:ascii="仿宋" w:eastAsia="仿宋" w:cs="仿宋" w:hAnsi="仿宋"/>
          <w:b/>
          <w:bCs/>
          <w:color w:val="0C0C0C"/>
          <w:sz w:val="32"/>
          <w:szCs w:val="32"/>
          <w:lang w:val="en-US" w:eastAsia="zh-CN"/>
        </w:rPr>
        <w:t>1</w:t>
      </w:r>
      <w:r>
        <w:rPr>
          <w:rFonts w:ascii="仿宋" w:eastAsia="仿宋" w:cs="仿宋" w:hAnsi="仿宋" w:hint="eastAsia"/>
          <w:b/>
          <w:bCs/>
          <w:color w:val="0C0C0C"/>
          <w:sz w:val="32"/>
          <w:szCs w:val="32"/>
          <w:lang w:val="en-US" w:eastAsia="zh-CN"/>
        </w:rPr>
        <w:t>.</w:t>
      </w:r>
      <w:r>
        <w:rPr>
          <w:rFonts w:ascii="仿宋" w:eastAsia="仿宋" w:cs="仿宋" w:hAnsi="仿宋"/>
          <w:b/>
          <w:bCs/>
          <w:color w:val="0C0C0C"/>
          <w:sz w:val="32"/>
          <w:szCs w:val="32"/>
          <w:lang w:val="en-US" w:eastAsia="zh-CN"/>
        </w:rPr>
        <w:t>业务工作经费0万元</w:t>
      </w:r>
      <w:r>
        <w:rPr>
          <w:rFonts w:ascii="仿宋" w:eastAsia="仿宋" w:cs="仿宋" w:hAnsi="仿宋" w:hint="eastAsia"/>
          <w:b/>
          <w:bCs/>
          <w:color w:val="0C0C0C"/>
          <w:sz w:val="32"/>
          <w:szCs w:val="32"/>
          <w:lang w:val="en-US" w:eastAsia="zh-CN"/>
        </w:rPr>
        <w:t>。</w:t>
      </w:r>
      <w:r>
        <w:rPr>
          <w:rFonts w:ascii="仿宋" w:eastAsia="仿宋" w:cs="仿宋" w:hAnsi="仿宋"/>
          <w:color w:val="0C0C0C"/>
          <w:sz w:val="32"/>
          <w:szCs w:val="32"/>
          <w:lang w:val="en-US" w:eastAsia="zh-CN"/>
        </w:rPr>
        <w:t>主要用于0等方面。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仿宋" w:eastAsia="仿宋" w:cs="仿宋" w:hAnsi="仿宋"/>
          <w:color w:val="0C0C0C"/>
          <w:sz w:val="32"/>
          <w:szCs w:val="32"/>
          <w:lang w:val="en-US" w:eastAsia="zh-CN"/>
        </w:rPr>
      </w:pPr>
      <w:r>
        <w:rPr>
          <w:rFonts w:ascii="仿宋" w:eastAsia="仿宋" w:cs="仿宋" w:hAnsi="仿宋"/>
          <w:b/>
          <w:bCs/>
          <w:color w:val="0C0C0C"/>
          <w:sz w:val="32"/>
          <w:szCs w:val="32"/>
          <w:lang w:val="en-US" w:eastAsia="zh-CN"/>
        </w:rPr>
        <w:t>2</w:t>
      </w:r>
      <w:r>
        <w:rPr>
          <w:rFonts w:ascii="仿宋" w:eastAsia="仿宋" w:cs="仿宋" w:hAnsi="仿宋" w:hint="eastAsia"/>
          <w:b/>
          <w:bCs/>
          <w:color w:val="0C0C0C"/>
          <w:sz w:val="32"/>
          <w:szCs w:val="32"/>
          <w:lang w:val="en-US" w:eastAsia="zh-CN"/>
        </w:rPr>
        <w:t>.运行维护</w:t>
      </w:r>
      <w:r>
        <w:rPr>
          <w:rFonts w:ascii="仿宋" w:eastAsia="仿宋" w:cs="仿宋" w:hAnsi="仿宋"/>
          <w:b/>
          <w:bCs/>
          <w:color w:val="0C0C0C"/>
          <w:sz w:val="32"/>
          <w:szCs w:val="32"/>
          <w:lang w:val="en-US" w:eastAsia="zh-CN"/>
        </w:rPr>
        <w:t>经费0万元</w:t>
      </w:r>
      <w:r>
        <w:rPr>
          <w:rFonts w:ascii="仿宋" w:eastAsia="仿宋" w:cs="仿宋" w:hAnsi="仿宋" w:hint="eastAsia"/>
          <w:b/>
          <w:bCs/>
          <w:color w:val="0C0C0C"/>
          <w:sz w:val="32"/>
          <w:szCs w:val="32"/>
          <w:lang w:val="en-US" w:eastAsia="zh-CN"/>
        </w:rPr>
        <w:t>。</w:t>
      </w:r>
      <w:r>
        <w:rPr>
          <w:rFonts w:ascii="仿宋" w:eastAsia="仿宋" w:cs="仿宋" w:hAnsi="仿宋"/>
          <w:color w:val="0C0C0C"/>
          <w:sz w:val="32"/>
          <w:szCs w:val="32"/>
          <w:lang w:val="en-US" w:eastAsia="zh-CN"/>
        </w:rPr>
        <w:t>主要用于0等方面。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仿宋" w:eastAsia="仿宋" w:cs="仿宋" w:hAnsi="仿宋" w:hint="eastAsia"/>
          <w:color w:val="0C0C0C"/>
          <w:sz w:val="32"/>
          <w:szCs w:val="32"/>
          <w:lang w:val="en-US" w:eastAsia="zh-CN"/>
        </w:rPr>
      </w:pPr>
      <w:r>
        <w:rPr>
          <w:rFonts w:ascii="仿宋" w:eastAsia="仿宋" w:cs="仿宋" w:hAnsi="仿宋" w:hint="eastAsia"/>
          <w:b/>
          <w:bCs/>
          <w:color w:val="0C0C0C"/>
          <w:sz w:val="32"/>
          <w:szCs w:val="32"/>
          <w:lang w:val="en-US" w:eastAsia="zh-CN"/>
        </w:rPr>
        <w:t>3.上级专项资金</w:t>
      </w:r>
      <w:r>
        <w:rPr>
          <w:rFonts w:ascii="仿宋" w:eastAsia="仿宋" w:cs="仿宋" w:hAnsi="仿宋"/>
          <w:b/>
          <w:bCs/>
          <w:color w:val="0C0C0C"/>
          <w:sz w:val="32"/>
          <w:szCs w:val="32"/>
          <w:lang w:val="en-US" w:eastAsia="zh-CN"/>
        </w:rPr>
        <w:t>0万元</w:t>
      </w:r>
      <w:r>
        <w:rPr>
          <w:rFonts w:ascii="仿宋" w:eastAsia="仿宋" w:cs="仿宋" w:hAnsi="仿宋" w:hint="eastAsia"/>
          <w:b/>
          <w:bCs/>
          <w:color w:val="0C0C0C"/>
          <w:sz w:val="32"/>
          <w:szCs w:val="32"/>
          <w:lang w:val="en-US" w:eastAsia="zh-CN"/>
        </w:rPr>
        <w:t>。</w:t>
      </w:r>
      <w:r>
        <w:rPr>
          <w:rFonts w:ascii="仿宋" w:eastAsia="仿宋" w:cs="仿宋" w:hAnsi="仿宋" w:hint="eastAsia"/>
          <w:color w:val="0C0C0C"/>
          <w:sz w:val="32"/>
          <w:szCs w:val="32"/>
          <w:lang w:val="en-US" w:eastAsia="zh-CN"/>
        </w:rPr>
        <w:t>其中</w:t>
      </w:r>
      <w:r>
        <w:rPr>
          <w:rFonts w:ascii="仿宋" w:eastAsia="仿宋" w:cs="仿宋" w:hAnsi="仿宋"/>
          <w:color w:val="0C0C0C"/>
          <w:sz w:val="32"/>
          <w:szCs w:val="32"/>
          <w:lang w:val="en-US" w:eastAsia="zh-CN"/>
        </w:rPr>
        <w:t>0</w:t>
      </w:r>
      <w:r>
        <w:rPr>
          <w:rFonts w:ascii="仿宋" w:eastAsia="仿宋" w:cs="仿宋" w:hAnsi="仿宋" w:hint="eastAsia"/>
          <w:color w:val="0C0C0C"/>
          <w:sz w:val="32"/>
          <w:szCs w:val="32"/>
          <w:lang w:val="en-US" w:eastAsia="zh-CN"/>
        </w:rPr>
        <w:t>专项资金</w:t>
      </w:r>
      <w:r>
        <w:rPr>
          <w:rFonts w:ascii="仿宋" w:eastAsia="仿宋" w:cs="仿宋" w:hAnsi="仿宋"/>
          <w:color w:val="0C0C0C"/>
          <w:sz w:val="32"/>
          <w:szCs w:val="32"/>
          <w:lang w:val="en-US" w:eastAsia="zh-CN"/>
        </w:rPr>
        <w:t>0</w:t>
      </w:r>
      <w:r>
        <w:rPr>
          <w:rFonts w:ascii="仿宋" w:eastAsia="仿宋" w:cs="仿宋" w:hAnsi="仿宋" w:hint="eastAsia"/>
          <w:color w:val="0C0C0C"/>
          <w:sz w:val="32"/>
          <w:szCs w:val="32"/>
          <w:lang w:val="en-US" w:eastAsia="zh-CN"/>
        </w:rPr>
        <w:t>万元，</w:t>
      </w:r>
      <w:r>
        <w:rPr>
          <w:rFonts w:ascii="仿宋" w:eastAsia="仿宋" w:cs="仿宋" w:hAnsi="仿宋"/>
          <w:color w:val="0C0C0C"/>
          <w:sz w:val="32"/>
          <w:szCs w:val="32"/>
          <w:lang w:val="en-US" w:eastAsia="zh-CN"/>
        </w:rPr>
        <w:t>主要用于0等方面</w:t>
      </w:r>
      <w:r>
        <w:rPr>
          <w:rFonts w:ascii="仿宋" w:eastAsia="仿宋" w:cs="仿宋" w:hAnsi="仿宋" w:hint="eastAsia"/>
          <w:color w:val="0C0C0C"/>
          <w:sz w:val="32"/>
          <w:szCs w:val="32"/>
          <w:lang w:val="en-US" w:eastAsia="zh-CN"/>
        </w:rPr>
        <w:t>；</w:t>
      </w:r>
      <w:r>
        <w:rPr>
          <w:rFonts w:ascii="仿宋" w:eastAsia="仿宋" w:cs="仿宋" w:hAnsi="仿宋"/>
          <w:color w:val="0C0C0C"/>
          <w:sz w:val="32"/>
          <w:szCs w:val="32"/>
          <w:lang w:val="en-US" w:eastAsia="zh-CN"/>
        </w:rPr>
        <w:t>0</w:t>
      </w:r>
      <w:r>
        <w:rPr>
          <w:rFonts w:ascii="仿宋" w:eastAsia="仿宋" w:cs="仿宋" w:hAnsi="仿宋" w:hint="eastAsia"/>
          <w:color w:val="0C0C0C"/>
          <w:sz w:val="32"/>
          <w:szCs w:val="32"/>
          <w:lang w:val="en-US" w:eastAsia="zh-CN"/>
        </w:rPr>
        <w:t>专项资金</w:t>
      </w:r>
      <w:r>
        <w:rPr>
          <w:rFonts w:ascii="仿宋" w:eastAsia="仿宋" w:cs="仿宋" w:hAnsi="仿宋"/>
          <w:color w:val="0C0C0C"/>
          <w:sz w:val="32"/>
          <w:szCs w:val="32"/>
          <w:lang w:val="en-US" w:eastAsia="zh-CN"/>
        </w:rPr>
        <w:t>0</w:t>
      </w:r>
      <w:r>
        <w:rPr>
          <w:rFonts w:ascii="仿宋" w:eastAsia="仿宋" w:cs="仿宋" w:hAnsi="仿宋" w:hint="eastAsia"/>
          <w:color w:val="0C0C0C"/>
          <w:sz w:val="32"/>
          <w:szCs w:val="32"/>
          <w:lang w:val="en-US" w:eastAsia="zh-CN"/>
        </w:rPr>
        <w:t>万元，</w:t>
      </w:r>
      <w:r>
        <w:rPr>
          <w:rFonts w:ascii="仿宋" w:eastAsia="仿宋" w:cs="仿宋" w:hAnsi="仿宋"/>
          <w:color w:val="0C0C0C"/>
          <w:sz w:val="32"/>
          <w:szCs w:val="32"/>
          <w:lang w:val="en-US" w:eastAsia="zh-CN"/>
        </w:rPr>
        <w:t>主要用于0等方面</w:t>
      </w:r>
      <w:r>
        <w:rPr>
          <w:rFonts w:ascii="仿宋" w:eastAsia="仿宋" w:cs="仿宋" w:hAnsi="仿宋" w:hint="eastAsia"/>
          <w:color w:val="0C0C0C"/>
          <w:sz w:val="32"/>
          <w:szCs w:val="32"/>
          <w:lang w:val="en-US" w:eastAsia="zh-CN"/>
        </w:rPr>
        <w:t>。</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三、政府性基金预算支出情况</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黑体" w:eastAsia="黑体" w:cs="黑体" w:hAnsi="黑体" w:hint="eastAsia"/>
          <w:i w:val="0"/>
          <w:iCs w:val="0"/>
          <w:caps w:val="0"/>
          <w:smallCaps w:val="0"/>
          <w:color w:val="000000"/>
          <w:spacing w:val="0"/>
          <w:sz w:val="32"/>
          <w:szCs w:val="32"/>
          <w:shd w:val="clear" w:color="auto" w:fill="FFFFFF"/>
        </w:rPr>
      </w:pPr>
      <w:r>
        <w:rPr>
          <w:rFonts w:ascii="仿宋" w:eastAsia="仿宋" w:cs="仿宋" w:hAnsi="仿宋" w:hint="eastAsia"/>
          <w:color w:val="0C0C0C"/>
          <w:sz w:val="32"/>
          <w:szCs w:val="32"/>
          <w:lang w:val="en-US" w:eastAsia="zh-CN"/>
        </w:rPr>
        <w:t>2024年度无政府性基金预算支出。</w:t>
      </w:r>
    </w:p>
    <w:p>
      <w:pPr>
        <w:pStyle w:val="21"/>
        <w:keepNext w:val="0"/>
        <w:keepLines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国有资本经营预算支出情况</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仿宋" w:eastAsia="仿宋" w:cs="仿宋" w:hAnsi="仿宋" w:hint="eastAsia"/>
          <w:color w:val="0C0C0C"/>
          <w:sz w:val="32"/>
          <w:szCs w:val="32"/>
          <w:lang w:val="en-US" w:eastAsia="zh-CN"/>
        </w:rPr>
      </w:pPr>
      <w:r>
        <w:rPr>
          <w:rFonts w:ascii="仿宋" w:eastAsia="仿宋" w:cs="仿宋" w:hAnsi="仿宋" w:hint="eastAsia"/>
          <w:color w:val="0C0C0C"/>
          <w:sz w:val="32"/>
          <w:szCs w:val="32"/>
          <w:lang w:val="en-US" w:eastAsia="zh-CN"/>
        </w:rPr>
        <w:t>2024</w:t>
      </w:r>
      <w:r>
        <w:rPr>
          <w:rFonts w:ascii="仿宋" w:eastAsia="仿宋" w:cs="仿宋" w:hAnsi="仿宋"/>
          <w:color w:val="0C0C0C"/>
          <w:sz w:val="32"/>
          <w:szCs w:val="32"/>
          <w:lang w:val="en-US" w:eastAsia="zh-CN"/>
        </w:rPr>
        <w:t>年度无国有资本经营预算支出。</w:t>
      </w:r>
    </w:p>
    <w:p>
      <w:pPr>
        <w:pStyle w:val="21"/>
        <w:keepNext w:val="0"/>
        <w:keepLines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社会保险基金预算支出情况</w:t>
      </w:r>
    </w:p>
    <w:p>
      <w:pPr>
        <w:keepNext w:val="0"/>
        <w:keepLines w:val="0"/>
        <w:widowControl/>
        <w:suppressLineNumbers w:val="0"/>
        <w:ind w:firstLineChars="200" w:firstLine="640"/>
        <w:jc w:val="left"/>
        <w:rPr>
          <w:rFonts w:ascii="黑体" w:eastAsia="黑体" w:cs="黑体" w:hAnsi="黑体" w:hint="eastAsia"/>
          <w:i w:val="0"/>
          <w:iCs w:val="0"/>
          <w:caps w:val="0"/>
          <w:smallCaps w:val="0"/>
          <w:color w:val="000000"/>
          <w:spacing w:val="0"/>
          <w:sz w:val="32"/>
          <w:szCs w:val="32"/>
          <w:shd w:val="clear" w:color="auto" w:fill="FFFFFF"/>
        </w:rPr>
      </w:pPr>
      <w:r>
        <w:rPr>
          <w:rFonts w:ascii="仿宋" w:eastAsia="仿宋" w:cs="仿宋" w:hAnsi="仿宋" w:hint="eastAsia"/>
          <w:color w:val="0C0C0C"/>
          <w:sz w:val="32"/>
          <w:szCs w:val="32"/>
          <w:lang w:val="en-US" w:eastAsia="zh-CN"/>
        </w:rPr>
        <w:t>2024</w:t>
      </w:r>
      <w:r>
        <w:rPr>
          <w:rFonts w:ascii="仿宋" w:eastAsia="仿宋" w:cs="仿宋" w:hAnsi="仿宋"/>
          <w:color w:val="0C0C0C"/>
          <w:sz w:val="32"/>
          <w:szCs w:val="32"/>
          <w:lang w:val="en-US" w:eastAsia="zh-CN"/>
        </w:rPr>
        <w:t>年度无社会保险基金预算支出。</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六、部门整体支出绩效情况</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jc w:val="both"/>
        <w:rPr>
          <w:rFonts w:ascii="仿宋" w:eastAsia="仿宋" w:cs="仿宋" w:hAnsi="仿宋" w:hint="eastAsia"/>
          <w:color w:val="0C0C0C"/>
          <w:kern w:val="2"/>
          <w:sz w:val="32"/>
          <w:szCs w:val="32"/>
          <w:lang w:val="en-US" w:eastAsia="zh-CN" w:bidi="ar-SA"/>
        </w:rPr>
      </w:pPr>
      <w:r>
        <w:rPr>
          <w:rFonts w:ascii="仿宋" w:eastAsia="仿宋" w:cs="仿宋" w:hAnsi="仿宋" w:hint="eastAsia"/>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ascii="仿宋" w:eastAsia="仿宋" w:cs="仿宋" w:hAnsi="仿宋"/>
          <w:color w:val="0C0C0C"/>
          <w:kern w:val="2"/>
          <w:sz w:val="32"/>
          <w:szCs w:val="32"/>
          <w:lang w:val="en-US" w:eastAsia="zh-CN" w:bidi="ar-SA"/>
        </w:rPr>
        <w:t>92</w:t>
      </w:r>
      <w:r>
        <w:rPr>
          <w:rFonts w:ascii="仿宋" w:eastAsia="仿宋" w:cs="仿宋" w:hAnsi="仿宋" w:hint="eastAsia"/>
          <w:color w:val="0C0C0C"/>
          <w:kern w:val="2"/>
          <w:sz w:val="32"/>
          <w:szCs w:val="32"/>
          <w:lang w:val="en-US" w:eastAsia="zh-CN" w:bidi="ar-SA"/>
        </w:rPr>
        <w:t>分，部门整体支出绩效为“</w:t>
      </w:r>
      <w:r>
        <w:rPr>
          <w:rFonts w:ascii="仿宋_GB2312" w:eastAsia="仿宋_GB2312" w:cs="仿宋_GB2312"/>
          <w:i w:val="0"/>
          <w:iCs w:val="0"/>
          <w:caps w:val="0"/>
          <w:smallCaps w:val="0"/>
          <w:color w:val="000000"/>
          <w:spacing w:val="0"/>
          <w:sz w:val="24"/>
          <w:szCs w:val="24"/>
          <w:shd w:val="clear" w:color="auto" w:fill="FFFFFF"/>
        </w:rPr>
        <w:t>优秀</w:t>
      </w:r>
      <w:r>
        <w:rPr>
          <w:rFonts w:ascii="仿宋" w:eastAsia="仿宋" w:cs="仿宋" w:hAnsi="仿宋" w:hint="eastAsia"/>
          <w:color w:val="0C0C0C"/>
          <w:kern w:val="2"/>
          <w:sz w:val="32"/>
          <w:szCs w:val="32"/>
          <w:lang w:val="en-US" w:eastAsia="zh-CN" w:bidi="ar-SA"/>
        </w:rPr>
        <w:t>”。主要绩效如下：</w:t>
      </w:r>
    </w:p>
    <w:p>
      <w:pPr>
        <w:keepNext w:val="0"/>
        <w:keepLines w:val="0"/>
        <w:pageBreakBefore w:val="0"/>
        <w:widowControl w:val="0"/>
        <w:kinsoku/>
        <w:wordWrap/>
        <w:overflowPunct/>
        <w:topLinePunct w:val="0"/>
        <w:autoSpaceDE/>
        <w:autoSpaceDN/>
        <w:bidi w:val="0"/>
        <w:adjustRightInd/>
        <w:snapToGrid/>
        <w:spacing w:line="600" w:lineRule="exact"/>
        <w:ind w:leftChars="304" w:left="638" w:firstLineChars="200" w:firstLine="640"/>
        <w:jc w:val="left"/>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黑体" w:eastAsia="黑体" w:cs="黑体" w:hAnsi="黑体" w:hint="eastAsia"/>
          <w:color w:val="000000"/>
          <w:kern w:val="2"/>
          <w:sz w:val="32"/>
          <w:szCs w:val="32"/>
          <w14:textFill>
            <w14:solidFill>
              <w14:srgbClr w14:val="000000"/>
            </w14:solidFill>
          </w14:textFill>
          <w:lang w:val="en-US" w:eastAsia="zh-CN" w:bidi="ar-SA"/>
        </w:rPr>
        <w:t>一、坚持党的领导，以更高站位把牢履职方向。</w:t>
      </w:r>
      <w:r>
        <w:rPr>
          <w:rFonts w:ascii="楷体_GB2312" w:eastAsia="楷体_GB2312" w:cs="楷体_GB2312" w:hAnsi="楷体_GB2312" w:hint="eastAsia"/>
          <w:b/>
          <w:bCs/>
          <w:color w:val="000000"/>
          <w:sz w:val="32"/>
          <w:szCs w:val="32"/>
          <w14:textFill>
            <w14:solidFill>
              <w14:srgbClr w14:val="000000"/>
            </w14:solidFill>
          </w14:textFill>
          <w:lang w:val="en-US" w:eastAsia="zh-CN"/>
        </w:rPr>
        <w:t>1.理论武装持续深化。</w:t>
      </w:r>
      <w:r>
        <w:rPr>
          <w:rFonts w:ascii="仿宋_GB2312" w:eastAsia="仿宋_GB2312" w:cs="仿宋_GB2312" w:hAnsi="仿宋_GB2312" w:hint="eastAsia"/>
          <w:color w:val="000000"/>
          <w:sz w:val="32"/>
          <w:szCs w:val="32"/>
          <w14:textFill>
            <w14:solidFill>
              <w14:srgbClr w14:val="000000"/>
            </w14:solidFill>
          </w14:textFill>
          <w:lang w:val="en-US" w:eastAsia="zh-CN"/>
        </w:rPr>
        <w:t>始终坚持把学习作为加强党的领导的重要方式，严格落实“第一议题”制度，深入推进“书香政协”建设，逐步健全以政协党组中心组学习为引领，党组会议、主席会议、常委会议、专题培训等相配套的学习制度，扎实开展党纪学习教育，深入学习中央和省市县委有关会议精神，在政协形成学精神、抓落实、促工作的浓厚氛围。</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jc w:val="left"/>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2.政治引领不断加强。</w:t>
      </w:r>
      <w:r>
        <w:rPr>
          <w:rFonts w:ascii="仿宋_GB2312" w:eastAsia="仿宋_GB2312" w:cs="仿宋_GB2312" w:hAnsi="仿宋_GB2312" w:hint="eastAsia"/>
          <w:color w:val="000000"/>
          <w:sz w:val="32"/>
          <w:szCs w:val="32"/>
          <w14:textFill>
            <w14:solidFill>
              <w14:srgbClr w14:val="000000"/>
            </w14:solidFill>
          </w14:textFill>
          <w:lang w:val="en-US" w:eastAsia="zh-CN"/>
        </w:rPr>
        <w:t>自觉在县委领导下主动负责、协调一致开展工作，严格落实重大事项请示报告制度，先后就政协全会筹备、年度履职情况、协商监督计划等事项向县委作专题汇报，做到一切工作在县委领导下开展，一切活动围绕县委、县政府中心任务进行，重要安排报请县委同意后实施，将政协工作放在全县工作大局中统筹和谋划。</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jc w:val="left"/>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3.党的建设全面推进。</w:t>
      </w:r>
      <w:r>
        <w:rPr>
          <w:rFonts w:ascii="仿宋_GB2312" w:eastAsia="仿宋_GB2312" w:cs="仿宋_GB2312" w:hAnsi="仿宋_GB2312" w:hint="eastAsia"/>
          <w:color w:val="000000"/>
          <w:sz w:val="32"/>
          <w:szCs w:val="32"/>
          <w14:textFill>
            <w14:solidFill>
              <w14:srgbClr w14:val="000000"/>
            </w14:solidFill>
          </w14:textFill>
          <w:lang w:val="en-US" w:eastAsia="zh-CN"/>
        </w:rPr>
        <w:t>全面落实新时代加强政协党的建设的部署要求，积极探索具有政协特色的党建工作新思路新举措。全面落实县政协党组成员联系党员委员、党员委员联系党外委员的“双联”工作机制，推进党的组织对党员委员全覆盖、党的工作对政协委员全覆盖。持续探索“党建+履职”特色模式，深入开展融学习、协商、建言、服务于一体的“党建+”活动，以高质量党建引领高质量履职。</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jc w:val="left"/>
        <w:textAlignment w:val="auto"/>
        <w:rPr>
          <w:rFonts w:ascii="黑体" w:eastAsia="黑体" w:cs="黑体" w:hAnsi="黑体" w:hint="eastAsia"/>
          <w:color w:val="000000"/>
          <w:kern w:val="2"/>
          <w:sz w:val="32"/>
          <w:szCs w:val="32"/>
          <w14:textFill>
            <w14:solidFill>
              <w14:srgbClr w14:val="000000"/>
            </w14:solidFill>
          </w14:textFill>
          <w:lang w:val="en-US" w:eastAsia="zh-CN" w:bidi="ar-SA"/>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5" w:right="0"/>
        <w:rPr>
          <w:rFonts w:ascii="仿宋" w:eastAsia="仿宋" w:cs="仿宋" w:hAnsi="仿宋" w:hint="eastAsia"/>
          <w:i w:val="0"/>
          <w:iCs w:val="0"/>
          <w:caps w:val="0"/>
          <w:smallCaps w:val="0"/>
          <w:color w:val="000000"/>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黑体" w:eastAsia="黑体" w:cs="黑体" w:hAnsi="黑体" w:hint="eastAsia"/>
          <w:b w:val="0"/>
          <w:bCs w:val="0"/>
          <w:color w:val="000000"/>
          <w:sz w:val="32"/>
          <w:szCs w:val="32"/>
          <w14:textFill>
            <w14:solidFill>
              <w14:srgbClr w14:val="000000"/>
            </w14:solidFill>
          </w14:textFill>
          <w:lang w:val="en-US" w:eastAsia="zh-CN"/>
        </w:rPr>
      </w:pPr>
      <w:r>
        <w:rPr>
          <w:rFonts w:ascii="楷体" w:eastAsia="楷体" w:cs="楷体" w:hAnsi="楷体" w:hint="eastAsia"/>
          <w:b/>
          <w:bCs/>
          <w:i w:val="0"/>
          <w:iCs w:val="0"/>
          <w:caps w:val="0"/>
          <w:smallCaps w:val="0"/>
          <w:color w:val="000000"/>
          <w:spacing w:val="0"/>
          <w:sz w:val="32"/>
          <w:szCs w:val="32"/>
          <w:shd w:val="clear" w:color="auto" w:fill="FFFFFF"/>
          <w:lang w:val="en-US" w:eastAsia="zh-CN"/>
        </w:rPr>
        <w:t>二、</w:t>
      </w:r>
      <w:r>
        <w:rPr>
          <w:rFonts w:ascii="黑体" w:eastAsia="黑体" w:cs="黑体" w:hAnsi="黑体" w:hint="eastAsia"/>
          <w:b w:val="0"/>
          <w:bCs w:val="0"/>
          <w:color w:val="000000"/>
          <w:sz w:val="32"/>
          <w:szCs w:val="32"/>
          <w14:textFill>
            <w14:solidFill>
              <w14:srgbClr w14:val="000000"/>
            </w14:solidFill>
          </w14:textFill>
          <w:lang w:val="en-US" w:eastAsia="zh-CN"/>
        </w:rPr>
        <w:t>坚持协商主业，以更强担当服务发展大局</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1.聚焦重点献计出力。</w:t>
      </w:r>
      <w:r>
        <w:rPr>
          <w:rFonts w:ascii="仿宋_GB2312" w:eastAsia="仿宋_GB2312" w:cs="仿宋_GB2312" w:hAnsi="仿宋_GB2312" w:hint="eastAsia"/>
          <w:color w:val="000000"/>
          <w:sz w:val="32"/>
          <w:szCs w:val="32"/>
          <w14:textFill>
            <w14:solidFill>
              <w14:srgbClr w14:val="000000"/>
            </w14:solidFill>
          </w14:textFill>
          <w:lang w:val="en-US" w:eastAsia="zh-CN"/>
        </w:rPr>
        <w:t>围绕“构建常态化城市管理机制，赋能‘美丽绥宁’建设”主题召开专题议政性常委会会议，从理顺城市管理体制机制、创新城市管理方法手段、解决城市管理重点难点、补齐城市管理规划短板、增强城市管理发展后劲等5个方面，向县委、县政府提出20条对策建议，履职成果得到党政主要领导的高度评价并批转落实。</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2.聚焦难点参政议政。</w:t>
      </w:r>
      <w:r>
        <w:rPr>
          <w:rFonts w:ascii="仿宋_GB2312" w:eastAsia="仿宋_GB2312" w:cs="仿宋_GB2312" w:hAnsi="仿宋_GB2312" w:hint="eastAsia"/>
          <w:color w:val="000000"/>
          <w:sz w:val="32"/>
          <w:szCs w:val="32"/>
          <w14:textFill>
            <w14:solidFill>
              <w14:srgbClr w14:val="000000"/>
            </w14:solidFill>
          </w14:textFill>
          <w:lang w:val="en-US" w:eastAsia="zh-CN"/>
        </w:rPr>
        <w:t>县政协十届四次会议期间，引导委员围绕殡葬改革、社会治理等全县改革发展重点问题，积极议政建言，形成8篇大会议政发言材料，提出45条意见建议，得到党政主要领导批转落实。围绕农业社会化服务、重点项目用地等课题建言献策，向县委、县政府提交履职成果16份，得到县领导批示5篇次。</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3.聚焦堵点扎实监督。</w:t>
      </w:r>
      <w:r>
        <w:rPr>
          <w:rFonts w:ascii="仿宋_GB2312" w:eastAsia="仿宋_GB2312" w:cs="仿宋_GB2312" w:hAnsi="仿宋_GB2312" w:hint="eastAsia"/>
          <w:color w:val="000000"/>
          <w:sz w:val="32"/>
          <w:szCs w:val="32"/>
          <w14:textFill>
            <w14:solidFill>
              <w14:srgbClr w14:val="000000"/>
            </w14:solidFill>
          </w14:textFill>
          <w:lang w:val="en-US" w:eastAsia="zh-CN"/>
        </w:rPr>
        <w:t>持续开展改善生态专项民主监督，协助党委政府及时发现和解决河道治理、污水处理和生物多样性保护等问题，守护绥宁碧水蓝天。《保护生物多样性、助推朱鹮落户绥宁》的监督故事在政协云专题推介，委员工作室助推开展秸秆综合利用典型做法在《湘声报》宣传推介。开展常委会民主评议重点提案办理工作，听取县住建局、县商务局等8家单位提案办理情况汇报，形成提办协商、以评促办、共同推进的工作机制，真正使提案办理达到改进工作、提升质量、提高群众满意度的目的。</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黑体" w:eastAsia="黑体" w:cs="黑体" w:hAnsi="黑体" w:hint="eastAsia"/>
          <w:b w:val="0"/>
          <w:bCs w:val="0"/>
          <w:color w:val="000000"/>
          <w:sz w:val="32"/>
          <w:szCs w:val="32"/>
          <w14:textFill>
            <w14:solidFill>
              <w14:srgbClr w14:val="000000"/>
            </w14:solidFill>
          </w14:textFill>
          <w:lang w:val="en-US" w:eastAsia="zh-CN"/>
        </w:rPr>
      </w:pPr>
      <w:r>
        <w:rPr>
          <w:rFonts w:ascii="黑体" w:eastAsia="黑体" w:cs="黑体" w:hAnsi="黑体" w:hint="eastAsia"/>
          <w:b w:val="0"/>
          <w:bCs w:val="0"/>
          <w:color w:val="000000"/>
          <w:sz w:val="32"/>
          <w:szCs w:val="32"/>
          <w14:textFill>
            <w14:solidFill>
              <w14:srgbClr w14:val="000000"/>
            </w14:solidFill>
          </w14:textFill>
          <w:lang w:val="en-US" w:eastAsia="zh-CN"/>
        </w:rPr>
        <w:t>三、坚持履职为民，以更实举措助推民生改善</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1.积极反映民生热点问题。</w:t>
      </w:r>
      <w:r>
        <w:rPr>
          <w:rFonts w:ascii="仿宋_GB2312" w:eastAsia="仿宋_GB2312" w:cs="仿宋_GB2312" w:hAnsi="仿宋_GB2312" w:hint="eastAsia"/>
          <w:color w:val="000000"/>
          <w:kern w:val="2"/>
          <w:sz w:val="32"/>
          <w:szCs w:val="32"/>
          <w14:textFill>
            <w14:solidFill>
              <w14:srgbClr w14:val="000000"/>
            </w14:solidFill>
          </w14:textFill>
          <w:lang w:val="en-US" w:eastAsia="zh-CN" w:bidi="ar-SA"/>
        </w:rPr>
        <w:t>全面提升“一案一微一信息”工作质量和水平，一年来县政协共立案提案69件，其中民生类提案占33%，努力通过提案助推解决群众“急难愁盼”问题。</w:t>
      </w:r>
      <w:r>
        <w:rPr>
          <w:rFonts w:ascii="仿宋_GB2312" w:eastAsia="仿宋_GB2312" w:cs="仿宋_GB2312" w:hAnsi="仿宋_GB2312" w:hint="eastAsia"/>
          <w:color w:val="000000"/>
          <w:sz w:val="32"/>
          <w:szCs w:val="32"/>
          <w14:textFill>
            <w14:solidFill>
              <w14:srgbClr w14:val="000000"/>
            </w14:solidFill>
          </w14:textFill>
          <w:lang w:val="en-US" w:eastAsia="zh-CN"/>
        </w:rPr>
        <w:t>以“小信息”服务“大民生”，全年收集反映社情民意信息22篇，市政协采用14篇，县党政主要领导批示4篇。以“微建议”提升“微幸福”，推动“微建议”办理精准对接党委政府“微建设”“微服务”，2024年累计交办微建议53条，开展“微协商”10次，推动解决了一大批群众身边的操心事、烦心事、揪心事。</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2.积极助推惠民事项落实。</w:t>
      </w:r>
      <w:r>
        <w:rPr>
          <w:rFonts w:ascii="仿宋_GB2312" w:eastAsia="仿宋_GB2312" w:cs="仿宋_GB2312" w:hAnsi="仿宋_GB2312" w:hint="eastAsia"/>
          <w:color w:val="000000"/>
          <w:sz w:val="32"/>
          <w:szCs w:val="32"/>
          <w14:textFill>
            <w14:solidFill>
              <w14:srgbClr w14:val="000000"/>
            </w14:solidFill>
          </w14:textFill>
          <w:lang w:val="en-US" w:eastAsia="zh-CN"/>
        </w:rPr>
        <w:t>组织政协委员视察“校园食品安全”、开展“落实五育并举，促进中小学生全面发展”对口协商，助力绥宁一中高三毕业班教室统一安装空调，为我县教育高质量发展献计出力。“体验式”督导县城无障碍环境，持续优化无障碍环境建设，助力群众共享“有爱无碍”的美好生活。</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3.积极赋能基层社会治理。</w:t>
      </w:r>
      <w:r>
        <w:rPr>
          <w:rFonts w:ascii="仿宋_GB2312" w:eastAsia="仿宋_GB2312" w:cs="仿宋_GB2312" w:hAnsi="仿宋_GB2312" w:hint="eastAsia"/>
          <w:color w:val="000000"/>
          <w:sz w:val="32"/>
          <w:szCs w:val="32"/>
          <w14:textFill>
            <w14:solidFill>
              <w14:srgbClr w14:val="000000"/>
            </w14:solidFill>
          </w14:textFill>
          <w:lang w:val="en-US" w:eastAsia="zh-CN"/>
        </w:rPr>
        <w:t>持续擦亮“绥事好商量”品牌，探索出一条以基层协商民主服务人民群众、化解矛盾纠纷、促进基层社会治理的新路子，全年开展协商议事活动100余次，帮助解决各类民生问题60余个。助推建成志愿法律服务一村（社区）一站，全年开展法治宣传200余场，提供法律咨询1000余次，调解矛盾纠纷1000余起，普法受益群众20万余人，切实把人民政协制度优势转化为基层治理强大效能。</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黑体" w:eastAsia="黑体" w:cs="黑体" w:hAnsi="黑体" w:hint="eastAsia"/>
          <w:b w:val="0"/>
          <w:bCs w:val="0"/>
          <w:color w:val="000000"/>
          <w:sz w:val="32"/>
          <w:szCs w:val="32"/>
          <w14:textFill>
            <w14:solidFill>
              <w14:srgbClr w14:val="000000"/>
            </w14:solidFill>
          </w14:textFill>
          <w:lang w:val="en-US" w:eastAsia="zh-CN"/>
        </w:rPr>
      </w:pPr>
      <w:r>
        <w:rPr>
          <w:rFonts w:ascii="黑体" w:eastAsia="黑体" w:cs="黑体" w:hAnsi="黑体" w:hint="eastAsia"/>
          <w:b w:val="0"/>
          <w:bCs w:val="0"/>
          <w:color w:val="000000"/>
          <w:sz w:val="32"/>
          <w:szCs w:val="32"/>
          <w14:textFill>
            <w14:solidFill>
              <w14:srgbClr w14:val="000000"/>
            </w14:solidFill>
          </w14:textFill>
          <w:lang w:val="en-US" w:eastAsia="zh-CN"/>
        </w:rPr>
        <w:t>四、坚持固本强基，以更高标准提升履职能力</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1.强化制度机制建设。</w:t>
      </w:r>
      <w:r>
        <w:rPr>
          <w:rFonts w:ascii="仿宋_GB2312" w:eastAsia="仿宋_GB2312" w:cs="仿宋_GB2312" w:hAnsi="仿宋_GB2312" w:hint="eastAsia"/>
          <w:color w:val="000000"/>
          <w:sz w:val="32"/>
          <w:szCs w:val="32"/>
          <w14:textFill>
            <w14:solidFill>
              <w14:srgbClr w14:val="000000"/>
            </w14:solidFill>
          </w14:textFill>
          <w:lang w:val="en-US" w:eastAsia="zh-CN"/>
        </w:rPr>
        <w:t>建立健全委员履职工作制度，制定《绥宁县政协委员活动经费使用管理暂行办法》，充分发挥委员主体作用，支持保障委员有效履行职能。出台《绥宁县政协委员退出和暂停履职办法》，明确委员退出方式、情形和程序，及时暂停或取消不合格委员资格，畅通委员能进能出渠道。完善《县政协委员履职考勤考绩工作实施办法》，对委员出席政协会议、参加调研视察、议政建言献策等履职情况进行量化打分，实行季度通报，让委员有压力、增动力、强能力。</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2.强化委员队伍建设。</w:t>
      </w:r>
      <w:r>
        <w:rPr>
          <w:rFonts w:ascii="仿宋_GB2312" w:eastAsia="仿宋_GB2312" w:cs="仿宋_GB2312" w:hAnsi="仿宋_GB2312" w:hint="eastAsia"/>
          <w:color w:val="000000"/>
          <w:sz w:val="32"/>
          <w:szCs w:val="32"/>
          <w14:textFill>
            <w14:solidFill>
              <w14:srgbClr w14:val="000000"/>
            </w14:solidFill>
          </w14:textFill>
          <w:lang w:val="en-US" w:eastAsia="zh-CN"/>
        </w:rPr>
        <w:t>健全覆盖全体委员的学习制度，加强委员学习教育，为委员全面增强履职本领、更好建言资政提供有力支撑。组织开展了2期政协委员、政协机关干部履职能力提升培训班，促进学习全员化、培训系统化、成果实效化。加强委员履职考核结果综合运用，首次对履职不力的委员进行提醒谈话。注重正向激励，每年评选优秀县政协委员，着力营造争当“责任委员”、不当“挂名委员”的良好氛围。</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_GB2312" w:eastAsia="楷体_GB2312" w:cs="楷体_GB2312" w:hAnsi="楷体_GB2312" w:hint="eastAsia"/>
          <w:b/>
          <w:bCs/>
          <w:color w:val="000000"/>
          <w:sz w:val="32"/>
          <w:szCs w:val="32"/>
          <w14:textFill>
            <w14:solidFill>
              <w14:srgbClr w14:val="000000"/>
            </w14:solidFill>
          </w14:textFill>
          <w:lang w:val="en-US" w:eastAsia="zh-CN"/>
        </w:rPr>
        <w:t>3.强化政协机关建设。</w:t>
      </w:r>
      <w:r>
        <w:rPr>
          <w:rFonts w:ascii="仿宋_GB2312" w:eastAsia="仿宋_GB2312" w:cs="仿宋_GB2312" w:hAnsi="仿宋_GB2312" w:hint="eastAsia"/>
          <w:color w:val="000000"/>
          <w:sz w:val="32"/>
          <w:szCs w:val="32"/>
          <w14:textFill>
            <w14:solidFill>
              <w14:srgbClr w14:val="000000"/>
            </w14:solidFill>
          </w14:textFill>
          <w:lang w:val="en-US" w:eastAsia="zh-CN"/>
        </w:rPr>
        <w:t>制定县政协机关“鼓励激励、容错纠错、追责问责”三项机制，强化硬约束、优化软环境，大力激发机关干部干事创业热情与活力，不断提升机关服务保障水平。制定县政协机关党支部“两力两率”评比办法，着力打造战斗力、执行力、问题解决率、群众满意率都过硬的坚强战斗堡垒。严格落实中央八项规定及其实施细则精神，带头执行“十必严”工作要求，优化调研、视察、协商方式，作风建设进一步加强。</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七、存在的问题及原因分析</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5" w:right="0"/>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 w:eastAsia="楷体" w:cs="楷体" w:hAnsi="楷体" w:hint="eastAsia"/>
          <w:b/>
          <w:bCs/>
          <w:i w:val="0"/>
          <w:iCs w:val="0"/>
          <w:caps w:val="0"/>
          <w:smallCaps w:val="0"/>
          <w:color w:val="000000"/>
          <w:spacing w:val="0"/>
          <w:sz w:val="32"/>
          <w:szCs w:val="32"/>
          <w:shd w:val="clear" w:color="auto" w:fill="FFFFFF"/>
          <w:lang w:val="en-US" w:eastAsia="zh-CN"/>
        </w:rPr>
        <w:t>（一）</w:t>
      </w:r>
      <w:r>
        <w:rPr>
          <w:rFonts w:ascii="仿宋_GB2312" w:eastAsia="仿宋_GB2312" w:cs="仿宋_GB2312" w:hAnsi="仿宋_GB2312" w:hint="eastAsia"/>
          <w:b/>
          <w:bCs/>
          <w:color w:val="000000"/>
          <w:sz w:val="32"/>
          <w:szCs w:val="32"/>
          <w14:textFill>
            <w14:solidFill>
              <w14:srgbClr w14:val="000000"/>
            </w14:solidFill>
          </w14:textFill>
          <w:lang w:val="en-US" w:eastAsia="zh-CN"/>
        </w:rPr>
        <w:t>理论学习还不深入。</w:t>
      </w:r>
      <w:r>
        <w:rPr>
          <w:rFonts w:ascii="仿宋_GB2312" w:eastAsia="仿宋_GB2312" w:cs="仿宋_GB2312" w:hAnsi="仿宋_GB2312" w:hint="eastAsia"/>
          <w:color w:val="000000"/>
          <w:sz w:val="32"/>
          <w:szCs w:val="32"/>
          <w14:textFill>
            <w14:solidFill>
              <w14:srgbClr w14:val="000000"/>
            </w14:solidFill>
          </w14:textFill>
          <w:lang w:val="en-US" w:eastAsia="zh-CN"/>
        </w:rPr>
        <w:t>对党的创新理论有时满足于学过了就行了，学懂弄通做实习近平新时代中国特色社会主义思想用力不够，对贯穿其中的世界观和方法论理解运用不到位。用党的创新理论指导实践、解决问题、推动工作，特别是在学思践悟习近平总书记关于加强和改进人民政协工作的重要思想方面存在差距和不足。</w:t>
      </w:r>
      <w:r>
        <w:rPr>
          <w:rFonts w:ascii="楷体" w:eastAsia="楷体" w:cs="楷体" w:hAnsi="楷体" w:hint="eastAsia"/>
          <w:b/>
          <w:bCs/>
          <w:i w:val="0"/>
          <w:iCs w:val="0"/>
          <w:caps w:val="0"/>
          <w:smallCaps w:val="0"/>
          <w:color w:val="000000"/>
          <w:spacing w:val="0"/>
          <w:sz w:val="32"/>
          <w:szCs w:val="32"/>
          <w:shd w:val="clear" w:color="auto" w:fill="FFFFFF"/>
          <w:lang w:val="en-US" w:eastAsia="zh-CN"/>
        </w:rPr>
        <w:t>（二）</w:t>
      </w:r>
      <w:r>
        <w:rPr>
          <w:rFonts w:ascii="仿宋_GB2312" w:eastAsia="仿宋_GB2312" w:cs="仿宋_GB2312" w:hAnsi="仿宋_GB2312" w:hint="eastAsia"/>
          <w:b/>
          <w:bCs/>
          <w:color w:val="000000"/>
          <w:sz w:val="32"/>
          <w:szCs w:val="32"/>
          <w14:textFill>
            <w14:solidFill>
              <w14:srgbClr w14:val="000000"/>
            </w14:solidFill>
          </w14:textFill>
          <w:lang w:val="en-US" w:eastAsia="zh-CN"/>
        </w:rPr>
        <w:t>履职能力仍有短板。</w:t>
      </w:r>
      <w:r>
        <w:rPr>
          <w:rFonts w:ascii="仿宋_GB2312" w:eastAsia="仿宋_GB2312" w:cs="仿宋_GB2312" w:hAnsi="仿宋_GB2312" w:hint="eastAsia"/>
          <w:color w:val="000000"/>
          <w:sz w:val="32"/>
          <w:szCs w:val="32"/>
          <w14:textFill>
            <w14:solidFill>
              <w14:srgbClr w14:val="000000"/>
            </w14:solidFill>
          </w14:textFill>
          <w:lang w:val="en-US" w:eastAsia="zh-CN"/>
        </w:rPr>
        <w:t>视察调研有时仍浮于表面，没有直面问题，解决实际问题较少。民主监督有时流于形式，监督方式不够灵活创新，不敢监督、不愿监督、不会监督的问题依然存在。建言资政不够有效，协商选题不精准，调查研究不深入，掌握情况不全面，研究问题不透彻，提出建议不精准，导致助力助推打折扣。</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5" w:right="0"/>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楷体" w:eastAsia="楷体" w:cs="楷体" w:hAnsi="楷体" w:hint="eastAsia"/>
          <w:b/>
          <w:bCs/>
          <w:i w:val="0"/>
          <w:iCs w:val="0"/>
          <w:caps w:val="0"/>
          <w:smallCaps w:val="0"/>
          <w:color w:val="000000"/>
          <w:spacing w:val="0"/>
          <w:sz w:val="32"/>
          <w:szCs w:val="32"/>
          <w:shd w:val="clear" w:color="auto" w:fill="FFFFFF"/>
          <w:lang w:val="en-US" w:eastAsia="zh-CN"/>
        </w:rPr>
        <w:t>（三）</w:t>
      </w:r>
      <w:r>
        <w:rPr>
          <w:rFonts w:ascii="仿宋_GB2312" w:eastAsia="仿宋_GB2312" w:cs="仿宋_GB2312" w:hAnsi="仿宋_GB2312" w:hint="eastAsia"/>
          <w:b/>
          <w:bCs/>
          <w:color w:val="000000"/>
          <w:sz w:val="32"/>
          <w:szCs w:val="32"/>
          <w14:textFill>
            <w14:solidFill>
              <w14:srgbClr w14:val="000000"/>
            </w14:solidFill>
          </w14:textFill>
          <w:lang w:val="en-US" w:eastAsia="zh-CN"/>
        </w:rPr>
        <w:t>三是成果转化还有难度。</w:t>
      </w:r>
      <w:r>
        <w:rPr>
          <w:rFonts w:ascii="仿宋_GB2312" w:eastAsia="仿宋_GB2312" w:cs="仿宋_GB2312" w:hAnsi="仿宋_GB2312" w:hint="eastAsia"/>
          <w:color w:val="000000"/>
          <w:sz w:val="32"/>
          <w:szCs w:val="32"/>
          <w14:textFill>
            <w14:solidFill>
              <w14:srgbClr w14:val="000000"/>
            </w14:solidFill>
          </w14:textFill>
          <w:lang w:val="en-US" w:eastAsia="zh-CN"/>
        </w:rPr>
        <w:t>除政协提案外，大会发言、社情民意、调研报告、民主监督意见等履职成果，没有形成有章可循的统一办理程序和流程，履职成果的转化基本停留在领导批示和文件转发上。由于缺乏有力的制度保障，一些承办部门当面“重答复”过后“轻落实”现象普遍存在，极大程度影响了履职成果的转化落实。</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5" w:right="0"/>
        <w:rPr>
          <w:rFonts w:ascii="仿宋_GB2312" w:eastAsia="仿宋_GB2312" w:cs="仿宋_GB2312" w:hAnsi="仿宋_GB2312" w:hint="eastAsia"/>
          <w:color w:val="000000"/>
          <w:sz w:val="32"/>
          <w:szCs w:val="32"/>
          <w14:textFill>
            <w14:solidFill>
              <w14:srgbClr w14:val="000000"/>
            </w14:solidFill>
          </w14:textFill>
          <w:lang w:val="en-US" w:eastAsia="zh-CN"/>
        </w:rPr>
      </w:pPr>
      <w:r>
        <w:rPr>
          <w:rFonts w:ascii="仿宋_GB2312" w:eastAsia="仿宋_GB2312" w:cs="仿宋_GB2312" w:hAnsi="仿宋_GB2312" w:hint="eastAsia"/>
          <w:b/>
          <w:bCs/>
          <w:color w:val="000000"/>
          <w:sz w:val="32"/>
          <w:szCs w:val="32"/>
          <w14:textFill>
            <w14:solidFill>
              <w14:srgbClr w14:val="000000"/>
            </w14:solidFill>
          </w14:textFill>
          <w:lang w:val="en-US" w:eastAsia="zh-CN"/>
        </w:rPr>
        <w:t>（四）是创新思维还不活跃。</w:t>
      </w:r>
      <w:r>
        <w:rPr>
          <w:rFonts w:ascii="仿宋_GB2312" w:eastAsia="仿宋_GB2312" w:cs="仿宋_GB2312" w:hAnsi="仿宋_GB2312" w:hint="eastAsia"/>
          <w:color w:val="000000"/>
          <w:sz w:val="32"/>
          <w:szCs w:val="32"/>
          <w14:textFill>
            <w14:solidFill>
              <w14:srgbClr w14:val="000000"/>
            </w14:solidFill>
          </w14:textFill>
          <w:lang w:val="en-US" w:eastAsia="zh-CN"/>
        </w:rPr>
        <w:t>对党的二十届三中全会提出的三项机制建设、习近平总书记提出的五个时代课题，尤其是健全协商民主机制、拓展协商方式平台等，还没有展开头脑风暴，让思想进入新时代。对如何更好地调动代表性委员履职积极性、中青年委员创造活跃性、乡镇副书记基层支柱性，如何发挥工作室、政协云、融媒体三大平台叠加效应等，还没有专门思考和科学办法。</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八、下一步改进措施</w:t>
      </w:r>
    </w:p>
    <w:p>
      <w:pPr>
        <w:pStyle w:val="21"/>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600" w:lineRule="exact"/>
        <w:ind w:left="0" w:right="0" w:firstLineChars="200" w:firstLine="640"/>
        <w:jc w:val="both"/>
        <w:textAlignment w:val="baseline"/>
        <w:rPr>
          <w:rFonts w:ascii="仿宋_GB2312" w:eastAsia="仿宋_GB2312" w:cs="仿宋_GB2312" w:hAnsi="仿宋_GB2312" w:hint="eastAsia"/>
          <w:color w:val="auto"/>
          <w:kern w:val="0"/>
          <w:sz w:val="32"/>
          <w:szCs w:val="32"/>
          <w:lang w:val="en-US" w:eastAsia="zh-CN"/>
        </w:rPr>
      </w:pPr>
      <w:r>
        <w:rPr>
          <w:rFonts w:ascii="楷体_GB2312" w:eastAsia="楷体_GB2312" w:cs="楷体_GB2312" w:hAnsi="楷体_GB2312" w:hint="eastAsia"/>
          <w:b/>
          <w:bCs/>
          <w:sz w:val="32"/>
          <w:szCs w:val="32"/>
          <w:lang w:val="en-US" w:eastAsia="zh-CN"/>
        </w:rPr>
        <w:t>（一）在党建引领上再加强，牢牢把握正确政治方向。</w:t>
      </w:r>
      <w:r>
        <w:rPr>
          <w:rFonts w:ascii="仿宋_GB2312" w:eastAsia="仿宋_GB2312" w:cs="仿宋_GB2312" w:hAnsi="仿宋_GB2312" w:hint="eastAsia"/>
          <w:color w:val="auto"/>
          <w:kern w:val="0"/>
          <w:sz w:val="32"/>
          <w:szCs w:val="32"/>
          <w:lang w:val="en-US" w:eastAsia="zh-CN"/>
        </w:rPr>
        <w:t>坚持用习近平新时代中国特色社会主义思想凝心铸魂，全面贯彻落实党的二十大和二十届三中全会精神，巩固拓展党纪学习教育成果，深化落实“第一议题”制度，旗帜鲜明讲政治，引导政协各参加单位和政协委员深刻领悟“两个确立”的决定性意义，牢固树立“四个意识”，坚定“四个自信”，做到“两个维护”。坚持把习近平总书记关于党的建设的重要思想落实到政协党建工作全过程各方面，切实增强政协党组织政治功能和组织功能，打造具有政协特色的党建履职品牌。坚持在县委统一领导下开展工作，自觉做到党政工作推进到哪里，政协工作就跟进到哪里，智慧和力量就汇聚到哪里。</w:t>
      </w:r>
    </w:p>
    <w:p>
      <w:pPr>
        <w:pStyle w:val="21"/>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600" w:lineRule="exact"/>
        <w:ind w:left="0" w:right="0" w:firstLineChars="200" w:firstLine="640"/>
        <w:jc w:val="both"/>
        <w:textAlignment w:val="baseline"/>
        <w:rPr>
          <w:rFonts w:ascii="仿宋_GB2312" w:eastAsia="仿宋_GB2312" w:cs="仿宋_GB2312" w:hAnsi="仿宋_GB2312"/>
          <w:color w:val="auto"/>
          <w:kern w:val="0"/>
          <w:sz w:val="32"/>
          <w:szCs w:val="32"/>
          <w:lang w:val="en-US" w:eastAsia="zh-CN"/>
        </w:rPr>
      </w:pPr>
      <w:r>
        <w:rPr>
          <w:rFonts w:ascii="楷体_GB2312" w:eastAsia="楷体_GB2312" w:cs="楷体_GB2312" w:hAnsi="楷体_GB2312" w:hint="eastAsia"/>
          <w:b/>
          <w:bCs/>
          <w:sz w:val="32"/>
          <w:szCs w:val="32"/>
          <w:lang w:val="en-US" w:eastAsia="zh-CN"/>
        </w:rPr>
        <w:t>（二）在履职尽责上再提质，全力服务改革发展大局。</w:t>
      </w:r>
      <w:r>
        <w:rPr>
          <w:rFonts w:ascii="仿宋_GB2312" w:eastAsia="仿宋_GB2312" w:cs="仿宋_GB2312" w:hAnsi="仿宋_GB2312" w:hint="eastAsia"/>
          <w:color w:val="auto"/>
          <w:kern w:val="0"/>
          <w:sz w:val="32"/>
          <w:szCs w:val="32"/>
          <w:lang w:val="en-US" w:eastAsia="zh-CN"/>
        </w:rPr>
        <w:t>坚决贯彻落实习近平总书记考察湖南的重要讲话重要指示精神，紧扣全县中心工作、加强调查研究，深入协商议政，提升协商质量，为绥宁现代化建设尽政协之责、展政协之长、倾政协之力。探索建立政协履职成果转化运用机制，对履职成果的报送、交办、承办、反馈、督办提出明确要求，实现履职成果办理工作制度化、规范化、程序化，促进政协履职成果高质量转化，推动政协工作从“做了什么、做了多少”，向“做出什么效果”转变，形成“党委重视、政府支持、政协主动、各方配合”的良好工作格局。</w:t>
      </w:r>
    </w:p>
    <w:p>
      <w:pPr>
        <w:pStyle w:val="21"/>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600" w:lineRule="exact"/>
        <w:ind w:left="0" w:right="0" w:firstLineChars="200" w:firstLine="640"/>
        <w:jc w:val="both"/>
        <w:textAlignment w:val="baseline"/>
        <w:rPr>
          <w:rFonts w:ascii="仿宋_GB2312" w:eastAsia="仿宋_GB2312" w:cs="仿宋_GB2312" w:hAnsi="仿宋_GB2312"/>
          <w:color w:val="auto"/>
          <w:kern w:val="0"/>
          <w:sz w:val="32"/>
          <w:szCs w:val="32"/>
          <w:lang w:val="en-US" w:eastAsia="zh-CN"/>
        </w:rPr>
      </w:pPr>
      <w:r>
        <w:rPr>
          <w:rFonts w:ascii="楷体_GB2312" w:eastAsia="楷体_GB2312" w:cs="楷体_GB2312" w:hAnsi="楷体_GB2312" w:hint="eastAsia"/>
          <w:b/>
          <w:bCs/>
          <w:sz w:val="32"/>
          <w:szCs w:val="32"/>
          <w:lang w:val="en-US" w:eastAsia="zh-CN"/>
        </w:rPr>
        <w:t>（三）在凝聚共识上再发力，广泛汇聚团结奋斗力量。</w:t>
      </w:r>
      <w:r>
        <w:rPr>
          <w:rFonts w:ascii="仿宋_GB2312" w:eastAsia="仿宋_GB2312" w:cs="仿宋_GB2312" w:hAnsi="仿宋_GB2312" w:hint="eastAsia"/>
          <w:color w:val="auto"/>
          <w:kern w:val="0"/>
          <w:sz w:val="32"/>
          <w:szCs w:val="32"/>
          <w:lang w:val="en-US" w:eastAsia="zh-CN"/>
        </w:rPr>
        <w:t>坚持把加强思想政治引领、广泛凝聚共识作为履职中心环节，发挥大团结大联合组织作用，不断完善委员联系界别群众机制，用好委员工作室平台，拓宽传播共识渠道，组织有影响力的政协委员、各界人士在一些敏感点、风险点、关切点问题上主动发声、传播共识，为改革发展减阻力、聚合力、添动力。充分发挥人才荟萃、智力密集优势，多层面加强与党外知识分子、非公有制经济人士、新的社会阶层人士，以及各界商会、行业协会的联谊交流，在引才、聚才、用才上多想办法、多出主意，为“三个绥宁”建设汇智聚力。</w:t>
      </w:r>
    </w:p>
    <w:p>
      <w:pPr>
        <w:pStyle w:val="21"/>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600" w:lineRule="exact"/>
        <w:ind w:left="0" w:right="0" w:firstLineChars="200" w:firstLine="640"/>
        <w:jc w:val="both"/>
        <w:textAlignment w:val="baseline"/>
        <w:rPr>
          <w:rFonts w:ascii="仿宋_GB2312" w:eastAsia="仿宋_GB2312" w:cs="仿宋_GB2312" w:hAnsi="仿宋_GB2312"/>
          <w:color w:val="000000"/>
          <w:sz w:val="32"/>
          <w:szCs w:val="32"/>
          <w14:textFill>
            <w14:solidFill>
              <w14:srgbClr w14:val="000000"/>
            </w14:solidFill>
          </w14:textFill>
          <w:lang w:val="en-US" w:eastAsia="zh-CN"/>
        </w:rPr>
      </w:pPr>
      <w:r>
        <w:rPr>
          <w:rFonts w:ascii="楷体_GB2312" w:eastAsia="楷体_GB2312" w:cs="楷体_GB2312" w:hAnsi="楷体_GB2312" w:hint="eastAsia"/>
          <w:b/>
          <w:bCs/>
          <w:sz w:val="32"/>
          <w:szCs w:val="32"/>
          <w:lang w:val="en-US" w:eastAsia="zh-CN"/>
        </w:rPr>
        <w:t>（四）在队伍建设上再提升，充分彰显政协责任担当。</w:t>
      </w:r>
      <w:r>
        <w:rPr>
          <w:rFonts w:ascii="仿宋_GB2312" w:eastAsia="仿宋_GB2312" w:cs="仿宋_GB2312" w:hAnsi="仿宋_GB2312" w:hint="eastAsia"/>
          <w:color w:val="auto"/>
          <w:kern w:val="0"/>
          <w:sz w:val="32"/>
          <w:szCs w:val="32"/>
          <w:lang w:val="en-US" w:eastAsia="zh-CN"/>
        </w:rPr>
        <w:t>全面落实习近平总书记“懂政协、会协商、善议政，守纪律、讲规矩、重品行”重要指示精神，不断增强委员政治把握能力、调查研究能力、联系群众能力、合作共事能力，努力做到建言建在需要时、议政议到点子上、监督监在关键处，切实发挥委员在社会发展中的带头作用、政协工作中的主体作用、界别群众中的代表作用。牢固树立品牌意识，认真总结政协工作的特点和规律，着力打造更具影响力和更富辨识度的政协工作品牌，全力推动政协工作出精品、提质效、上水平。坚决扛牢全面从严治党主体责任，全力抓好省委巡视组反馈意见的整改落实，巩固提升政协更加风清气正的政治生态。</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rPr>
          <w:rFonts w:ascii="仿宋" w:eastAsia="仿宋" w:cs="仿宋" w:hAnsi="仿宋" w:hint="eastAsia"/>
          <w:i w:val="0"/>
          <w:iCs w:val="0"/>
          <w:caps w:val="0"/>
          <w:smallCaps w:val="0"/>
          <w:color w:val="000000"/>
          <w:spacing w:val="0"/>
          <w:sz w:val="32"/>
          <w:szCs w:val="32"/>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rPr>
          <w:rFonts w:ascii="仿宋" w:eastAsia="仿宋" w:cs="仿宋" w:hAnsi="仿宋" w:hint="eastAsia"/>
          <w:i w:val="0"/>
          <w:iCs w:val="0"/>
          <w:caps w:val="0"/>
          <w:smallCaps w:val="0"/>
          <w:color w:val="000000"/>
          <w:spacing w:val="0"/>
          <w:sz w:val="32"/>
          <w:szCs w:val="32"/>
        </w:rPr>
      </w:pPr>
      <w:r>
        <w:rPr>
          <w:rFonts w:ascii="仿宋" w:eastAsia="仿宋" w:cs="仿宋" w:hAnsi="仿宋" w:hint="eastAsia"/>
          <w:i w:val="0"/>
          <w:iCs w:val="0"/>
          <w:caps w:val="0"/>
          <w:smallCaps w:val="0"/>
          <w:color w:val="000000"/>
          <w:spacing w:val="0"/>
          <w:sz w:val="32"/>
          <w:szCs w:val="32"/>
          <w:shd w:val="clear" w:color="auto" w:fill="FFFFFF"/>
        </w:rPr>
        <w:t>附件：1.部门整体支出绩效评价基础数据表</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Chars="503" w:firstLine="1610"/>
        <w:rPr>
          <w:rFonts w:ascii="仿宋" w:eastAsia="仿宋" w:cs="仿宋" w:hAnsi="仿宋" w:hint="eastAsia"/>
          <w:i w:val="0"/>
          <w:iCs w:val="0"/>
          <w:caps w:val="0"/>
          <w:smallCaps w:val="0"/>
          <w:color w:val="000000"/>
          <w:spacing w:val="0"/>
          <w:sz w:val="32"/>
          <w:szCs w:val="32"/>
        </w:rPr>
      </w:pPr>
      <w:r>
        <w:rPr>
          <w:rFonts w:ascii="仿宋" w:eastAsia="仿宋" w:cs="仿宋" w:hAnsi="仿宋" w:hint="eastAsia"/>
          <w:i w:val="0"/>
          <w:iCs w:val="0"/>
          <w:caps w:val="0"/>
          <w:smallCaps w:val="0"/>
          <w:color w:val="000000"/>
          <w:spacing w:val="0"/>
          <w:sz w:val="32"/>
          <w:szCs w:val="32"/>
          <w:shd w:val="clear" w:color="auto" w:fill="FFFFFF"/>
        </w:rPr>
        <w:t>2.部门整体支出绩效自评表</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仿宋" w:eastAsia="仿宋" w:cs="仿宋" w:hAnsi="仿宋" w:hint="eastAsia"/>
          <w:i w:val="0"/>
          <w:iCs w:val="0"/>
          <w:caps w:val="0"/>
          <w:smallCaps w:val="0"/>
          <w:color w:val="000000"/>
          <w:spacing w:val="0"/>
          <w:sz w:val="24"/>
          <w:szCs w:val="24"/>
          <w:lang w:val="en-US" w:eastAsia="zh-CN"/>
        </w:rPr>
      </w:pPr>
      <w:r>
        <w:rPr>
          <w:rFonts w:ascii="黑体" w:eastAsia="黑体" w:cs="黑体" w:hAnsi="黑体" w:hint="eastAsia"/>
          <w:i w:val="0"/>
          <w:iCs w:val="0"/>
          <w:caps w:val="0"/>
          <w:smallCaps w:val="0"/>
          <w:color w:val="000000"/>
          <w:spacing w:val="0"/>
          <w:sz w:val="32"/>
          <w:szCs w:val="32"/>
          <w:shd w:val="clear" w:color="auto" w:fill="FFFFFF"/>
        </w:rPr>
        <w:t>附件</w:t>
      </w:r>
      <w:r>
        <w:rPr>
          <w:rFonts w:ascii="黑体" w:eastAsia="黑体" w:cs="黑体" w:hAnsi="黑体" w:hint="eastAsia"/>
          <w:i w:val="0"/>
          <w:iCs w:val="0"/>
          <w:caps w:val="0"/>
          <w:smallCaps w:val="0"/>
          <w:color w:val="000000"/>
          <w:spacing w:val="0"/>
          <w:sz w:val="32"/>
          <w:szCs w:val="32"/>
          <w:shd w:val="clear" w:color="auto" w:fill="FFFFFF"/>
          <w:lang w:val="en-US" w:eastAsia="zh-CN"/>
        </w:rPr>
        <w:t>1-</w:t>
      </w:r>
      <w:r>
        <w:rPr>
          <w:rFonts w:ascii="黑体" w:eastAsia="黑体" w:cs="黑体" w:hAnsi="黑体" w:hint="eastAsia"/>
          <w:i w:val="0"/>
          <w:iCs w:val="0"/>
          <w:caps w:val="0"/>
          <w:smallCaps w:val="0"/>
          <w:color w:val="000000"/>
          <w:spacing w:val="0"/>
          <w:sz w:val="32"/>
          <w:szCs w:val="32"/>
          <w:shd w:val="clear" w:color="auto" w:fill="FFFFFF"/>
        </w:rPr>
        <w:t>1</w:t>
      </w:r>
    </w:p>
    <w:p>
      <w:pPr>
        <w:spacing w:line="740" w:lineRule="exact"/>
        <w:jc w:val="center"/>
        <w:rPr>
          <w:rFonts w:ascii="黑体" w:eastAsia="黑体" w:cs="黑体" w:hAnsi="黑体" w:hint="eastAsia"/>
          <w:spacing w:val="-20"/>
          <w:sz w:val="44"/>
          <w:szCs w:val="44"/>
        </w:rPr>
      </w:pPr>
      <w:r>
        <w:rPr>
          <w:rFonts w:ascii="黑体" w:eastAsia="黑体" w:cs="黑体" w:hAnsi="黑体" w:hint="eastAsia"/>
          <w:spacing w:val="-20"/>
          <w:sz w:val="44"/>
          <w:szCs w:val="44"/>
          <w:lang w:eastAsia="zh-CN"/>
        </w:rPr>
        <w:t>2024</w:t>
      </w:r>
      <w:r>
        <w:rPr>
          <w:rFonts w:ascii="黑体" w:eastAsia="黑体" w:cs="黑体" w:hAnsi="黑体" w:hint="eastAsia"/>
          <w:spacing w:val="-20"/>
          <w:sz w:val="44"/>
          <w:szCs w:val="44"/>
        </w:rPr>
        <w:t>年度部门整体支出绩效评价基础数据表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ascii="Times New Roman" w:eastAsia="方正小标宋_GBK" w:cs="Times New Roman" w:hAnsi="Times New Roman"/>
          <w:sz w:val="44"/>
        </w:rPr>
      </w:pPr>
    </w:p>
    <w:tbl>
      <w:tblPr>
        <w:jc w:val="center"/>
        <w:tblW w:w="100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543"/>
        <w:gridCol w:w="1207"/>
        <w:gridCol w:w="930"/>
        <w:gridCol w:w="945"/>
        <w:gridCol w:w="1110"/>
        <w:gridCol w:w="1155"/>
        <w:gridCol w:w="1155"/>
      </w:tblGrid>
      <w:tr>
        <w:tc>
          <w:tcPr>
            <w:tcW w:w="3543" w:type="dxa"/>
            <w:vMerge w:val="restart"/>
            <w:tcBorders>
              <w:top w:val="single" w:sz="4" w:space="0" w:color="auto"/>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32"/>
                <w:szCs w:val="21"/>
              </w:rPr>
            </w:pPr>
            <w:r>
              <w:rPr>
                <w:rFonts w:ascii="仿宋" w:eastAsia="仿宋" w:cs="仿宋" w:hAnsi="仿宋" w:hint="eastAsia"/>
                <w:b/>
                <w:bCs/>
                <w:kern w:val="0"/>
                <w:sz w:val="21"/>
                <w:szCs w:val="21"/>
              </w:rPr>
              <w:t>财政供养人员情况（人）</w:t>
            </w:r>
          </w:p>
        </w:tc>
        <w:tc>
          <w:tcPr>
            <w:tcW w:w="2137"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编制数</w:t>
            </w:r>
          </w:p>
        </w:tc>
        <w:tc>
          <w:tcPr>
            <w:tcW w:w="2055"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年实际在职人数</w:t>
            </w:r>
          </w:p>
        </w:tc>
        <w:tc>
          <w:tcPr>
            <w:tcW w:w="2310"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控制率</w:t>
            </w:r>
          </w:p>
        </w:tc>
      </w:tr>
      <w:tr>
        <w:tc>
          <w:tcPr>
            <w:tcW w:w="3543" w:type="dxa"/>
            <w:vMerge/>
            <w:tcBorders>
              <w:top w:val="single" w:sz="4" w:space="0" w:color="auto"/>
              <w:left w:val="single" w:sz="4" w:space="0" w:color="auto"/>
              <w:bottom w:val="single" w:sz="4" w:space="0" w:color="auto"/>
              <w:right w:val="single" w:sz="4" w:space="0" w:color="auto"/>
            </w:tcBorders>
            <w:vAlign w:val="center"/>
          </w:tcPr>
          <w:p/>
        </w:tc>
        <w:tc>
          <w:tcPr>
            <w:tcW w:w="2137"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经费控制情况（万元）</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202</w:t>
            </w:r>
            <w:r>
              <w:rPr>
                <w:rFonts w:ascii="仿宋" w:eastAsia="仿宋" w:cs="仿宋" w:hAnsi="仿宋" w:hint="eastAsia"/>
                <w:b/>
                <w:bCs/>
                <w:kern w:val="0"/>
                <w:sz w:val="21"/>
                <w:szCs w:val="21"/>
                <w:lang w:val="en-US" w:eastAsia="zh-CN"/>
              </w:rPr>
              <w:t>3</w:t>
            </w:r>
            <w:r>
              <w:rPr>
                <w:rFonts w:ascii="仿宋" w:eastAsia="仿宋" w:cs="仿宋" w:hAnsi="仿宋" w:hint="eastAsia"/>
                <w:b/>
                <w:bCs/>
                <w:kern w:val="0"/>
                <w:sz w:val="21"/>
                <w:szCs w:val="21"/>
              </w:rPr>
              <w:t>年决算数</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年预算数</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年决算数</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三公经费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lang w:val="en-US" w:eastAsia="zh-CN"/>
              </w:rPr>
              <w:t>0.7</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3.8</w:t>
            </w:r>
            <w:bookmarkStart w:id="0" w:name="_GoBack"/>
            <w:bookmarkEnd w:id="0"/>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r>
              <w:rPr>
                <w:rFonts w:ascii="仿宋" w:eastAsia="仿宋" w:cs="仿宋" w:hAnsi="仿宋"/>
                <w:kern w:val="0"/>
                <w:sz w:val="21"/>
                <w:szCs w:val="21"/>
              </w:rPr>
              <w:t>3.64</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xml:space="preserve">   1、公务用车购置和维护经费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其中：公车购置</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公车运行维护</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2、出国经费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3、公务接待</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lang w:val="en-US" w:eastAsia="zh-CN"/>
              </w:rPr>
              <w:t>0.7</w:t>
            </w: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3.8</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r>
              <w:rPr>
                <w:rFonts w:ascii="仿宋" w:eastAsia="仿宋" w:cs="仿宋" w:hAnsi="仿宋"/>
                <w:kern w:val="0"/>
                <w:sz w:val="21"/>
                <w:szCs w:val="21"/>
              </w:rPr>
              <w:t>3.64</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项目支出</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150" w:firstLine="315"/>
              <w:rPr>
                <w:rFonts w:ascii="仿宋" w:eastAsia="仿宋" w:cs="仿宋" w:hAnsi="仿宋" w:hint="eastAsia"/>
                <w:kern w:val="0"/>
                <w:sz w:val="21"/>
                <w:szCs w:val="21"/>
              </w:rPr>
            </w:pPr>
            <w:r>
              <w:rPr>
                <w:rFonts w:ascii="仿宋" w:eastAsia="仿宋" w:cs="仿宋" w:hAnsi="仿宋" w:hint="eastAsia"/>
                <w:kern w:val="0"/>
                <w:sz w:val="21"/>
                <w:szCs w:val="21"/>
              </w:rPr>
              <w:t xml:space="preserve"> 1、业务工作经费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2、</w:t>
            </w:r>
            <w:r>
              <w:rPr>
                <w:rFonts w:ascii="仿宋" w:eastAsia="仿宋" w:cs="仿宋" w:hAnsi="仿宋" w:hint="eastAsia"/>
                <w:kern w:val="0"/>
                <w:sz w:val="21"/>
                <w:szCs w:val="21"/>
                <w:lang w:val="en-US" w:eastAsia="zh-CN"/>
              </w:rPr>
              <w:t>运行维护</w:t>
            </w:r>
            <w:r>
              <w:rPr>
                <w:rFonts w:ascii="仿宋" w:eastAsia="仿宋" w:cs="仿宋" w:hAnsi="仿宋" w:hint="eastAsia"/>
                <w:kern w:val="0"/>
                <w:sz w:val="21"/>
                <w:szCs w:val="21"/>
              </w:rPr>
              <w:t>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3、</w:t>
            </w:r>
            <w:r>
              <w:rPr>
                <w:rFonts w:ascii="仿宋" w:eastAsia="仿宋" w:cs="仿宋" w:hAnsi="仿宋" w:hint="eastAsia"/>
                <w:kern w:val="0"/>
                <w:sz w:val="21"/>
                <w:szCs w:val="21"/>
                <w:lang w:val="en-US" w:eastAsia="zh-CN"/>
              </w:rPr>
              <w:t>上级</w:t>
            </w:r>
            <w:r>
              <w:rPr>
                <w:rFonts w:ascii="仿宋" w:eastAsia="仿宋" w:cs="仿宋" w:hAnsi="仿宋" w:hint="eastAsia"/>
                <w:kern w:val="0"/>
                <w:sz w:val="21"/>
                <w:szCs w:val="21"/>
              </w:rPr>
              <w:t>专项资金</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jc w:val="both"/>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其中：××专项资金</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lang w:eastAsia="zh-CN"/>
              </w:rPr>
            </w:pPr>
            <w:r>
              <w:rPr>
                <w:rFonts w:ascii="仿宋" w:eastAsia="仿宋" w:cs="仿宋" w:hAnsi="仿宋" w:hint="eastAsia"/>
                <w:kern w:val="0"/>
                <w:sz w:val="21"/>
                <w:szCs w:val="21"/>
                <w:lang w:eastAsia="zh-CN"/>
              </w:rPr>
              <w:t xml:space="preserve"> </w:t>
            </w:r>
            <w:r>
              <w:rPr>
                <w:rFonts w:ascii="仿宋" w:eastAsia="仿宋" w:cs="仿宋" w:hAnsi="仿宋" w:hint="eastAsia"/>
                <w:kern w:val="0"/>
                <w:sz w:val="21"/>
                <w:szCs w:val="21"/>
                <w:lang w:val="en-US" w:eastAsia="zh-CN"/>
              </w:rPr>
              <w:t xml:space="preserve">         ××专项资金</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lang w:val="en-US" w:eastAsia="zh-CN"/>
              </w:rPr>
            </w:pPr>
            <w:r>
              <w:rPr>
                <w:rFonts w:ascii="仿宋" w:eastAsia="仿宋" w:cs="仿宋" w:hAnsi="仿宋" w:hint="eastAsia"/>
                <w:b/>
                <w:bCs/>
                <w:kern w:val="0"/>
                <w:sz w:val="21"/>
                <w:szCs w:val="21"/>
                <w:lang w:val="en-US" w:eastAsia="zh-CN"/>
              </w:rPr>
              <w:t>公用经费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kern w:val="0"/>
                <w:sz w:val="21"/>
                <w:szCs w:val="21"/>
                <w:lang w:val="en-US" w:eastAsia="zh-CN"/>
              </w:rPr>
            </w:pPr>
            <w:r>
              <w:rPr>
                <w:rFonts w:ascii="仿宋" w:eastAsia="仿宋" w:cs="仿宋" w:hAnsi="仿宋" w:hint="eastAsia"/>
                <w:kern w:val="0"/>
                <w:sz w:val="21"/>
                <w:szCs w:val="21"/>
                <w:lang w:val="en-US" w:eastAsia="zh-CN"/>
              </w:rPr>
              <w:t>355.5</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203.83</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289.86</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其中：办公经费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kern w:val="0"/>
                <w:sz w:val="21"/>
                <w:szCs w:val="21"/>
                <w:lang w:val="en-US" w:eastAsia="zh-CN"/>
              </w:rPr>
            </w:pPr>
            <w:r>
              <w:rPr>
                <w:rFonts w:ascii="仿宋" w:eastAsia="仿宋" w:cs="仿宋" w:hAnsi="仿宋" w:hint="eastAsia"/>
                <w:kern w:val="0"/>
                <w:sz w:val="21"/>
                <w:szCs w:val="21"/>
                <w:lang w:val="en-US" w:eastAsia="zh-CN"/>
              </w:rPr>
              <w:t>6.87</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12</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12.79</w:t>
            </w: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xml:space="preserve">     水费、电费、差旅费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kern w:val="0"/>
                <w:sz w:val="21"/>
                <w:szCs w:val="21"/>
                <w:lang w:val="en-US"/>
              </w:rPr>
            </w:pPr>
            <w:r>
              <w:rPr>
                <w:rFonts w:ascii="仿宋" w:eastAsia="仿宋" w:cs="仿宋" w:hAnsi="仿宋" w:hint="eastAsia"/>
                <w:kern w:val="0"/>
                <w:sz w:val="21"/>
                <w:szCs w:val="21"/>
                <w:lang w:val="en-US" w:eastAsia="zh-CN"/>
              </w:rPr>
              <w:t>41.34</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10.2</w:t>
            </w: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27.75</w:t>
            </w: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lang w:val="en-US"/>
              </w:rPr>
            </w:pPr>
            <w:r>
              <w:rPr>
                <w:rFonts w:ascii="仿宋" w:eastAsia="仿宋" w:cs="仿宋" w:hAnsi="仿宋" w:hint="eastAsia"/>
                <w:kern w:val="0"/>
                <w:sz w:val="21"/>
                <w:szCs w:val="21"/>
                <w:lang w:val="en-US"/>
              </w:rPr>
              <w:t xml:space="preserve"> 会议费、培训费</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67.31</w:t>
            </w: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10</w:t>
            </w: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61.65</w:t>
            </w: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政府采购金额</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5.11</w:t>
            </w:r>
          </w:p>
        </w:tc>
      </w:tr>
      <w:tr>
        <w:tc>
          <w:tcPr>
            <w:tcW w:w="3543" w:type="dxa"/>
            <w:tcBorders>
              <w:top w:val="nil"/>
              <w:left w:val="single" w:sz="4" w:space="0" w:color="auto"/>
              <w:bottom w:val="single" w:sz="4" w:space="0" w:color="auto"/>
              <w:right w:val="single" w:sz="4" w:space="0" w:color="auto"/>
            </w:tcBorders>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部门基本支出预算调整</w:t>
            </w:r>
          </w:p>
        </w:tc>
        <w:tc>
          <w:tcPr>
            <w:tcW w:w="2137"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813.64</w:t>
            </w:r>
          </w:p>
        </w:tc>
        <w:tc>
          <w:tcPr>
            <w:tcW w:w="2055"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597.95</w:t>
            </w:r>
          </w:p>
        </w:tc>
        <w:tc>
          <w:tcPr>
            <w:tcW w:w="2310" w:type="dxa"/>
            <w:gridSpan w:val="2"/>
            <w:tcBorders>
              <w:top w:val="single" w:sz="4" w:space="0" w:color="auto"/>
              <w:left w:val="nil"/>
              <w:bottom w:val="single" w:sz="4" w:space="0" w:color="auto"/>
              <w:right w:val="single" w:sz="4" w:space="0" w:color="000000"/>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kern w:val="0"/>
                <w:sz w:val="21"/>
                <w:szCs w:val="21"/>
              </w:rPr>
              <w:t>721.64</w:t>
            </w:r>
          </w:p>
        </w:tc>
      </w:tr>
      <w:tr>
        <w:trPr>
          <w:trHeight w:val="795"/>
        </w:trPr>
        <w:tc>
          <w:tcPr>
            <w:tcW w:w="3543" w:type="dxa"/>
            <w:vMerge w:val="restart"/>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b/>
                <w:bCs/>
                <w:kern w:val="0"/>
                <w:sz w:val="21"/>
                <w:szCs w:val="21"/>
              </w:rPr>
              <w:t>楼堂馆所控制情况</w:t>
              <w:br/>
              <w:t>（</w:t>
            </w: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年完工项目）</w:t>
            </w:r>
          </w:p>
        </w:tc>
        <w:tc>
          <w:tcPr>
            <w:tcW w:w="1207"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批复规模</w:t>
              <w:br/>
              <w:t>（㎡）</w:t>
            </w:r>
          </w:p>
        </w:tc>
        <w:tc>
          <w:tcPr>
            <w:tcW w:w="930"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实际规模（㎡）</w:t>
            </w:r>
          </w:p>
        </w:tc>
        <w:tc>
          <w:tcPr>
            <w:tcW w:w="94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规模控制率</w:t>
            </w:r>
          </w:p>
        </w:tc>
        <w:tc>
          <w:tcPr>
            <w:tcW w:w="1110"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预算投资（万元）</w:t>
            </w:r>
          </w:p>
        </w:tc>
        <w:tc>
          <w:tcPr>
            <w:tcW w:w="115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实际投资（万元）</w:t>
            </w:r>
          </w:p>
        </w:tc>
        <w:tc>
          <w:tcPr>
            <w:tcW w:w="115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投资概算控制率</w:t>
            </w:r>
          </w:p>
        </w:tc>
      </w:tr>
      <w:tr>
        <w:tc>
          <w:tcPr>
            <w:tcW w:w="3543" w:type="dxa"/>
            <w:vMerge/>
            <w:tcBorders>
              <w:top w:val="nil"/>
              <w:left w:val="single" w:sz="4" w:space="0" w:color="auto"/>
              <w:bottom w:val="single" w:sz="4" w:space="0" w:color="auto"/>
              <w:right w:val="single" w:sz="4" w:space="0" w:color="auto"/>
            </w:tcBorders>
            <w:vAlign w:val="center"/>
          </w:tcPr>
          <w:p/>
        </w:tc>
        <w:tc>
          <w:tcPr>
            <w:tcW w:w="1207"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930"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94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1110"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115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1155" w:type="dxa"/>
            <w:tcBorders>
              <w:top w:val="nil"/>
              <w:left w:val="nil"/>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rPr>
          <w:trHeight w:val="1210"/>
        </w:trPr>
        <w:tc>
          <w:tcPr>
            <w:tcW w:w="3543" w:type="dxa"/>
            <w:tcBorders>
              <w:top w:val="nil"/>
              <w:left w:val="single" w:sz="4" w:space="0" w:color="auto"/>
              <w:bottom w:val="single" w:sz="4" w:space="0" w:color="auto"/>
              <w:right w:val="single" w:sz="4" w:space="0" w:color="auto"/>
            </w:tcBorders>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b/>
                <w:bCs/>
                <w:kern w:val="0"/>
                <w:sz w:val="21"/>
                <w:szCs w:val="21"/>
              </w:rPr>
              <w:t>厉行节约保障措施</w:t>
            </w:r>
          </w:p>
        </w:tc>
        <w:tc>
          <w:tcPr>
            <w:tcW w:w="6502" w:type="dxa"/>
            <w:gridSpan w:val="6"/>
            <w:tcBorders>
              <w:top w:val="single" w:sz="4" w:space="0" w:color="auto"/>
              <w:left w:val="nil"/>
              <w:bottom w:val="single" w:sz="4" w:space="0" w:color="auto"/>
              <w:right w:val="single" w:sz="4" w:space="0" w:color="000000"/>
            </w:tcBorders>
            <w:vAlign w:val="center"/>
          </w:tcPr>
          <w:p>
            <w:pPr>
              <w:spacing w:line="240" w:lineRule="exact"/>
              <w:ind w:firstLineChars="150" w:firstLine="315"/>
              <w:rPr>
                <w:rFonts w:ascii="仿宋" w:eastAsia="仿宋" w:cs="仿宋" w:hAnsi="仿宋"/>
                <w:kern w:val="0"/>
                <w:sz w:val="21"/>
                <w:szCs w:val="21"/>
                <w:lang w:val="en-US" w:eastAsia="zh-CN"/>
              </w:rPr>
            </w:pPr>
            <w:r>
              <w:rPr>
                <w:rFonts w:ascii="仿宋" w:eastAsia="仿宋" w:cs="仿宋" w:hAnsi="仿宋" w:hint="eastAsia"/>
                <w:kern w:val="0"/>
                <w:sz w:val="21"/>
                <w:szCs w:val="21"/>
                <w:lang w:val="en-US" w:eastAsia="zh-CN"/>
              </w:rPr>
              <w:t>严格执行各项财经纪律，规范支出管理，突出重点务求实效，严格落实厉行节约，无政策依据的经费不予支出。</w:t>
            </w:r>
          </w:p>
        </w:tc>
      </w:tr>
      <w:tr>
        <w:trPr>
          <w:trHeight w:val="865"/>
        </w:trPr>
        <w:tc>
          <w:tcPr>
            <w:tcW w:w="10045" w:type="dxa"/>
            <w:gridSpan w:val="7"/>
            <w:tcBorders>
              <w:top w:val="single" w:sz="4" w:space="0" w:color="auto"/>
              <w:left w:val="single" w:sz="4" w:space="0" w:color="auto"/>
              <w:bottom w:val="single" w:sz="4" w:space="0" w:color="auto"/>
              <w:right w:val="single" w:sz="4" w:space="0" w:color="000000"/>
            </w:tcBorders>
            <w:vAlign w:val="center"/>
          </w:tcPr>
          <w:p>
            <w:pPr>
              <w:widowControl/>
              <w:spacing w:line="240" w:lineRule="exact"/>
              <w:jc w:val="both"/>
              <w:rPr>
                <w:rFonts w:ascii="Times New Roman" w:eastAsia="仿宋_GB2312" w:cs="Times New Roman" w:hAnsi="Times New Roman"/>
                <w:kern w:val="0"/>
                <w:sz w:val="21"/>
                <w:szCs w:val="21"/>
              </w:rPr>
            </w:pPr>
            <w:r>
              <w:rPr>
                <w:rFonts w:ascii="Times New Roman" w:eastAsia="仿宋_GB2312" w:cs="Times New Roman" w:hAnsi="Times New Roman"/>
                <w:kern w:val="0"/>
                <w:sz w:val="21"/>
                <w:szCs w:val="21"/>
              </w:rPr>
              <w:t>说明：“项目支出”需要填报基本支出以外的所有项目支出情况，“公用经费”填报基本支出中的一般商品和服务支出。</w:t>
            </w:r>
          </w:p>
          <w:p>
            <w:pPr>
              <w:spacing w:line="240" w:lineRule="exact"/>
              <w:ind w:firstLineChars="150" w:firstLine="315"/>
              <w:rPr>
                <w:rFonts w:ascii="仿宋" w:eastAsia="仿宋" w:cs="仿宋" w:hAnsi="仿宋" w:hint="eastAsia"/>
                <w:kern w:val="0"/>
                <w:sz w:val="21"/>
                <w:szCs w:val="21"/>
              </w:rPr>
            </w:pPr>
          </w:p>
        </w:tc>
      </w:tr>
    </w:tbl>
    <w:p>
      <w:pPr>
        <w:widowControl/>
        <w:spacing w:line="240" w:lineRule="exact"/>
        <w:jc w:val="left"/>
        <w:rPr>
          <w:rFonts w:ascii="Times New Roman" w:eastAsia="仿宋_GB2312" w:cs="Times New Roman" w:hAnsi="Times New Roman"/>
          <w:kern w:val="0"/>
          <w:sz w:val="21"/>
          <w:szCs w:val="21"/>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left"/>
        <w:rPr>
          <w:rFonts w:ascii="微软雅黑" w:eastAsia="微软雅黑" w:cs="微软雅黑" w:hAnsi="微软雅黑" w:hint="eastAsia"/>
          <w:i w:val="0"/>
          <w:iCs w:val="0"/>
          <w:caps w:val="0"/>
          <w:smallCaps w:val="0"/>
          <w:color w:val="000000"/>
          <w:spacing w:val="0"/>
          <w:sz w:val="24"/>
          <w:szCs w:val="24"/>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宋体" w:eastAsia="宋体" w:cs="宋体" w:hAnsi="宋体" w:hint="eastAsia"/>
          <w:i w:val="0"/>
          <w:iCs w:val="0"/>
          <w:caps w:val="0"/>
          <w:smallCaps w:val="0"/>
          <w:color w:val="000000"/>
          <w:spacing w:val="0"/>
          <w:sz w:val="24"/>
          <w:szCs w:val="24"/>
        </w:rPr>
      </w:pPr>
    </w:p>
    <w:p>
      <w:pPr>
        <w:spacing w:line="579" w:lineRule="exact"/>
        <w:rPr>
          <w:rFonts w:ascii="黑体" w:eastAsia="黑体" w:cs="黑体" w:hAnsi="黑体" w:hint="eastAsia"/>
          <w:color w:val="000000"/>
          <w:sz w:val="32"/>
          <w:szCs w:val="32"/>
          <w:lang w:val="en-US" w:eastAsia="zh-CN"/>
        </w:rPr>
      </w:pPr>
      <w:r>
        <w:rPr>
          <w:rFonts w:ascii="黑体" w:eastAsia="黑体" w:cs="黑体" w:hAnsi="黑体" w:hint="eastAsia"/>
          <w:color w:val="000000"/>
          <w:sz w:val="32"/>
          <w:szCs w:val="32"/>
        </w:rPr>
        <w:t>附件</w:t>
      </w:r>
      <w:r>
        <w:rPr>
          <w:rFonts w:ascii="黑体" w:eastAsia="黑体" w:cs="黑体" w:hAnsi="黑体" w:hint="eastAsia"/>
          <w:color w:val="000000"/>
          <w:sz w:val="32"/>
          <w:szCs w:val="32"/>
          <w:lang w:val="en-US" w:eastAsia="zh-CN"/>
        </w:rPr>
        <w:t>1-</w:t>
      </w:r>
      <w:r>
        <w:rPr>
          <w:rFonts w:ascii="黑体" w:eastAsia="黑体" w:cs="黑体" w:hAnsi="黑体" w:hint="eastAsia"/>
          <w:color w:val="000000"/>
          <w:sz w:val="32"/>
          <w:szCs w:val="32"/>
        </w:rPr>
        <w:t>2</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Times New Roman" w:eastAsia="黑体" w:cs="Times New Roman" w:hAnsi="Times New Roman"/>
          <w:color w:val="000000"/>
          <w:sz w:val="32"/>
          <w:szCs w:val="32"/>
        </w:rPr>
      </w:pPr>
    </w:p>
    <w:p>
      <w:pPr>
        <w:spacing w:line="740" w:lineRule="exact"/>
        <w:jc w:val="center"/>
        <w:rPr>
          <w:rFonts w:ascii="黑体" w:eastAsia="黑体" w:cs="黑体" w:hAnsi="黑体" w:hint="eastAsia"/>
          <w:sz w:val="44"/>
        </w:rPr>
      </w:pPr>
      <w:r>
        <w:rPr>
          <w:rFonts w:ascii="黑体" w:eastAsia="黑体" w:cs="黑体" w:hAnsi="黑体" w:hint="eastAsia"/>
          <w:sz w:val="44"/>
          <w:lang w:eastAsia="zh-CN"/>
        </w:rPr>
        <w:t>2024</w:t>
      </w:r>
      <w:r>
        <w:rPr>
          <w:rFonts w:ascii="黑体" w:eastAsia="黑体" w:cs="黑体" w:hAnsi="黑体" w:hint="eastAsia"/>
          <w:sz w:val="44"/>
        </w:rPr>
        <w:t>年度部门整体支出绩效自评表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eastAsia="方正小标宋_GBK" w:cs="Times New Roman" w:hAnsi="Times New Roman"/>
          <w:sz w:val="44"/>
        </w:rPr>
      </w:pPr>
    </w:p>
    <w:tbl>
      <w:tblPr>
        <w:jc w:val="center"/>
        <w:tblW w:w="1041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216"/>
        <w:gridCol w:w="546"/>
        <w:gridCol w:w="847"/>
        <w:gridCol w:w="766"/>
        <w:gridCol w:w="1344"/>
        <w:gridCol w:w="252"/>
        <w:gridCol w:w="1480"/>
        <w:gridCol w:w="1627"/>
        <w:gridCol w:w="821"/>
        <w:gridCol w:w="1448"/>
        <w:gridCol w:w="1068"/>
      </w:tblGrid>
      <w:tr>
        <w:trPr>
          <w:trHeight w:val="447"/>
        </w:trPr>
        <w:tc>
          <w:tcPr>
            <w:tcW w:w="716" w:type="dxa"/>
            <w:gridSpan w:val="2"/>
            <w:tcBorders>
              <w:top w:val="single" w:sz="4" w:space="0" w:color="auto"/>
              <w:left w:val="single" w:sz="4" w:space="0" w:color="auto"/>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b/>
                <w:bCs/>
                <w:color w:val="000000"/>
                <w:kern w:val="0"/>
                <w:sz w:val="21"/>
                <w:szCs w:val="21"/>
              </w:rPr>
              <w:t>单位名称</w:t>
            </w:r>
          </w:p>
        </w:tc>
        <w:tc>
          <w:tcPr>
            <w:tcW w:w="9699" w:type="dxa"/>
            <w:gridSpan w:val="9"/>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　</w:t>
            </w:r>
          </w:p>
        </w:tc>
      </w:tr>
      <w:tr>
        <w:trPr>
          <w:trHeight w:val="460"/>
        </w:trPr>
        <w:tc>
          <w:tcPr>
            <w:tcW w:w="716" w:type="dxa"/>
            <w:gridSpan w:val="2"/>
            <w:vMerge w:val="restart"/>
            <w:tcBorders>
              <w:top w:val="nil"/>
              <w:left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b/>
                <w:bCs/>
                <w:color w:val="000000"/>
                <w:kern w:val="0"/>
                <w:sz w:val="21"/>
                <w:szCs w:val="21"/>
              </w:rPr>
              <w:t>年度预算申请（万元）</w:t>
            </w:r>
          </w:p>
        </w:tc>
        <w:tc>
          <w:tcPr>
            <w:tcW w:w="1621"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 w:val="21"/>
                <w:szCs w:val="21"/>
              </w:rPr>
            </w:pPr>
          </w:p>
        </w:tc>
        <w:tc>
          <w:tcPr>
            <w:tcW w:w="1350"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年初预算数</w:t>
            </w:r>
          </w:p>
        </w:tc>
        <w:tc>
          <w:tcPr>
            <w:tcW w:w="1740"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rPr>
              <w:t>全年预算数</w:t>
            </w:r>
            <w:r>
              <w:rPr>
                <w:rFonts w:ascii="仿宋" w:eastAsia="仿宋" w:cs="仿宋" w:hAnsi="仿宋" w:hint="eastAsia"/>
                <w:color w:val="000000"/>
                <w:kern w:val="0"/>
                <w:sz w:val="21"/>
                <w:szCs w:val="21"/>
                <w:lang w:val="en-US" w:eastAsia="zh-CN"/>
              </w:rPr>
              <w:t>(A)</w:t>
            </w:r>
          </w:p>
        </w:tc>
        <w:tc>
          <w:tcPr>
            <w:tcW w:w="1635" w:type="dxa"/>
            <w:tcBorders>
              <w:top w:val="nil"/>
              <w:left w:val="nil"/>
              <w:bottom w:val="single" w:sz="4" w:space="0" w:color="auto"/>
              <w:right w:val="single" w:sz="4" w:space="0" w:color="auto"/>
            </w:tcBorders>
            <w:vAlign w:val="center"/>
          </w:tcPr>
          <w:p>
            <w:pPr>
              <w:spacing w:line="220" w:lineRule="exact"/>
              <w:jc w:val="both"/>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rPr>
              <w:t>全年执行数</w:t>
            </w:r>
            <w:r>
              <w:rPr>
                <w:rFonts w:ascii="仿宋" w:eastAsia="仿宋" w:cs="仿宋" w:hAnsi="仿宋" w:hint="eastAsia"/>
                <w:color w:val="000000"/>
                <w:kern w:val="0"/>
                <w:sz w:val="21"/>
                <w:szCs w:val="21"/>
                <w:lang w:val="en-US" w:eastAsia="zh-CN"/>
              </w:rPr>
              <w:t>(B)</w:t>
            </w:r>
          </w:p>
        </w:tc>
        <w:tc>
          <w:tcPr>
            <w:tcW w:w="825"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分值</w:t>
            </w:r>
          </w:p>
        </w:tc>
        <w:tc>
          <w:tcPr>
            <w:tcW w:w="1455"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rPr>
              <w:t>执行率</w:t>
            </w:r>
            <w:r>
              <w:rPr>
                <w:rFonts w:ascii="仿宋" w:eastAsia="仿宋" w:cs="仿宋" w:hAnsi="仿宋" w:hint="eastAsia"/>
                <w:color w:val="000000"/>
                <w:kern w:val="0"/>
                <w:sz w:val="21"/>
                <w:szCs w:val="21"/>
                <w:lang w:val="en-US" w:eastAsia="zh-CN"/>
              </w:rPr>
              <w:t>(B/A)</w:t>
            </w:r>
          </w:p>
        </w:tc>
        <w:tc>
          <w:tcPr>
            <w:tcW w:w="1073"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得分</w:t>
            </w:r>
          </w:p>
        </w:tc>
      </w:tr>
      <w:tr>
        <w:trPr>
          <w:trHeight w:val="465"/>
        </w:trPr>
        <w:tc>
          <w:tcPr>
            <w:tcW w:w="716" w:type="dxa"/>
            <w:gridSpan w:val="2"/>
            <w:vMerge/>
            <w:tcBorders>
              <w:top w:val="nil"/>
              <w:left w:val="single" w:sz="4" w:space="0" w:color="auto"/>
              <w:right w:val="single" w:sz="4" w:space="0" w:color="auto"/>
            </w:tcBorders>
            <w:vAlign w:val="center"/>
          </w:tcPr>
          <w:p/>
        </w:tc>
        <w:tc>
          <w:tcPr>
            <w:tcW w:w="1621" w:type="dxa"/>
            <w:gridSpan w:val="2"/>
            <w:tcBorders>
              <w:top w:val="nil"/>
              <w:left w:val="nil"/>
              <w:bottom w:val="single" w:sz="4" w:space="0" w:color="auto"/>
              <w:right w:val="single" w:sz="4" w:space="0" w:color="auto"/>
            </w:tcBorders>
            <w:vAlign w:val="center"/>
          </w:tcPr>
          <w:p>
            <w:pPr>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年度资金总额</w:t>
            </w:r>
          </w:p>
        </w:tc>
        <w:tc>
          <w:tcPr>
            <w:tcW w:w="1350"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 w:val="21"/>
                <w:szCs w:val="21"/>
              </w:rPr>
              <w:t>597.95</w:t>
            </w:r>
          </w:p>
        </w:tc>
        <w:tc>
          <w:tcPr>
            <w:tcW w:w="1740" w:type="dxa"/>
            <w:gridSpan w:val="2"/>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 w:val="21"/>
                <w:szCs w:val="21"/>
              </w:rPr>
              <w:t>693.15</w:t>
            </w:r>
          </w:p>
        </w:tc>
        <w:tc>
          <w:tcPr>
            <w:tcW w:w="1635"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 w:val="21"/>
                <w:szCs w:val="21"/>
              </w:rPr>
              <w:t>721.64</w:t>
            </w:r>
          </w:p>
        </w:tc>
        <w:tc>
          <w:tcPr>
            <w:tcW w:w="825"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10</w:t>
            </w:r>
          </w:p>
        </w:tc>
        <w:tc>
          <w:tcPr>
            <w:tcW w:w="1455"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 w:val="21"/>
                <w:szCs w:val="21"/>
              </w:rPr>
              <w:t>104</w:t>
            </w:r>
          </w:p>
        </w:tc>
        <w:tc>
          <w:tcPr>
            <w:tcW w:w="1073" w:type="dxa"/>
            <w:tcBorders>
              <w:top w:val="nil"/>
              <w:left w:val="nil"/>
              <w:bottom w:val="single" w:sz="4" w:space="0" w:color="auto"/>
              <w:right w:val="single" w:sz="4" w:space="0" w:color="auto"/>
            </w:tcBorders>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 w:val="21"/>
                <w:szCs w:val="21"/>
              </w:rPr>
              <w:t>9</w:t>
            </w:r>
          </w:p>
        </w:tc>
      </w:tr>
      <w:tr>
        <w:trPr>
          <w:trHeight w:val="435"/>
        </w:trPr>
        <w:tc>
          <w:tcPr>
            <w:tcW w:w="716" w:type="dxa"/>
            <w:gridSpan w:val="2"/>
            <w:vMerge/>
            <w:tcBorders>
              <w:left w:val="single" w:sz="4" w:space="0" w:color="auto"/>
              <w:right w:val="single" w:sz="4" w:space="0" w:color="auto"/>
            </w:tcBorders>
            <w:vAlign w:val="center"/>
          </w:tcPr>
          <w:p/>
        </w:tc>
        <w:tc>
          <w:tcPr>
            <w:tcW w:w="4711" w:type="dxa"/>
            <w:gridSpan w:val="5"/>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按收入性质分：</w:t>
            </w:r>
            <w:r>
              <w:rPr>
                <w:rFonts w:ascii="仿宋" w:eastAsia="仿宋" w:cs="仿宋" w:hAnsi="仿宋"/>
                <w:color w:val="000000"/>
                <w:kern w:val="0"/>
                <w:sz w:val="21"/>
                <w:szCs w:val="21"/>
              </w:rPr>
              <w:t>597.95</w:t>
            </w:r>
          </w:p>
        </w:tc>
        <w:tc>
          <w:tcPr>
            <w:tcW w:w="4988" w:type="dxa"/>
            <w:gridSpan w:val="4"/>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按支出性质分：</w:t>
            </w:r>
            <w:r>
              <w:rPr>
                <w:rFonts w:ascii="仿宋" w:eastAsia="仿宋" w:cs="仿宋" w:hAnsi="仿宋"/>
                <w:color w:val="000000"/>
                <w:kern w:val="0"/>
                <w:sz w:val="21"/>
                <w:szCs w:val="21"/>
              </w:rPr>
              <w:t>721.64</w:t>
            </w:r>
          </w:p>
        </w:tc>
      </w:tr>
      <w:tr>
        <w:trPr>
          <w:trHeight w:val="405"/>
        </w:trPr>
        <w:tc>
          <w:tcPr>
            <w:tcW w:w="716" w:type="dxa"/>
            <w:gridSpan w:val="2"/>
            <w:vMerge/>
            <w:tcBorders>
              <w:left w:val="single" w:sz="4" w:space="0" w:color="auto"/>
              <w:right w:val="single" w:sz="4" w:space="0" w:color="auto"/>
            </w:tcBorders>
            <w:vAlign w:val="center"/>
          </w:tcPr>
          <w:p/>
        </w:tc>
        <w:tc>
          <w:tcPr>
            <w:tcW w:w="4711" w:type="dxa"/>
            <w:gridSpan w:val="5"/>
            <w:tcBorders>
              <w:top w:val="nil"/>
              <w:left w:val="nil"/>
              <w:bottom w:val="single" w:sz="4" w:space="0" w:color="auto"/>
              <w:right w:val="single" w:sz="4" w:space="0" w:color="auto"/>
            </w:tcBorders>
            <w:vAlign w:val="center"/>
          </w:tcPr>
          <w:p>
            <w:pPr>
              <w:widowControl/>
              <w:spacing w:line="220" w:lineRule="exact"/>
              <w:ind w:firstLineChars="100" w:firstLine="21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其中：一般公共预算：</w:t>
            </w:r>
            <w:r>
              <w:rPr>
                <w:rFonts w:ascii="仿宋" w:eastAsia="仿宋" w:cs="仿宋" w:hAnsi="仿宋"/>
                <w:color w:val="000000"/>
                <w:kern w:val="0"/>
                <w:sz w:val="21"/>
                <w:szCs w:val="21"/>
              </w:rPr>
              <w:t>692.67</w:t>
            </w:r>
          </w:p>
        </w:tc>
        <w:tc>
          <w:tcPr>
            <w:tcW w:w="4988" w:type="dxa"/>
            <w:gridSpan w:val="4"/>
            <w:tcBorders>
              <w:top w:val="nil"/>
              <w:left w:val="nil"/>
              <w:bottom w:val="single" w:sz="4" w:space="0" w:color="auto"/>
              <w:right w:val="single" w:sz="4" w:space="0" w:color="auto"/>
            </w:tcBorders>
            <w:vAlign w:val="center"/>
          </w:tcPr>
          <w:p>
            <w:pPr>
              <w:widowControl/>
              <w:spacing w:line="220" w:lineRule="exact"/>
              <w:ind w:firstLineChars="100" w:firstLine="21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其中：基本支出：</w:t>
            </w:r>
            <w:r>
              <w:rPr>
                <w:rFonts w:ascii="仿宋" w:eastAsia="仿宋" w:cs="仿宋" w:hAnsi="仿宋"/>
                <w:color w:val="000000"/>
                <w:kern w:val="0"/>
                <w:sz w:val="21"/>
                <w:szCs w:val="21"/>
              </w:rPr>
              <w:t>721.64</w:t>
            </w:r>
          </w:p>
        </w:tc>
      </w:tr>
      <w:tr>
        <w:trPr>
          <w:trHeight w:val="450"/>
        </w:trPr>
        <w:tc>
          <w:tcPr>
            <w:tcW w:w="716" w:type="dxa"/>
            <w:gridSpan w:val="2"/>
            <w:vMerge/>
            <w:tcBorders>
              <w:left w:val="single" w:sz="4" w:space="0" w:color="auto"/>
              <w:right w:val="single" w:sz="4" w:space="0" w:color="auto"/>
            </w:tcBorders>
            <w:vAlign w:val="center"/>
          </w:tcPr>
          <w:p/>
        </w:tc>
        <w:tc>
          <w:tcPr>
            <w:tcW w:w="4711" w:type="dxa"/>
            <w:gridSpan w:val="5"/>
            <w:tcBorders>
              <w:top w:val="nil"/>
              <w:left w:val="nil"/>
              <w:bottom w:val="single" w:sz="4" w:space="0" w:color="auto"/>
              <w:right w:val="single" w:sz="4" w:space="0" w:color="auto"/>
            </w:tcBorders>
            <w:vAlign w:val="center"/>
          </w:tcPr>
          <w:p>
            <w:pPr>
              <w:widowControl/>
              <w:spacing w:line="220" w:lineRule="exact"/>
              <w:ind w:firstLineChars="400" w:firstLine="84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政府性基金拨款：</w:t>
            </w:r>
          </w:p>
        </w:tc>
        <w:tc>
          <w:tcPr>
            <w:tcW w:w="4988" w:type="dxa"/>
            <w:gridSpan w:val="4"/>
            <w:tcBorders>
              <w:top w:val="nil"/>
              <w:left w:val="nil"/>
              <w:bottom w:val="single" w:sz="4" w:space="0" w:color="auto"/>
              <w:right w:val="single" w:sz="4" w:space="0" w:color="auto"/>
            </w:tcBorders>
            <w:vAlign w:val="center"/>
          </w:tcPr>
          <w:p>
            <w:pPr>
              <w:widowControl/>
              <w:spacing w:line="220" w:lineRule="exact"/>
              <w:ind w:firstLineChars="400" w:firstLine="84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项目支出：</w:t>
            </w:r>
          </w:p>
        </w:tc>
      </w:tr>
      <w:tr>
        <w:trPr>
          <w:trHeight w:val="405"/>
        </w:trPr>
        <w:tc>
          <w:tcPr>
            <w:tcW w:w="716" w:type="dxa"/>
            <w:gridSpan w:val="2"/>
            <w:vMerge/>
            <w:tcBorders>
              <w:left w:val="single" w:sz="4" w:space="0" w:color="auto"/>
              <w:right w:val="single" w:sz="4" w:space="0" w:color="auto"/>
            </w:tcBorders>
            <w:vAlign w:val="center"/>
          </w:tcPr>
          <w:p/>
        </w:tc>
        <w:tc>
          <w:tcPr>
            <w:tcW w:w="4711" w:type="dxa"/>
            <w:gridSpan w:val="5"/>
            <w:tcBorders>
              <w:top w:val="nil"/>
              <w:left w:val="nil"/>
              <w:bottom w:val="single" w:sz="4" w:space="0" w:color="auto"/>
              <w:right w:val="single" w:sz="4" w:space="0" w:color="auto"/>
            </w:tcBorders>
            <w:vAlign w:val="center"/>
          </w:tcPr>
          <w:p>
            <w:pPr>
              <w:widowControl/>
              <w:spacing w:line="220" w:lineRule="exact"/>
              <w:ind w:firstLineChars="400" w:firstLine="84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纳入专户管理的非税收入拨款：</w:t>
            </w:r>
          </w:p>
        </w:tc>
        <w:tc>
          <w:tcPr>
            <w:tcW w:w="4988" w:type="dxa"/>
            <w:gridSpan w:val="4"/>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p>
        </w:tc>
      </w:tr>
      <w:tr>
        <w:trPr>
          <w:trHeight w:val="430"/>
        </w:trPr>
        <w:tc>
          <w:tcPr>
            <w:tcW w:w="716" w:type="dxa"/>
            <w:gridSpan w:val="2"/>
            <w:vMerge/>
            <w:tcBorders>
              <w:left w:val="single" w:sz="4" w:space="0" w:color="auto"/>
              <w:bottom w:val="single" w:sz="4" w:space="0" w:color="000000"/>
              <w:right w:val="single" w:sz="4" w:space="0" w:color="auto"/>
            </w:tcBorders>
            <w:vAlign w:val="center"/>
          </w:tcPr>
          <w:p/>
        </w:tc>
        <w:tc>
          <w:tcPr>
            <w:tcW w:w="4711" w:type="dxa"/>
            <w:gridSpan w:val="5"/>
            <w:tcBorders>
              <w:top w:val="nil"/>
              <w:left w:val="nil"/>
              <w:bottom w:val="single" w:sz="4" w:space="0" w:color="auto"/>
              <w:right w:val="single" w:sz="4" w:space="0" w:color="auto"/>
            </w:tcBorders>
            <w:vAlign w:val="center"/>
          </w:tcPr>
          <w:p>
            <w:pPr>
              <w:widowControl/>
              <w:spacing w:line="220" w:lineRule="exact"/>
              <w:ind w:firstLineChars="400" w:firstLine="84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其他资金：</w:t>
            </w:r>
            <w:r>
              <w:rPr>
                <w:rFonts w:ascii="仿宋" w:eastAsia="仿宋" w:cs="仿宋" w:hAnsi="仿宋"/>
                <w:color w:val="000000"/>
                <w:kern w:val="0"/>
                <w:sz w:val="21"/>
                <w:szCs w:val="21"/>
              </w:rPr>
              <w:t>0.48</w:t>
            </w:r>
          </w:p>
        </w:tc>
        <w:tc>
          <w:tcPr>
            <w:tcW w:w="4988" w:type="dxa"/>
            <w:gridSpan w:val="4"/>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p>
        </w:tc>
      </w:tr>
      <w:tr>
        <w:trPr>
          <w:trHeight w:val="445"/>
        </w:trPr>
        <w:tc>
          <w:tcPr>
            <w:tcW w:w="716" w:type="dxa"/>
            <w:gridSpan w:val="2"/>
            <w:vMerge w:val="restart"/>
            <w:tcBorders>
              <w:top w:val="nil"/>
              <w:left w:val="single" w:sz="4" w:space="0" w:color="auto"/>
              <w:bottom w:val="single" w:sz="4" w:space="0" w:color="000000"/>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b/>
                <w:bCs/>
                <w:color w:val="000000"/>
                <w:kern w:val="0"/>
                <w:sz w:val="21"/>
                <w:szCs w:val="21"/>
              </w:rPr>
              <w:t>年度总体目标</w:t>
            </w:r>
          </w:p>
        </w:tc>
        <w:tc>
          <w:tcPr>
            <w:tcW w:w="4711" w:type="dxa"/>
            <w:gridSpan w:val="5"/>
            <w:tcBorders>
              <w:top w:val="single" w:sz="4" w:space="0" w:color="auto"/>
              <w:left w:val="nil"/>
              <w:bottom w:val="single" w:sz="4" w:space="0" w:color="auto"/>
              <w:right w:val="single" w:sz="4" w:space="0" w:color="000000"/>
            </w:tcBorders>
            <w:vAlign w:val="center"/>
          </w:tcPr>
          <w:p>
            <w:pPr>
              <w:widowControl/>
              <w:spacing w:line="220" w:lineRule="exact"/>
              <w:jc w:val="center"/>
              <w:rPr>
                <w:rFonts w:ascii="仿宋" w:eastAsia="仿宋" w:cs="仿宋" w:hAnsi="仿宋" w:hint="eastAsia"/>
                <w:color w:val="000000"/>
                <w:kern w:val="0"/>
                <w:sz w:val="21"/>
                <w:szCs w:val="21"/>
                <w:lang w:val="en-US" w:eastAsia="zh-CN"/>
              </w:rPr>
            </w:pPr>
            <w:r>
              <w:rPr>
                <w:rFonts w:ascii="仿宋" w:eastAsia="仿宋" w:cs="仿宋" w:hAnsi="仿宋" w:hint="eastAsia"/>
                <w:color w:val="000000"/>
                <w:kern w:val="0"/>
                <w:sz w:val="21"/>
                <w:szCs w:val="21"/>
                <w:lang w:val="en-US" w:eastAsia="zh-CN"/>
              </w:rPr>
              <w:t>年初目标设定</w:t>
            </w:r>
          </w:p>
        </w:tc>
        <w:tc>
          <w:tcPr>
            <w:tcW w:w="4988" w:type="dxa"/>
            <w:gridSpan w:val="4"/>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lang w:val="en-US" w:eastAsia="zh-CN"/>
              </w:rPr>
              <w:t>全年</w:t>
            </w:r>
            <w:r>
              <w:rPr>
                <w:rFonts w:ascii="仿宋" w:eastAsia="仿宋" w:cs="仿宋" w:hAnsi="仿宋" w:hint="eastAsia"/>
                <w:color w:val="000000"/>
                <w:kern w:val="0"/>
                <w:sz w:val="21"/>
                <w:szCs w:val="21"/>
              </w:rPr>
              <w:t>实际完成情况</w:t>
            </w:r>
          </w:p>
        </w:tc>
      </w:tr>
      <w:tr>
        <w:trPr>
          <w:trHeight w:val="1470"/>
        </w:trPr>
        <w:tc>
          <w:tcPr>
            <w:tcW w:w="716" w:type="dxa"/>
            <w:gridSpan w:val="2"/>
            <w:vMerge/>
            <w:tcBorders>
              <w:top w:val="nil"/>
              <w:left w:val="single" w:sz="4" w:space="0" w:color="auto"/>
              <w:bottom w:val="single" w:sz="4" w:space="0" w:color="auto"/>
              <w:right w:val="single" w:sz="4" w:space="0" w:color="auto"/>
            </w:tcBorders>
            <w:vAlign w:val="center"/>
          </w:tcPr>
          <w:p/>
        </w:tc>
        <w:tc>
          <w:tcPr>
            <w:tcW w:w="4711" w:type="dxa"/>
            <w:gridSpan w:val="5"/>
            <w:tcBorders>
              <w:top w:val="single" w:sz="4" w:space="0" w:color="auto"/>
              <w:left w:val="nil"/>
              <w:bottom w:val="single" w:sz="4" w:space="0" w:color="auto"/>
              <w:right w:val="single" w:sz="4" w:space="0" w:color="000000"/>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sz w:val="24"/>
                <w:shd w:val="clear" w:color="auto" w:fill="FFFFFF"/>
              </w:rPr>
              <w:t>负责县政协全体会议、常务委员会议、主席会议、主席办公会、常务委员专题座谈会、专门委员会的会务工作委员的履职培训等工作。有计划地组织开展调研、协商、视察、走访等活动。</w:t>
            </w:r>
          </w:p>
        </w:tc>
        <w:tc>
          <w:tcPr>
            <w:tcW w:w="4988" w:type="dxa"/>
            <w:gridSpan w:val="4"/>
            <w:tcBorders>
              <w:top w:val="single" w:sz="4" w:space="0" w:color="auto"/>
              <w:left w:val="nil"/>
              <w:bottom w:val="single" w:sz="4" w:space="0" w:color="auto"/>
              <w:right w:val="single" w:sz="4" w:space="0" w:color="auto"/>
            </w:tcBorders>
            <w:vAlign w:val="center"/>
          </w:tcPr>
          <w:p>
            <w:pPr>
              <w:spacing w:line="240" w:lineRule="exact"/>
              <w:ind w:firstLineChars="200" w:firstLine="420"/>
              <w:rPr>
                <w:rFonts w:ascii="仿宋" w:eastAsia="仿宋" w:cs="仿宋" w:hAnsi="仿宋" w:hint="eastAsia"/>
                <w:color w:val="000000"/>
                <w:kern w:val="0"/>
                <w:sz w:val="21"/>
                <w:szCs w:val="21"/>
              </w:rPr>
            </w:pPr>
            <w:r>
              <w:rPr>
                <w:rFonts w:ascii="宋体" w:eastAsia="宋体" w:cs="宋体" w:hAnsi="宋体" w:hint="eastAsia"/>
                <w:sz w:val="21"/>
                <w:szCs w:val="21"/>
              </w:rPr>
              <w:t>全年共组织召开全年共组织召开8次县政协党组理论中心组学习会、9次常委会议、10次主席会议、12次党组会议、1期委员学习培训班，收到</w:t>
            </w:r>
            <w:r>
              <w:rPr>
                <w:rFonts w:ascii="宋体" w:eastAsia="宋体" w:cs="宋体" w:hAnsi="宋体" w:hint="eastAsia"/>
                <w:spacing w:val="-80"/>
                <w:sz w:val="21"/>
                <w:szCs w:val="21"/>
              </w:rPr>
              <w:t xml:space="preserve"> </w:t>
            </w:r>
            <w:r>
              <w:rPr>
                <w:rFonts w:ascii="宋体" w:eastAsia="宋体" w:cs="宋体" w:hAnsi="宋体" w:hint="eastAsia"/>
                <w:sz w:val="21"/>
                <w:szCs w:val="21"/>
              </w:rPr>
              <w:t>89</w:t>
            </w:r>
            <w:r>
              <w:rPr>
                <w:rFonts w:ascii="宋体" w:eastAsia="宋体" w:cs="宋体" w:hAnsi="宋体" w:hint="eastAsia"/>
                <w:spacing w:val="-83"/>
                <w:sz w:val="21"/>
                <w:szCs w:val="21"/>
              </w:rPr>
              <w:t xml:space="preserve"> </w:t>
            </w:r>
            <w:r>
              <w:rPr>
                <w:rFonts w:ascii="宋体" w:eastAsia="宋体" w:cs="宋体" w:hAnsi="宋体" w:hint="eastAsia"/>
                <w:spacing w:val="-4"/>
                <w:sz w:val="21"/>
                <w:szCs w:val="21"/>
              </w:rPr>
              <w:t>件提案，经审查立案</w:t>
            </w:r>
            <w:r>
              <w:rPr>
                <w:rFonts w:ascii="宋体" w:eastAsia="宋体" w:cs="宋体" w:hAnsi="宋体" w:hint="eastAsia"/>
                <w:spacing w:val="-80"/>
                <w:sz w:val="21"/>
                <w:szCs w:val="21"/>
              </w:rPr>
              <w:t xml:space="preserve"> </w:t>
            </w:r>
            <w:r>
              <w:rPr>
                <w:rFonts w:ascii="宋体" w:eastAsia="宋体" w:cs="宋体" w:hAnsi="宋体" w:hint="eastAsia"/>
                <w:sz w:val="21"/>
                <w:szCs w:val="21"/>
              </w:rPr>
              <w:t>78</w:t>
            </w:r>
            <w:r>
              <w:rPr>
                <w:rFonts w:ascii="宋体" w:eastAsia="宋体" w:cs="宋体" w:hAnsi="宋体" w:hint="eastAsia"/>
                <w:spacing w:val="-81"/>
                <w:sz w:val="21"/>
                <w:szCs w:val="21"/>
              </w:rPr>
              <w:t xml:space="preserve"> </w:t>
            </w:r>
            <w:r>
              <w:rPr>
                <w:rFonts w:ascii="宋体" w:eastAsia="宋体" w:cs="宋体" w:hAnsi="宋体" w:hint="eastAsia"/>
                <w:spacing w:val="-8"/>
                <w:sz w:val="21"/>
                <w:szCs w:val="21"/>
              </w:rPr>
              <w:t>件，</w:t>
            </w:r>
            <w:r>
              <w:rPr>
                <w:rFonts w:ascii="宋体" w:eastAsia="宋体" w:cs="宋体" w:hAnsi="宋体" w:hint="eastAsia"/>
                <w:sz w:val="21"/>
                <w:szCs w:val="21"/>
              </w:rPr>
              <w:t>并从中精选了</w:t>
            </w:r>
            <w:r>
              <w:rPr>
                <w:rFonts w:ascii="宋体" w:eastAsia="宋体" w:cs="宋体" w:hAnsi="宋体" w:hint="eastAsia"/>
                <w:spacing w:val="-86"/>
                <w:sz w:val="21"/>
                <w:szCs w:val="21"/>
              </w:rPr>
              <w:t xml:space="preserve"> </w:t>
            </w:r>
            <w:r>
              <w:rPr>
                <w:rFonts w:ascii="宋体" w:eastAsia="宋体" w:cs="宋体" w:hAnsi="宋体" w:hint="eastAsia"/>
                <w:sz w:val="21"/>
                <w:szCs w:val="21"/>
              </w:rPr>
              <w:t>6</w:t>
            </w:r>
            <w:r>
              <w:rPr>
                <w:rFonts w:ascii="宋体" w:eastAsia="宋体" w:cs="宋体" w:hAnsi="宋体" w:hint="eastAsia"/>
                <w:spacing w:val="-85"/>
                <w:sz w:val="21"/>
                <w:szCs w:val="21"/>
              </w:rPr>
              <w:t xml:space="preserve"> </w:t>
            </w:r>
            <w:r>
              <w:rPr>
                <w:rFonts w:ascii="宋体" w:eastAsia="宋体" w:cs="宋体" w:hAnsi="宋体" w:hint="eastAsia"/>
                <w:spacing w:val="4"/>
                <w:sz w:val="21"/>
                <w:szCs w:val="21"/>
              </w:rPr>
              <w:t>件</w:t>
            </w:r>
            <w:r>
              <w:rPr>
                <w:rFonts w:ascii="宋体" w:eastAsia="宋体" w:cs="宋体" w:hAnsi="宋体" w:hint="eastAsia"/>
                <w:sz w:val="21"/>
                <w:szCs w:val="21"/>
              </w:rPr>
              <w:t>作为重点提案。</w:t>
            </w:r>
            <w:r>
              <w:rPr>
                <w:rFonts w:ascii="宋体" w:eastAsia="宋体" w:cs="宋体" w:hAnsi="宋体" w:hint="eastAsia"/>
                <w:spacing w:val="3"/>
                <w:sz w:val="21"/>
                <w:szCs w:val="21"/>
              </w:rPr>
              <w:t>办复率</w:t>
            </w:r>
            <w:r>
              <w:rPr>
                <w:rFonts w:ascii="宋体" w:eastAsia="宋体" w:cs="宋体" w:hAnsi="宋体" w:hint="eastAsia"/>
                <w:spacing w:val="-80"/>
                <w:sz w:val="21"/>
                <w:szCs w:val="21"/>
              </w:rPr>
              <w:t xml:space="preserve"> </w:t>
            </w:r>
            <w:r>
              <w:rPr>
                <w:rFonts w:ascii="宋体" w:eastAsia="宋体" w:cs="宋体" w:hAnsi="宋体" w:hint="eastAsia"/>
                <w:spacing w:val="2"/>
                <w:sz w:val="21"/>
                <w:szCs w:val="21"/>
              </w:rPr>
              <w:t>100%、委员满意率</w:t>
            </w:r>
            <w:r>
              <w:rPr>
                <w:rFonts w:ascii="宋体" w:eastAsia="宋体" w:cs="宋体" w:hAnsi="宋体" w:hint="eastAsia"/>
                <w:spacing w:val="-77"/>
                <w:sz w:val="21"/>
                <w:szCs w:val="21"/>
              </w:rPr>
              <w:t xml:space="preserve"> </w:t>
            </w:r>
            <w:r>
              <w:rPr>
                <w:rFonts w:ascii="宋体" w:eastAsia="宋体" w:cs="宋体" w:hAnsi="宋体" w:hint="eastAsia"/>
                <w:sz w:val="21"/>
                <w:szCs w:val="21"/>
              </w:rPr>
              <w:t>100%。</w:t>
            </w:r>
            <w:r>
              <w:rPr>
                <w:rFonts w:ascii="宋体" w:eastAsia="宋体" w:cs="宋体" w:hAnsi="宋体" w:hint="eastAsia"/>
                <w:kern w:val="0"/>
                <w:sz w:val="21"/>
                <w:szCs w:val="21"/>
              </w:rPr>
              <w:t>全年，共收到委员微建议 83 条，审核提交部门办结 60 条，办复率 100%，满意率100%。</w:t>
            </w:r>
            <w:r>
              <w:rPr>
                <w:rFonts w:ascii="宋体" w:eastAsia="宋体" w:cs="宋体" w:hAnsi="宋体" w:hint="eastAsia"/>
                <w:spacing w:val="8"/>
                <w:sz w:val="21"/>
                <w:szCs w:val="21"/>
              </w:rPr>
              <w:t>完成</w:t>
            </w:r>
            <w:r>
              <w:rPr>
                <w:rFonts w:ascii="宋体" w:eastAsia="宋体" w:cs="宋体" w:hAnsi="宋体" w:hint="eastAsia"/>
                <w:spacing w:val="-76"/>
                <w:sz w:val="21"/>
                <w:szCs w:val="21"/>
              </w:rPr>
              <w:t xml:space="preserve"> </w:t>
            </w:r>
            <w:r>
              <w:rPr>
                <w:rFonts w:ascii="宋体" w:eastAsia="宋体" w:cs="宋体" w:hAnsi="宋体" w:hint="eastAsia"/>
                <w:sz w:val="21"/>
                <w:szCs w:val="21"/>
              </w:rPr>
              <w:t>2</w:t>
            </w:r>
            <w:r>
              <w:rPr>
                <w:rFonts w:ascii="宋体" w:eastAsia="宋体" w:cs="宋体" w:hAnsi="宋体" w:hint="eastAsia"/>
                <w:spacing w:val="-75"/>
                <w:sz w:val="21"/>
                <w:szCs w:val="21"/>
              </w:rPr>
              <w:t xml:space="preserve"> </w:t>
            </w:r>
            <w:r>
              <w:rPr>
                <w:rFonts w:ascii="宋体" w:eastAsia="宋体" w:cs="宋体" w:hAnsi="宋体" w:hint="eastAsia"/>
                <w:spacing w:val="7"/>
                <w:sz w:val="21"/>
                <w:szCs w:val="21"/>
              </w:rPr>
              <w:t>次专题协商、4</w:t>
            </w:r>
            <w:r>
              <w:rPr>
                <w:rFonts w:ascii="宋体" w:eastAsia="宋体" w:cs="宋体" w:hAnsi="宋体" w:hint="eastAsia"/>
                <w:spacing w:val="-75"/>
                <w:sz w:val="21"/>
                <w:szCs w:val="21"/>
              </w:rPr>
              <w:t xml:space="preserve"> </w:t>
            </w:r>
            <w:r>
              <w:rPr>
                <w:rFonts w:ascii="宋体" w:eastAsia="宋体" w:cs="宋体" w:hAnsi="宋体" w:hint="eastAsia"/>
                <w:spacing w:val="8"/>
                <w:sz w:val="21"/>
                <w:szCs w:val="21"/>
              </w:rPr>
              <w:t>次对口协商、4</w:t>
            </w:r>
            <w:r>
              <w:rPr>
                <w:rFonts w:ascii="宋体" w:eastAsia="宋体" w:cs="宋体" w:hAnsi="宋体" w:hint="eastAsia"/>
                <w:spacing w:val="6"/>
                <w:sz w:val="21"/>
                <w:szCs w:val="21"/>
              </w:rPr>
              <w:t>次界别协商，形成调研成果</w:t>
            </w:r>
            <w:r>
              <w:rPr>
                <w:rFonts w:ascii="宋体" w:eastAsia="宋体" w:cs="宋体" w:hAnsi="宋体" w:hint="eastAsia"/>
                <w:spacing w:val="-85"/>
                <w:sz w:val="21"/>
                <w:szCs w:val="21"/>
              </w:rPr>
              <w:t xml:space="preserve"> </w:t>
            </w:r>
            <w:r>
              <w:rPr>
                <w:rFonts w:ascii="宋体" w:eastAsia="宋体" w:cs="宋体" w:hAnsi="宋体" w:hint="eastAsia"/>
                <w:sz w:val="21"/>
                <w:szCs w:val="21"/>
              </w:rPr>
              <w:t>10</w:t>
            </w:r>
            <w:r>
              <w:rPr>
                <w:rFonts w:ascii="宋体" w:eastAsia="宋体" w:cs="宋体" w:hAnsi="宋体" w:hint="eastAsia"/>
                <w:spacing w:val="-84"/>
                <w:sz w:val="21"/>
                <w:szCs w:val="21"/>
              </w:rPr>
              <w:t xml:space="preserve"> </w:t>
            </w:r>
            <w:r>
              <w:rPr>
                <w:rFonts w:ascii="宋体" w:eastAsia="宋体" w:cs="宋体" w:hAnsi="宋体" w:hint="eastAsia"/>
                <w:spacing w:val="6"/>
                <w:sz w:val="21"/>
                <w:szCs w:val="21"/>
              </w:rPr>
              <w:t>项，向县委县政府提</w:t>
            </w:r>
            <w:r>
              <w:rPr>
                <w:rFonts w:ascii="宋体" w:eastAsia="宋体" w:cs="宋体" w:hAnsi="宋体" w:hint="eastAsia"/>
                <w:sz w:val="21"/>
                <w:szCs w:val="21"/>
              </w:rPr>
              <w:t>交建议案</w:t>
            </w:r>
            <w:r>
              <w:rPr>
                <w:rFonts w:ascii="宋体" w:eastAsia="宋体" w:cs="宋体" w:hAnsi="宋体" w:hint="eastAsia"/>
                <w:spacing w:val="-86"/>
                <w:sz w:val="21"/>
                <w:szCs w:val="21"/>
              </w:rPr>
              <w:t xml:space="preserve"> </w:t>
            </w:r>
            <w:r>
              <w:rPr>
                <w:rFonts w:ascii="宋体" w:eastAsia="宋体" w:cs="宋体" w:hAnsi="宋体" w:hint="eastAsia"/>
                <w:sz w:val="21"/>
                <w:szCs w:val="21"/>
              </w:rPr>
              <w:t>2</w:t>
            </w:r>
            <w:r>
              <w:rPr>
                <w:rFonts w:ascii="宋体" w:eastAsia="宋体" w:cs="宋体" w:hAnsi="宋体" w:hint="eastAsia"/>
                <w:spacing w:val="-87"/>
                <w:sz w:val="21"/>
                <w:szCs w:val="21"/>
              </w:rPr>
              <w:t xml:space="preserve"> </w:t>
            </w:r>
            <w:r>
              <w:rPr>
                <w:rFonts w:ascii="宋体" w:eastAsia="宋体" w:cs="宋体" w:hAnsi="宋体" w:hint="eastAsia"/>
                <w:sz w:val="21"/>
                <w:szCs w:val="21"/>
              </w:rPr>
              <w:t>项。连续</w:t>
            </w:r>
            <w:r>
              <w:rPr>
                <w:rFonts w:ascii="宋体" w:eastAsia="宋体" w:cs="宋体" w:hAnsi="宋体" w:hint="eastAsia"/>
                <w:spacing w:val="-86"/>
                <w:sz w:val="21"/>
                <w:szCs w:val="21"/>
              </w:rPr>
              <w:t xml:space="preserve"> </w:t>
            </w:r>
            <w:r>
              <w:rPr>
                <w:rFonts w:ascii="宋体" w:eastAsia="宋体" w:cs="宋体" w:hAnsi="宋体" w:hint="eastAsia"/>
                <w:sz w:val="21"/>
                <w:szCs w:val="21"/>
              </w:rPr>
              <w:t>2</w:t>
            </w:r>
            <w:r>
              <w:rPr>
                <w:rFonts w:ascii="宋体" w:eastAsia="宋体" w:cs="宋体" w:hAnsi="宋体" w:hint="eastAsia"/>
                <w:spacing w:val="-87"/>
                <w:sz w:val="21"/>
                <w:szCs w:val="21"/>
              </w:rPr>
              <w:t xml:space="preserve"> </w:t>
            </w:r>
            <w:r>
              <w:rPr>
                <w:rFonts w:ascii="宋体" w:eastAsia="宋体" w:cs="宋体" w:hAnsi="宋体" w:hint="eastAsia"/>
                <w:sz w:val="21"/>
                <w:szCs w:val="21"/>
              </w:rPr>
              <w:t>年把推进南竹产业高质量发展</w:t>
            </w:r>
            <w:r>
              <w:rPr>
                <w:rFonts w:ascii="宋体" w:eastAsia="宋体" w:cs="宋体" w:hAnsi="宋体" w:hint="eastAsia"/>
                <w:spacing w:val="6"/>
                <w:sz w:val="21"/>
                <w:szCs w:val="21"/>
              </w:rPr>
              <w:t>作为常委会重点调研课题，形成《推进南竹产业高质量发展</w:t>
            </w:r>
            <w:r>
              <w:rPr>
                <w:rFonts w:ascii="宋体" w:eastAsia="宋体" w:cs="宋体" w:hAnsi="宋体" w:hint="eastAsia"/>
                <w:spacing w:val="4"/>
                <w:sz w:val="21"/>
                <w:szCs w:val="21"/>
              </w:rPr>
              <w:t>致力赋</w:t>
            </w:r>
            <w:r>
              <w:rPr>
                <w:rFonts w:ascii="宋体" w:eastAsia="宋体" w:cs="宋体" w:hAnsi="宋体" w:hint="eastAsia"/>
                <w:sz w:val="21"/>
                <w:szCs w:val="21"/>
              </w:rPr>
              <w:t>能“三个绥宁”建设》的建议案，为县委、县政府科学决策提供有深度有价值的参考。</w:t>
            </w:r>
          </w:p>
        </w:tc>
      </w:tr>
      <w:tr>
        <w:trPr>
          <w:trHeight w:val="850"/>
        </w:trPr>
        <w:tc>
          <w:tcPr>
            <w:tcW w:w="716"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spacing w:line="220" w:lineRule="exact"/>
              <w:jc w:val="both"/>
              <w:rPr>
                <w:rFonts w:ascii="仿宋" w:eastAsia="仿宋" w:cs="仿宋" w:hAnsi="仿宋" w:hint="eastAsia"/>
                <w:b/>
                <w:bCs/>
                <w:color w:val="000000"/>
                <w:kern w:val="0"/>
                <w:sz w:val="21"/>
                <w:szCs w:val="21"/>
              </w:rPr>
            </w:pPr>
            <w:r>
              <w:rPr>
                <w:rFonts w:ascii="仿宋" w:eastAsia="仿宋" w:cs="仿宋" w:hAnsi="仿宋" w:hint="eastAsia"/>
                <w:b/>
                <w:bCs/>
                <w:color w:val="000000"/>
                <w:kern w:val="0"/>
                <w:sz w:val="21"/>
                <w:szCs w:val="21"/>
              </w:rPr>
              <w:t>绩效</w:t>
            </w:r>
          </w:p>
          <w:p>
            <w:pPr>
              <w:widowControl/>
              <w:spacing w:line="220" w:lineRule="exact"/>
              <w:jc w:val="left"/>
              <w:rPr>
                <w:rFonts w:ascii="仿宋" w:eastAsia="仿宋" w:cs="仿宋" w:hAnsi="仿宋"/>
                <w:color w:val="000000"/>
                <w:kern w:val="0"/>
                <w:sz w:val="21"/>
                <w:szCs w:val="21"/>
                <w:lang w:val="en-US" w:eastAsia="zh-CN"/>
              </w:rPr>
            </w:pPr>
            <w:r>
              <w:rPr>
                <w:rFonts w:ascii="仿宋" w:eastAsia="仿宋" w:cs="仿宋" w:hAnsi="仿宋" w:hint="eastAsia"/>
                <w:b/>
                <w:bCs/>
                <w:color w:val="000000"/>
                <w:kern w:val="0"/>
                <w:sz w:val="21"/>
                <w:szCs w:val="21"/>
              </w:rPr>
              <w:t>指标</w:t>
            </w:r>
            <w:r>
              <w:rPr>
                <w:rFonts w:ascii="仿宋" w:eastAsia="仿宋" w:cs="仿宋" w:hAnsi="仿宋" w:hint="eastAsia"/>
                <w:b/>
                <w:bCs/>
                <w:color w:val="000000"/>
                <w:kern w:val="0"/>
                <w:sz w:val="21"/>
                <w:szCs w:val="21"/>
                <w:lang w:val="en-US" w:eastAsia="zh-CN"/>
              </w:rPr>
              <w:t>（90分）</w:t>
            </w:r>
          </w:p>
        </w:tc>
        <w:tc>
          <w:tcPr>
            <w:tcW w:w="851"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一级指标</w:t>
            </w:r>
          </w:p>
        </w:tc>
        <w:tc>
          <w:tcPr>
            <w:tcW w:w="770"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二级指标</w:t>
            </w:r>
          </w:p>
        </w:tc>
        <w:tc>
          <w:tcPr>
            <w:tcW w:w="1603" w:type="dxa"/>
            <w:gridSpan w:val="2"/>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三级指标</w:t>
            </w:r>
          </w:p>
        </w:tc>
        <w:tc>
          <w:tcPr>
            <w:tcW w:w="1487"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年度</w:t>
            </w:r>
          </w:p>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指标值</w:t>
            </w:r>
          </w:p>
        </w:tc>
        <w:tc>
          <w:tcPr>
            <w:tcW w:w="163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实际完成值</w:t>
            </w:r>
          </w:p>
        </w:tc>
        <w:tc>
          <w:tcPr>
            <w:tcW w:w="82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分值</w:t>
            </w:r>
          </w:p>
        </w:tc>
        <w:tc>
          <w:tcPr>
            <w:tcW w:w="145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得分</w:t>
            </w:r>
          </w:p>
        </w:tc>
        <w:tc>
          <w:tcPr>
            <w:tcW w:w="1073"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偏差原因</w:t>
            </w:r>
          </w:p>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分析及</w:t>
            </w:r>
          </w:p>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改进措施</w:t>
            </w:r>
          </w:p>
        </w:tc>
      </w:tr>
      <w:tr>
        <w:trPr>
          <w:trHeight w:val="486"/>
        </w:trPr>
        <w:tc>
          <w:tcPr>
            <w:tcW w:w="716" w:type="dxa"/>
            <w:gridSpan w:val="2"/>
            <w:vMerge/>
            <w:tcBorders>
              <w:top w:val="single" w:sz="4" w:space="0" w:color="auto"/>
              <w:left w:val="single" w:sz="4" w:space="0" w:color="auto"/>
              <w:bottom w:val="single" w:sz="4" w:space="0" w:color="auto"/>
              <w:right w:val="single" w:sz="4" w:space="0" w:color="auto"/>
            </w:tcBorders>
            <w:vAlign w:val="center"/>
          </w:tcPr>
          <w:p/>
        </w:tc>
        <w:tc>
          <w:tcPr>
            <w:tcW w:w="851" w:type="dxa"/>
            <w:vMerge w:val="restart"/>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产出指标</w:t>
            </w:r>
            <w:r>
              <w:rPr>
                <w:rFonts w:ascii="仿宋" w:eastAsia="仿宋" w:cs="仿宋" w:hAnsi="仿宋" w:hint="eastAsia"/>
                <w:color w:val="000000"/>
                <w:kern w:val="0"/>
                <w:sz w:val="21"/>
                <w:szCs w:val="21"/>
                <w:lang w:eastAsia="zh-CN"/>
              </w:rPr>
              <w:t>（</w:t>
            </w:r>
            <w:r>
              <w:rPr>
                <w:rFonts w:ascii="仿宋" w:eastAsia="仿宋" w:cs="仿宋" w:hAnsi="仿宋" w:hint="eastAsia"/>
                <w:color w:val="000000"/>
                <w:kern w:val="0"/>
                <w:sz w:val="21"/>
                <w:szCs w:val="21"/>
              </w:rPr>
              <w:t>50分）</w:t>
            </w:r>
          </w:p>
        </w:tc>
        <w:tc>
          <w:tcPr>
            <w:tcW w:w="770" w:type="dxa"/>
            <w:vMerge w:val="restart"/>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数量   指标</w:t>
            </w:r>
          </w:p>
          <w:p>
            <w:pPr>
              <w:spacing w:line="220" w:lineRule="exact"/>
              <w:jc w:val="center"/>
              <w:rPr>
                <w:rFonts w:ascii="仿宋" w:eastAsia="仿宋" w:cs="仿宋" w:hAnsi="仿宋" w:hint="eastAsia"/>
                <w:color w:val="000000"/>
                <w:kern w:val="0"/>
                <w:sz w:val="21"/>
                <w:szCs w:val="21"/>
              </w:rPr>
            </w:pPr>
          </w:p>
        </w:tc>
        <w:tc>
          <w:tcPr>
            <w:tcW w:w="1603" w:type="dxa"/>
            <w:gridSpan w:val="2"/>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color w:val="000000"/>
                <w:kern w:val="0"/>
                <w:szCs w:val="21"/>
              </w:rPr>
              <w:t>组织召开政协全会</w:t>
            </w:r>
          </w:p>
        </w:tc>
        <w:tc>
          <w:tcPr>
            <w:tcW w:w="1487" w:type="dxa"/>
            <w:tcBorders>
              <w:top w:val="single" w:sz="4" w:space="0" w:color="auto"/>
              <w:left w:val="nil"/>
              <w:bottom w:val="single" w:sz="4" w:space="0" w:color="auto"/>
              <w:right w:val="single" w:sz="4" w:space="0" w:color="auto"/>
            </w:tcBorders>
            <w:vAlign w:val="center"/>
          </w:tcPr>
          <w:p>
            <w:pPr>
              <w:spacing w:line="240" w:lineRule="exact"/>
              <w:rPr>
                <w:rFonts w:ascii="仿宋" w:eastAsia="仿宋" w:cs="仿宋" w:hAnsi="仿宋" w:hint="eastAsia"/>
                <w:sz w:val="20"/>
                <w:szCs w:val="20"/>
              </w:rPr>
            </w:pPr>
            <w:r>
              <w:rPr>
                <w:rFonts w:ascii="仿宋" w:eastAsia="仿宋" w:cs="仿宋" w:hAnsi="仿宋" w:hint="eastAsia"/>
                <w:szCs w:val="21"/>
              </w:rPr>
              <w:t>达标</w:t>
            </w:r>
          </w:p>
        </w:tc>
        <w:tc>
          <w:tcPr>
            <w:tcW w:w="1635" w:type="dxa"/>
            <w:tcBorders>
              <w:top w:val="single" w:sz="4" w:space="0" w:color="auto"/>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Cs w:val="21"/>
              </w:rPr>
              <w:t xml:space="preserve">规范 </w:t>
            </w:r>
          </w:p>
        </w:tc>
        <w:tc>
          <w:tcPr>
            <w:tcW w:w="82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Cs w:val="21"/>
              </w:rPr>
              <w:t>5</w:t>
            </w:r>
          </w:p>
        </w:tc>
        <w:tc>
          <w:tcPr>
            <w:tcW w:w="145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Cs w:val="21"/>
              </w:rPr>
              <w:t>4</w:t>
            </w:r>
          </w:p>
        </w:tc>
        <w:tc>
          <w:tcPr>
            <w:tcW w:w="1073"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460"/>
        </w:trPr>
        <w:tc>
          <w:tcPr>
            <w:tcW w:w="716" w:type="dxa"/>
            <w:gridSpan w:val="2"/>
            <w:vMerge/>
            <w:tcBorders>
              <w:top w:val="single" w:sz="4" w:space="0" w:color="auto"/>
              <w:left w:val="single" w:sz="4" w:space="0" w:color="auto"/>
              <w:bottom w:val="single" w:sz="4" w:space="0" w:color="auto"/>
              <w:right w:val="single" w:sz="4" w:space="0" w:color="auto"/>
            </w:tcBorders>
            <w:vAlign w:val="center"/>
          </w:tcPr>
          <w:p/>
        </w:tc>
        <w:tc>
          <w:tcPr>
            <w:tcW w:w="851" w:type="dxa"/>
            <w:vMerge/>
            <w:tcBorders>
              <w:top w:val="single" w:sz="4" w:space="0" w:color="auto"/>
              <w:left w:val="nil"/>
              <w:bottom w:val="single" w:sz="4" w:space="0" w:color="auto"/>
              <w:right w:val="single" w:sz="4" w:space="0" w:color="auto"/>
            </w:tcBorders>
            <w:vAlign w:val="center"/>
          </w:tcPr>
          <w:p/>
        </w:tc>
        <w:tc>
          <w:tcPr>
            <w:tcW w:w="770" w:type="dxa"/>
            <w:vMerge/>
            <w:tcBorders>
              <w:top w:val="single" w:sz="4" w:space="0" w:color="auto"/>
              <w:left w:val="nil"/>
              <w:bottom w:val="single" w:sz="4" w:space="0" w:color="auto"/>
              <w:right w:val="single" w:sz="4" w:space="0" w:color="auto"/>
            </w:tcBorders>
            <w:vAlign w:val="center"/>
          </w:tcPr>
          <w:p/>
        </w:tc>
        <w:tc>
          <w:tcPr>
            <w:tcW w:w="1603" w:type="dxa"/>
            <w:gridSpan w:val="2"/>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color w:val="000000"/>
                <w:kern w:val="0"/>
                <w:szCs w:val="21"/>
              </w:rPr>
              <w:t>开展委员履职能力培训</w:t>
            </w:r>
          </w:p>
        </w:tc>
        <w:tc>
          <w:tcPr>
            <w:tcW w:w="1487" w:type="dxa"/>
            <w:tcBorders>
              <w:top w:val="single" w:sz="4" w:space="0" w:color="auto"/>
              <w:left w:val="nil"/>
              <w:bottom w:val="single" w:sz="4" w:space="0" w:color="auto"/>
              <w:right w:val="single" w:sz="4" w:space="0" w:color="auto"/>
            </w:tcBorders>
            <w:vAlign w:val="center"/>
          </w:tcPr>
          <w:p>
            <w:pPr>
              <w:spacing w:line="240" w:lineRule="exact"/>
              <w:rPr>
                <w:rFonts w:ascii="仿宋" w:eastAsia="仿宋" w:cs="仿宋" w:hAnsi="仿宋" w:hint="eastAsia"/>
                <w:sz w:val="20"/>
                <w:szCs w:val="20"/>
              </w:rPr>
            </w:pPr>
            <w:r>
              <w:rPr>
                <w:rFonts w:ascii="仿宋" w:eastAsia="仿宋" w:cs="仿宋" w:hAnsi="仿宋" w:hint="eastAsia"/>
                <w:szCs w:val="21"/>
              </w:rPr>
              <w:t>达标</w:t>
            </w:r>
          </w:p>
        </w:tc>
        <w:tc>
          <w:tcPr>
            <w:tcW w:w="1635" w:type="dxa"/>
            <w:tcBorders>
              <w:top w:val="single" w:sz="4" w:space="0" w:color="auto"/>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Cs w:val="21"/>
              </w:rPr>
              <w:t>完成</w:t>
            </w:r>
          </w:p>
        </w:tc>
        <w:tc>
          <w:tcPr>
            <w:tcW w:w="82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10</w:t>
            </w:r>
          </w:p>
        </w:tc>
        <w:tc>
          <w:tcPr>
            <w:tcW w:w="145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9</w:t>
            </w:r>
          </w:p>
        </w:tc>
        <w:tc>
          <w:tcPr>
            <w:tcW w:w="1073"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510"/>
        </w:trPr>
        <w:tc>
          <w:tcPr>
            <w:tcW w:w="716" w:type="dxa"/>
            <w:gridSpan w:val="2"/>
            <w:vMerge/>
            <w:tcBorders>
              <w:top w:val="single" w:sz="4" w:space="0" w:color="auto"/>
              <w:left w:val="single" w:sz="4" w:space="0" w:color="auto"/>
              <w:bottom w:val="single" w:sz="4" w:space="0" w:color="000000"/>
              <w:right w:val="single" w:sz="4" w:space="0" w:color="auto"/>
            </w:tcBorders>
            <w:vAlign w:val="center"/>
          </w:tcPr>
          <w:p/>
        </w:tc>
        <w:tc>
          <w:tcPr>
            <w:tcW w:w="851" w:type="dxa"/>
            <w:vMerge/>
            <w:tcBorders>
              <w:top w:val="single" w:sz="4" w:space="0" w:color="auto"/>
              <w:left w:val="nil"/>
              <w:bottom w:val="single" w:sz="4" w:space="0" w:color="000000"/>
              <w:right w:val="single" w:sz="4" w:space="0" w:color="auto"/>
            </w:tcBorders>
            <w:vAlign w:val="center"/>
          </w:tcPr>
          <w:p/>
        </w:tc>
        <w:tc>
          <w:tcPr>
            <w:tcW w:w="770" w:type="dxa"/>
            <w:vMerge w:val="restart"/>
            <w:tcBorders>
              <w:top w:val="single" w:sz="4" w:space="0" w:color="auto"/>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质量   指标</w:t>
            </w:r>
          </w:p>
        </w:tc>
        <w:tc>
          <w:tcPr>
            <w:tcW w:w="1603" w:type="dxa"/>
            <w:gridSpan w:val="2"/>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指导全县各委员工作室开展工作</w:t>
            </w:r>
          </w:p>
        </w:tc>
        <w:tc>
          <w:tcPr>
            <w:tcW w:w="1487" w:type="dxa"/>
            <w:tcBorders>
              <w:top w:val="single" w:sz="4" w:space="0" w:color="auto"/>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达标</w:t>
            </w:r>
          </w:p>
        </w:tc>
        <w:tc>
          <w:tcPr>
            <w:tcW w:w="1635" w:type="dxa"/>
            <w:tcBorders>
              <w:top w:val="single" w:sz="4" w:space="0" w:color="auto"/>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Cs w:val="21"/>
              </w:rPr>
              <w:t>完成</w:t>
            </w:r>
          </w:p>
        </w:tc>
        <w:tc>
          <w:tcPr>
            <w:tcW w:w="82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5</w:t>
            </w:r>
          </w:p>
        </w:tc>
        <w:tc>
          <w:tcPr>
            <w:tcW w:w="145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4</w:t>
            </w:r>
          </w:p>
        </w:tc>
        <w:tc>
          <w:tcPr>
            <w:tcW w:w="1073"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475"/>
        </w:trPr>
        <w:tc>
          <w:tcPr>
            <w:tcW w:w="716" w:type="dxa"/>
            <w:gridSpan w:val="2"/>
            <w:vMerge/>
            <w:tcBorders>
              <w:top w:val="single" w:sz="4" w:space="0" w:color="000000"/>
              <w:left w:val="single" w:sz="4" w:space="0" w:color="auto"/>
              <w:bottom w:val="single" w:sz="4" w:space="0" w:color="000000"/>
              <w:right w:val="single" w:sz="4" w:space="0" w:color="auto"/>
            </w:tcBorders>
            <w:vAlign w:val="center"/>
          </w:tcPr>
          <w:p/>
        </w:tc>
        <w:tc>
          <w:tcPr>
            <w:tcW w:w="851" w:type="dxa"/>
            <w:vMerge/>
            <w:tcBorders>
              <w:top w:val="single" w:sz="4" w:space="0" w:color="000000"/>
              <w:left w:val="nil"/>
              <w:bottom w:val="single" w:sz="4" w:space="0" w:color="000000"/>
              <w:right w:val="single" w:sz="4" w:space="0" w:color="auto"/>
            </w:tcBorders>
            <w:vAlign w:val="center"/>
          </w:tcPr>
          <w:p/>
        </w:tc>
        <w:tc>
          <w:tcPr>
            <w:tcW w:w="770" w:type="dxa"/>
            <w:vMerge/>
            <w:tcBorders>
              <w:top w:val="single" w:sz="4" w:space="0" w:color="000000"/>
              <w:left w:val="nil"/>
              <w:bottom w:val="single" w:sz="4" w:space="0" w:color="000000"/>
              <w:right w:val="single" w:sz="4" w:space="0" w:color="auto"/>
            </w:tcBorders>
            <w:vAlign w:val="center"/>
          </w:tcPr>
          <w:p/>
        </w:tc>
        <w:tc>
          <w:tcPr>
            <w:tcW w:w="1603" w:type="dxa"/>
            <w:gridSpan w:val="2"/>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财政资金使用合规性</w:t>
            </w:r>
          </w:p>
        </w:tc>
        <w:tc>
          <w:tcPr>
            <w:tcW w:w="1487" w:type="dxa"/>
            <w:tcBorders>
              <w:top w:val="single" w:sz="4" w:space="0" w:color="auto"/>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color w:val="000000"/>
                <w:kern w:val="0"/>
                <w:szCs w:val="21"/>
              </w:rPr>
              <w:t>规范预算开支，符合国家财经法规和单位财务管理制度规定</w:t>
            </w:r>
          </w:p>
        </w:tc>
        <w:tc>
          <w:tcPr>
            <w:tcW w:w="1635" w:type="dxa"/>
            <w:tcBorders>
              <w:top w:val="single" w:sz="4" w:space="0" w:color="auto"/>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Cs w:val="21"/>
              </w:rPr>
              <w:t>无政策依据的经费不予支出。</w:t>
            </w:r>
          </w:p>
        </w:tc>
        <w:tc>
          <w:tcPr>
            <w:tcW w:w="82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5</w:t>
            </w:r>
          </w:p>
        </w:tc>
        <w:tc>
          <w:tcPr>
            <w:tcW w:w="145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5</w:t>
            </w:r>
          </w:p>
        </w:tc>
        <w:tc>
          <w:tcPr>
            <w:tcW w:w="1073"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510"/>
        </w:trPr>
        <w:tc>
          <w:tcPr>
            <w:tcW w:w="716" w:type="dxa"/>
            <w:gridSpan w:val="2"/>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nil"/>
              <w:bottom w:val="single" w:sz="4" w:space="0" w:color="auto"/>
              <w:right w:val="single" w:sz="4" w:space="0" w:color="auto"/>
            </w:tcBorders>
            <w:vAlign w:val="center"/>
          </w:tcPr>
          <w:p/>
        </w:tc>
        <w:tc>
          <w:tcPr>
            <w:tcW w:w="770" w:type="dxa"/>
            <w:tcBorders>
              <w:top w:val="single" w:sz="4" w:space="0" w:color="000000"/>
              <w:left w:val="nil"/>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时效指标</w:t>
            </w:r>
          </w:p>
        </w:tc>
        <w:tc>
          <w:tcPr>
            <w:tcW w:w="1603" w:type="dxa"/>
            <w:gridSpan w:val="2"/>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 w:val="21"/>
                <w:szCs w:val="21"/>
                <w:lang w:val="en-US" w:eastAsia="zh-CN" w:bidi="ar-SA"/>
              </w:rPr>
            </w:pPr>
            <w:r>
              <w:rPr>
                <w:rFonts w:ascii="仿宋" w:eastAsia="仿宋" w:cs="仿宋" w:hAnsi="仿宋" w:hint="eastAsia"/>
                <w:color w:val="000000"/>
                <w:kern w:val="0"/>
                <w:szCs w:val="21"/>
              </w:rPr>
              <w:t>工作效率</w:t>
            </w:r>
          </w:p>
        </w:tc>
        <w:tc>
          <w:tcPr>
            <w:tcW w:w="1487" w:type="dxa"/>
            <w:tcBorders>
              <w:top w:val="nil"/>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lang w:val="en-US" w:eastAsia="zh-CN" w:bidi="ar-SA"/>
              </w:rPr>
            </w:pPr>
            <w:r>
              <w:rPr>
                <w:rFonts w:ascii="仿宋" w:eastAsia="仿宋" w:cs="仿宋" w:hAnsi="仿宋" w:hint="eastAsia"/>
                <w:color w:val="000000"/>
                <w:kern w:val="0"/>
                <w:szCs w:val="21"/>
              </w:rPr>
              <w:t>完成全年任务考核</w:t>
            </w:r>
          </w:p>
        </w:tc>
        <w:tc>
          <w:tcPr>
            <w:tcW w:w="1635" w:type="dxa"/>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lang w:val="en-US" w:eastAsia="zh-CN" w:bidi="ar-SA"/>
              </w:rPr>
            </w:pPr>
            <w:r>
              <w:rPr>
                <w:rFonts w:ascii="仿宋" w:eastAsia="仿宋" w:cs="仿宋" w:hAnsi="仿宋" w:hint="eastAsia"/>
                <w:color w:val="000000"/>
                <w:kern w:val="0"/>
                <w:szCs w:val="21"/>
              </w:rPr>
              <w:t>完成</w:t>
            </w:r>
          </w:p>
        </w:tc>
        <w:tc>
          <w:tcPr>
            <w:tcW w:w="825"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lang w:val="en-US" w:eastAsia="zh-CN" w:bidi="ar-SA"/>
              </w:rPr>
            </w:pPr>
            <w:r>
              <w:rPr>
                <w:rFonts w:ascii="仿宋" w:eastAsia="仿宋" w:cs="仿宋" w:hAnsi="仿宋"/>
                <w:color w:val="000000"/>
                <w:kern w:val="0"/>
                <w:szCs w:val="21"/>
              </w:rPr>
              <w:t>5</w:t>
            </w:r>
          </w:p>
        </w:tc>
        <w:tc>
          <w:tcPr>
            <w:tcW w:w="1455"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lang w:val="en-US" w:eastAsia="zh-CN" w:bidi="ar-SA"/>
              </w:rPr>
            </w:pPr>
            <w:r>
              <w:rPr>
                <w:rFonts w:ascii="仿宋" w:eastAsia="仿宋" w:cs="仿宋" w:hAnsi="仿宋"/>
                <w:color w:val="000000"/>
                <w:kern w:val="0"/>
                <w:szCs w:val="21"/>
              </w:rPr>
              <w:t>4</w:t>
            </w:r>
          </w:p>
        </w:tc>
        <w:tc>
          <w:tcPr>
            <w:tcW w:w="1073"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lang w:val="en-US" w:eastAsia="zh-CN" w:bidi="ar-SA"/>
              </w:rPr>
            </w:pPr>
          </w:p>
        </w:tc>
      </w:tr>
      <w:tr>
        <w:trPr>
          <w:trHeight w:val="510"/>
        </w:trPr>
        <w:tc>
          <w:tcPr>
            <w:tcW w:w="716" w:type="dxa"/>
            <w:gridSpan w:val="2"/>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nil"/>
              <w:bottom w:val="single" w:sz="4" w:space="0" w:color="auto"/>
              <w:right w:val="single" w:sz="4" w:space="0" w:color="auto"/>
            </w:tcBorders>
            <w:vAlign w:val="center"/>
          </w:tcPr>
          <w:p/>
        </w:tc>
        <w:tc>
          <w:tcPr>
            <w:tcW w:w="770" w:type="dxa"/>
            <w:vMerge w:val="restart"/>
            <w:tcBorders>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成本指标</w:t>
            </w:r>
          </w:p>
        </w:tc>
        <w:tc>
          <w:tcPr>
            <w:tcW w:w="1603" w:type="dxa"/>
            <w:gridSpan w:val="2"/>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 w:val="21"/>
                <w:szCs w:val="21"/>
                <w:lang w:val="en-US" w:eastAsia="zh-CN" w:bidi="ar-SA"/>
              </w:rPr>
            </w:pPr>
            <w:r>
              <w:rPr>
                <w:rFonts w:ascii="仿宋" w:eastAsia="仿宋" w:cs="仿宋" w:hAnsi="仿宋" w:hint="eastAsia"/>
                <w:color w:val="000000"/>
                <w:kern w:val="0"/>
                <w:szCs w:val="21"/>
              </w:rPr>
              <w:t>工作有效性及安全性</w:t>
            </w:r>
          </w:p>
        </w:tc>
        <w:tc>
          <w:tcPr>
            <w:tcW w:w="1487" w:type="dxa"/>
            <w:tcBorders>
              <w:top w:val="nil"/>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lang w:val="en-US" w:eastAsia="zh-CN" w:bidi="ar-SA"/>
              </w:rPr>
            </w:pPr>
            <w:r>
              <w:rPr>
                <w:rFonts w:ascii="仿宋" w:eastAsia="仿宋" w:cs="仿宋" w:hAnsi="仿宋" w:hint="eastAsia"/>
                <w:color w:val="000000"/>
                <w:kern w:val="0"/>
                <w:szCs w:val="21"/>
              </w:rPr>
              <w:t>不得出现重大事故及投诉</w:t>
            </w:r>
          </w:p>
        </w:tc>
        <w:tc>
          <w:tcPr>
            <w:tcW w:w="1635" w:type="dxa"/>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lang w:val="en-US" w:eastAsia="zh-CN" w:bidi="ar-SA"/>
              </w:rPr>
            </w:pPr>
            <w:r>
              <w:rPr>
                <w:rFonts w:ascii="仿宋" w:eastAsia="仿宋" w:cs="仿宋" w:hAnsi="仿宋" w:hint="eastAsia"/>
                <w:color w:val="000000"/>
                <w:kern w:val="0"/>
                <w:szCs w:val="21"/>
              </w:rPr>
              <w:t>零故障零投诉</w:t>
            </w:r>
          </w:p>
        </w:tc>
        <w:tc>
          <w:tcPr>
            <w:tcW w:w="825"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lang w:val="en-US" w:eastAsia="zh-CN" w:bidi="ar-SA"/>
              </w:rPr>
            </w:pPr>
            <w:r>
              <w:rPr>
                <w:rFonts w:ascii="仿宋" w:eastAsia="仿宋" w:cs="仿宋" w:hAnsi="仿宋" w:hint="eastAsia"/>
                <w:color w:val="000000"/>
                <w:kern w:val="0"/>
                <w:szCs w:val="21"/>
              </w:rPr>
              <w:t>5</w:t>
            </w:r>
          </w:p>
        </w:tc>
        <w:tc>
          <w:tcPr>
            <w:tcW w:w="1455"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lang w:val="en-US" w:eastAsia="zh-CN" w:bidi="ar-SA"/>
              </w:rPr>
            </w:pPr>
            <w:r>
              <w:rPr>
                <w:rFonts w:ascii="仿宋" w:eastAsia="仿宋" w:cs="仿宋" w:hAnsi="仿宋" w:hint="eastAsia"/>
                <w:color w:val="000000"/>
                <w:kern w:val="0"/>
                <w:szCs w:val="21"/>
              </w:rPr>
              <w:t>5</w:t>
            </w:r>
          </w:p>
        </w:tc>
        <w:tc>
          <w:tcPr>
            <w:tcW w:w="1073"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lang w:val="en-US" w:eastAsia="zh-CN" w:bidi="ar-SA"/>
              </w:rPr>
            </w:pPr>
          </w:p>
        </w:tc>
      </w:tr>
      <w:tr>
        <w:trPr>
          <w:trHeight w:val="490"/>
        </w:trPr>
        <w:tc>
          <w:tcPr>
            <w:tcW w:w="716" w:type="dxa"/>
            <w:gridSpan w:val="2"/>
            <w:vMerge/>
            <w:tcBorders>
              <w:left w:val="single" w:sz="4" w:space="0" w:color="auto"/>
              <w:bottom w:val="single" w:sz="4" w:space="0" w:color="auto"/>
              <w:right w:val="single" w:sz="4" w:space="0" w:color="auto"/>
            </w:tcBorders>
            <w:vAlign w:val="center"/>
          </w:tcPr>
          <w:p/>
        </w:tc>
        <w:tc>
          <w:tcPr>
            <w:tcW w:w="851" w:type="dxa"/>
            <w:vMerge/>
            <w:tcBorders>
              <w:left w:val="nil"/>
              <w:bottom w:val="single" w:sz="4" w:space="0" w:color="auto"/>
              <w:right w:val="single" w:sz="4" w:space="0" w:color="auto"/>
            </w:tcBorders>
            <w:vAlign w:val="center"/>
          </w:tcPr>
          <w:p/>
        </w:tc>
        <w:tc>
          <w:tcPr>
            <w:tcW w:w="770" w:type="dxa"/>
            <w:vMerge/>
            <w:tcBorders>
              <w:top w:val="single" w:sz="4" w:space="0" w:color="auto"/>
              <w:left w:val="nil"/>
              <w:bottom w:val="single" w:sz="4" w:space="0" w:color="auto"/>
              <w:right w:val="single" w:sz="4" w:space="0" w:color="auto"/>
            </w:tcBorders>
            <w:vAlign w:val="center"/>
          </w:tcPr>
          <w:p/>
        </w:tc>
        <w:tc>
          <w:tcPr>
            <w:tcW w:w="1603" w:type="dxa"/>
            <w:gridSpan w:val="2"/>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szCs w:val="21"/>
              </w:rPr>
              <w:t>降低行政成本</w:t>
            </w:r>
          </w:p>
        </w:tc>
        <w:tc>
          <w:tcPr>
            <w:tcW w:w="1487" w:type="dxa"/>
            <w:tcBorders>
              <w:top w:val="nil"/>
              <w:left w:val="nil"/>
              <w:bottom w:val="single" w:sz="4" w:space="0" w:color="auto"/>
              <w:right w:val="single" w:sz="4" w:space="0" w:color="auto"/>
            </w:tcBorders>
            <w:vAlign w:val="center"/>
          </w:tcPr>
          <w:p>
            <w:pPr>
              <w:spacing w:line="240" w:lineRule="exact"/>
              <w:rPr>
                <w:rFonts w:ascii="仿宋" w:eastAsia="仿宋" w:cs="仿宋" w:hAnsi="仿宋" w:hint="eastAsia"/>
                <w:sz w:val="20"/>
                <w:szCs w:val="20"/>
              </w:rPr>
            </w:pPr>
            <w:r>
              <w:rPr>
                <w:rFonts w:ascii="仿宋" w:eastAsia="仿宋" w:cs="仿宋" w:hAnsi="仿宋" w:hint="eastAsia"/>
                <w:szCs w:val="21"/>
              </w:rPr>
              <w:t>不超全年预算</w:t>
            </w:r>
          </w:p>
        </w:tc>
        <w:tc>
          <w:tcPr>
            <w:tcW w:w="1635" w:type="dxa"/>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Cs w:val="21"/>
              </w:rPr>
              <w:t>未超全年预算</w:t>
            </w:r>
          </w:p>
        </w:tc>
        <w:tc>
          <w:tcPr>
            <w:tcW w:w="825"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5</w:t>
            </w:r>
          </w:p>
        </w:tc>
        <w:tc>
          <w:tcPr>
            <w:tcW w:w="1455"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5</w:t>
            </w:r>
          </w:p>
        </w:tc>
        <w:tc>
          <w:tcPr>
            <w:tcW w:w="1073"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530"/>
        </w:trPr>
        <w:tc>
          <w:tcPr>
            <w:tcW w:w="716" w:type="dxa"/>
            <w:gridSpan w:val="2"/>
            <w:vMerge/>
            <w:tcBorders>
              <w:left w:val="single" w:sz="4" w:space="0" w:color="auto"/>
              <w:bottom w:val="single" w:sz="4" w:space="0" w:color="000000"/>
              <w:right w:val="single" w:sz="4" w:space="0" w:color="auto"/>
            </w:tcBorders>
            <w:vAlign w:val="center"/>
          </w:tcPr>
          <w:p/>
        </w:tc>
        <w:tc>
          <w:tcPr>
            <w:tcW w:w="851" w:type="dxa"/>
            <w:vMerge/>
            <w:tcBorders>
              <w:left w:val="nil"/>
              <w:bottom w:val="single" w:sz="4" w:space="0" w:color="000000"/>
              <w:right w:val="single" w:sz="4" w:space="0" w:color="auto"/>
            </w:tcBorders>
            <w:vAlign w:val="center"/>
          </w:tcPr>
          <w:p/>
        </w:tc>
        <w:tc>
          <w:tcPr>
            <w:tcW w:w="770" w:type="dxa"/>
            <w:tcBorders>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数量   指标</w:t>
            </w:r>
          </w:p>
          <w:p>
            <w:pPr>
              <w:spacing w:line="220" w:lineRule="exact"/>
              <w:jc w:val="center"/>
              <w:rPr>
                <w:rFonts w:ascii="仿宋" w:eastAsia="仿宋" w:cs="仿宋" w:hAnsi="仿宋" w:hint="eastAsia"/>
                <w:color w:val="000000"/>
                <w:kern w:val="0"/>
                <w:sz w:val="21"/>
                <w:szCs w:val="21"/>
              </w:rPr>
            </w:pPr>
          </w:p>
        </w:tc>
        <w:tc>
          <w:tcPr>
            <w:tcW w:w="1603" w:type="dxa"/>
            <w:gridSpan w:val="2"/>
            <w:tcBorders>
              <w:top w:val="nil"/>
              <w:left w:val="nil"/>
              <w:bottom w:val="single" w:sz="4" w:space="0" w:color="000000"/>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color w:val="000000"/>
                <w:kern w:val="0"/>
                <w:szCs w:val="21"/>
              </w:rPr>
              <w:t>组织召开政协全会</w:t>
            </w:r>
          </w:p>
        </w:tc>
        <w:tc>
          <w:tcPr>
            <w:tcW w:w="1487" w:type="dxa"/>
            <w:tcBorders>
              <w:top w:val="nil"/>
              <w:left w:val="nil"/>
              <w:bottom w:val="single" w:sz="4" w:space="0" w:color="000000"/>
              <w:right w:val="single" w:sz="4" w:space="0" w:color="auto"/>
            </w:tcBorders>
            <w:vAlign w:val="center"/>
          </w:tcPr>
          <w:p>
            <w:pPr>
              <w:spacing w:line="240" w:lineRule="exact"/>
              <w:rPr>
                <w:rFonts w:ascii="仿宋" w:eastAsia="仿宋" w:cs="仿宋" w:hAnsi="仿宋" w:hint="eastAsia"/>
                <w:sz w:val="20"/>
                <w:szCs w:val="20"/>
              </w:rPr>
            </w:pPr>
            <w:r>
              <w:rPr>
                <w:rFonts w:ascii="仿宋" w:eastAsia="仿宋" w:cs="仿宋" w:hAnsi="仿宋" w:hint="eastAsia"/>
                <w:szCs w:val="21"/>
              </w:rPr>
              <w:t>达标</w:t>
            </w:r>
          </w:p>
        </w:tc>
        <w:tc>
          <w:tcPr>
            <w:tcW w:w="1635" w:type="dxa"/>
            <w:tcBorders>
              <w:top w:val="nil"/>
              <w:left w:val="nil"/>
              <w:bottom w:val="single" w:sz="4" w:space="0" w:color="000000"/>
              <w:right w:val="single" w:sz="4" w:space="0" w:color="auto"/>
            </w:tcBorders>
            <w:vAlign w:val="center"/>
          </w:tcPr>
          <w:p>
            <w:pPr>
              <w:widowControl/>
              <w:spacing w:line="220" w:lineRule="exact"/>
              <w:jc w:val="left"/>
              <w:rPr>
                <w:rFonts w:ascii="仿宋" w:eastAsia="仿宋" w:cs="仿宋" w:hAnsi="仿宋" w:hint="eastAsia"/>
                <w:sz w:val="20"/>
                <w:szCs w:val="20"/>
              </w:rPr>
            </w:pPr>
            <w:r>
              <w:rPr>
                <w:rFonts w:ascii="仿宋" w:eastAsia="仿宋" w:cs="仿宋" w:hAnsi="仿宋" w:hint="eastAsia"/>
                <w:color w:val="000000"/>
                <w:kern w:val="0"/>
                <w:szCs w:val="21"/>
              </w:rPr>
              <w:t xml:space="preserve">规范 </w:t>
            </w:r>
          </w:p>
        </w:tc>
        <w:tc>
          <w:tcPr>
            <w:tcW w:w="825" w:type="dxa"/>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10</w:t>
            </w:r>
          </w:p>
        </w:tc>
        <w:tc>
          <w:tcPr>
            <w:tcW w:w="1455" w:type="dxa"/>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9</w:t>
            </w:r>
          </w:p>
        </w:tc>
        <w:tc>
          <w:tcPr>
            <w:tcW w:w="1073" w:type="dxa"/>
            <w:tcBorders>
              <w:top w:val="nil"/>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645"/>
        </w:trPr>
        <w:tc>
          <w:tcPr>
            <w:tcW w:w="716" w:type="dxa"/>
            <w:gridSpan w:val="2"/>
            <w:vMerge/>
            <w:tcBorders>
              <w:top w:val="single" w:sz="4" w:space="0" w:color="000000"/>
              <w:left w:val="single" w:sz="4" w:space="0" w:color="auto"/>
              <w:bottom w:val="single" w:sz="4" w:space="0" w:color="000000"/>
              <w:right w:val="single" w:sz="4" w:space="0" w:color="auto"/>
            </w:tcBorders>
            <w:vAlign w:val="center"/>
          </w:tcPr>
          <w:p/>
        </w:tc>
        <w:tc>
          <w:tcPr>
            <w:tcW w:w="851" w:type="dxa"/>
            <w:vMerge w:val="restart"/>
            <w:tcBorders>
              <w:top w:val="single" w:sz="4" w:space="0" w:color="000000"/>
              <w:left w:val="single" w:sz="4" w:space="0" w:color="auto"/>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效益指标（30分）</w:t>
            </w: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spacing w:line="220" w:lineRule="exact"/>
              <w:jc w:val="left"/>
              <w:rPr>
                <w:rFonts w:ascii="仿宋" w:eastAsia="仿宋" w:cs="仿宋" w:hAnsi="仿宋" w:hint="eastAsia"/>
                <w:color w:val="000000"/>
                <w:kern w:val="0"/>
                <w:sz w:val="21"/>
                <w:szCs w:val="21"/>
              </w:rPr>
            </w:pPr>
          </w:p>
        </w:tc>
        <w:tc>
          <w:tcPr>
            <w:tcW w:w="770" w:type="dxa"/>
            <w:vMerge w:val="restart"/>
            <w:tcBorders>
              <w:top w:val="single" w:sz="4" w:space="0" w:color="000000"/>
              <w:left w:val="single" w:sz="4" w:space="0" w:color="auto"/>
              <w:bottom w:val="single" w:sz="4" w:space="0" w:color="000000"/>
              <w:right w:val="single" w:sz="4" w:space="0" w:color="auto"/>
            </w:tcBorders>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经济效益指标</w:t>
            </w:r>
          </w:p>
        </w:tc>
        <w:tc>
          <w:tcPr>
            <w:tcW w:w="1603" w:type="dxa"/>
            <w:gridSpan w:val="2"/>
            <w:vMerge w:val="restart"/>
            <w:tcBorders>
              <w:top w:val="single" w:sz="4" w:space="0" w:color="000000"/>
              <w:left w:val="single" w:sz="4" w:space="0" w:color="auto"/>
              <w:bottom w:val="single" w:sz="4" w:space="0" w:color="000000"/>
              <w:right w:val="single" w:sz="4" w:space="0" w:color="auto"/>
            </w:tcBorders>
            <w:vAlign w:val="center"/>
          </w:tcPr>
          <w:p>
            <w:pPr>
              <w:widowControl/>
              <w:spacing w:line="220" w:lineRule="exact"/>
              <w:jc w:val="center"/>
              <w:rPr>
                <w:rFonts w:ascii="仿宋" w:eastAsia="仿宋" w:cs="仿宋" w:hAnsi="仿宋" w:hint="eastAsia"/>
                <w:sz w:val="20"/>
                <w:szCs w:val="20"/>
              </w:rPr>
            </w:pPr>
            <w:r>
              <w:rPr>
                <w:rFonts w:ascii="仿宋" w:eastAsia="仿宋" w:cs="仿宋" w:hAnsi="仿宋" w:hint="eastAsia"/>
                <w:color w:val="000000"/>
                <w:kern w:val="0"/>
                <w:szCs w:val="21"/>
              </w:rPr>
              <w:t>经济效益指标</w:t>
            </w:r>
          </w:p>
        </w:tc>
        <w:tc>
          <w:tcPr>
            <w:tcW w:w="1487" w:type="dxa"/>
            <w:tcBorders>
              <w:top w:val="single" w:sz="4" w:space="0" w:color="000000"/>
              <w:left w:val="nil"/>
              <w:bottom w:val="single" w:sz="4" w:space="0" w:color="000000"/>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szCs w:val="21"/>
              </w:rPr>
              <w:t>加强经费和资产管理</w:t>
            </w:r>
          </w:p>
        </w:tc>
        <w:tc>
          <w:tcPr>
            <w:tcW w:w="1635" w:type="dxa"/>
            <w:tcBorders>
              <w:top w:val="single" w:sz="4" w:space="0" w:color="000000"/>
              <w:left w:val="nil"/>
              <w:bottom w:val="single" w:sz="4" w:space="0" w:color="000000"/>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措施得力</w:t>
            </w:r>
          </w:p>
        </w:tc>
        <w:tc>
          <w:tcPr>
            <w:tcW w:w="825" w:type="dxa"/>
            <w:tcBorders>
              <w:top w:val="single" w:sz="4" w:space="0" w:color="000000"/>
              <w:left w:val="nil"/>
              <w:bottom w:val="single" w:sz="4" w:space="0" w:color="000000"/>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szCs w:val="21"/>
              </w:rPr>
              <w:t>效果良好</w:t>
            </w:r>
          </w:p>
        </w:tc>
        <w:tc>
          <w:tcPr>
            <w:tcW w:w="1455" w:type="dxa"/>
            <w:tcBorders>
              <w:top w:val="single" w:sz="4" w:space="0" w:color="000000"/>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Cs w:val="21"/>
              </w:rPr>
              <w:t>2</w:t>
            </w:r>
          </w:p>
        </w:tc>
        <w:tc>
          <w:tcPr>
            <w:tcW w:w="1073" w:type="dxa"/>
            <w:tcBorders>
              <w:top w:val="single" w:sz="4" w:space="0" w:color="000000"/>
              <w:left w:val="nil"/>
              <w:bottom w:val="single" w:sz="4" w:space="0" w:color="000000"/>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580"/>
        </w:trPr>
        <w:tc>
          <w:tcPr>
            <w:tcW w:w="716" w:type="dxa"/>
            <w:gridSpan w:val="2"/>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tcBorders>
              <w:top w:val="single" w:sz="4" w:space="0" w:color="000000"/>
              <w:left w:val="single" w:sz="4" w:space="0" w:color="auto"/>
              <w:bottom w:val="single" w:sz="4" w:space="0" w:color="auto"/>
              <w:right w:val="single" w:sz="4" w:space="0" w:color="auto"/>
            </w:tcBorders>
            <w:vAlign w:val="center"/>
          </w:tcPr>
          <w:p/>
        </w:tc>
        <w:tc>
          <w:tcPr>
            <w:tcW w:w="1603" w:type="dxa"/>
            <w:gridSpan w:val="2"/>
            <w:vMerge/>
            <w:tcBorders>
              <w:top w:val="single" w:sz="4" w:space="0" w:color="000000"/>
              <w:left w:val="nil"/>
              <w:bottom w:val="single" w:sz="4" w:space="0" w:color="auto"/>
              <w:right w:val="single" w:sz="4" w:space="0" w:color="auto"/>
            </w:tcBorders>
            <w:vAlign w:val="center"/>
          </w:tcPr>
          <w:p/>
        </w:tc>
        <w:tc>
          <w:tcPr>
            <w:tcW w:w="1487" w:type="dxa"/>
            <w:tcBorders>
              <w:top w:val="single" w:sz="4" w:space="0" w:color="000000"/>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助力乡村振兴</w:t>
            </w:r>
          </w:p>
        </w:tc>
        <w:tc>
          <w:tcPr>
            <w:tcW w:w="1635" w:type="dxa"/>
            <w:tcBorders>
              <w:top w:val="single" w:sz="4" w:space="0" w:color="000000"/>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较强</w:t>
            </w:r>
          </w:p>
        </w:tc>
        <w:tc>
          <w:tcPr>
            <w:tcW w:w="825" w:type="dxa"/>
            <w:tcBorders>
              <w:top w:val="single" w:sz="4" w:space="0" w:color="000000"/>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Cs w:val="21"/>
              </w:rPr>
              <w:t>较强</w:t>
            </w:r>
          </w:p>
        </w:tc>
        <w:tc>
          <w:tcPr>
            <w:tcW w:w="1455"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Cs w:val="21"/>
              </w:rPr>
              <w:t>2</w:t>
            </w:r>
          </w:p>
        </w:tc>
        <w:tc>
          <w:tcPr>
            <w:tcW w:w="1073"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550"/>
        </w:trPr>
        <w:tc>
          <w:tcPr>
            <w:tcW w:w="716" w:type="dxa"/>
            <w:gridSpan w:val="2"/>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val="restart"/>
            <w:tcBorders>
              <w:top w:val="single" w:sz="4" w:space="0" w:color="000000"/>
              <w:left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社会效益指标</w:t>
            </w:r>
          </w:p>
        </w:tc>
        <w:tc>
          <w:tcPr>
            <w:tcW w:w="1603" w:type="dxa"/>
            <w:gridSpan w:val="2"/>
            <w:vMerge w:val="restart"/>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社会效益指标</w:t>
            </w:r>
          </w:p>
        </w:tc>
        <w:tc>
          <w:tcPr>
            <w:tcW w:w="1487" w:type="dxa"/>
            <w:tcBorders>
              <w:top w:val="single" w:sz="4" w:space="0" w:color="000000"/>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协商与监督工作</w:t>
            </w:r>
          </w:p>
        </w:tc>
        <w:tc>
          <w:tcPr>
            <w:tcW w:w="1635" w:type="dxa"/>
            <w:tcBorders>
              <w:top w:val="single" w:sz="4" w:space="0" w:color="000000"/>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color w:val="000000"/>
                <w:kern w:val="0"/>
                <w:szCs w:val="21"/>
              </w:rPr>
              <w:t>提高</w:t>
            </w:r>
          </w:p>
        </w:tc>
        <w:tc>
          <w:tcPr>
            <w:tcW w:w="825" w:type="dxa"/>
            <w:tcBorders>
              <w:top w:val="single" w:sz="4" w:space="0" w:color="000000"/>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Cs w:val="21"/>
              </w:rPr>
              <w:t>完成 2 次专题协商、4 次对口协商、4次界别协商，</w:t>
            </w:r>
          </w:p>
        </w:tc>
        <w:tc>
          <w:tcPr>
            <w:tcW w:w="1455"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5</w:t>
            </w:r>
          </w:p>
        </w:tc>
        <w:tc>
          <w:tcPr>
            <w:tcW w:w="1073"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475"/>
        </w:trPr>
        <w:tc>
          <w:tcPr>
            <w:tcW w:w="716" w:type="dxa"/>
            <w:gridSpan w:val="2"/>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1603" w:type="dxa"/>
            <w:gridSpan w:val="2"/>
            <w:vMerge/>
            <w:tcBorders>
              <w:top w:val="single" w:sz="4" w:space="0" w:color="000000"/>
              <w:left w:val="nil"/>
              <w:bottom w:val="single" w:sz="4" w:space="0" w:color="auto"/>
              <w:right w:val="single" w:sz="4" w:space="0" w:color="auto"/>
            </w:tcBorders>
            <w:vAlign w:val="center"/>
          </w:tcPr>
          <w:p/>
        </w:tc>
        <w:tc>
          <w:tcPr>
            <w:tcW w:w="1487" w:type="dxa"/>
            <w:tcBorders>
              <w:top w:val="single" w:sz="4" w:space="0" w:color="000000"/>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通过“微建议”更好满足群众的“微需求”“微心愿”。</w:t>
            </w:r>
          </w:p>
        </w:tc>
        <w:tc>
          <w:tcPr>
            <w:tcW w:w="1635" w:type="dxa"/>
            <w:tcBorders>
              <w:top w:val="single" w:sz="4" w:space="0" w:color="000000"/>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收到委员微建议 83 条</w:t>
            </w:r>
          </w:p>
        </w:tc>
        <w:tc>
          <w:tcPr>
            <w:tcW w:w="825" w:type="dxa"/>
            <w:tcBorders>
              <w:top w:val="single" w:sz="4" w:space="0" w:color="000000"/>
              <w:left w:val="nil"/>
              <w:bottom w:val="single" w:sz="4" w:space="0" w:color="auto"/>
              <w:right w:val="single" w:sz="4" w:space="0" w:color="auto"/>
            </w:tcBorders>
            <w:vAlign w:val="center"/>
          </w:tcPr>
          <w:p>
            <w:pPr>
              <w:pStyle w:val="18"/>
              <w:spacing w:before="0" w:line="240" w:lineRule="exac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办复率 100%，满意率100%。</w:t>
            </w:r>
          </w:p>
          <w:p>
            <w:pPr>
              <w:widowControl/>
              <w:spacing w:line="220" w:lineRule="exact"/>
              <w:jc w:val="left"/>
              <w:rPr>
                <w:rFonts w:ascii="仿宋" w:eastAsia="仿宋" w:cs="仿宋" w:hAnsi="仿宋" w:hint="eastAsia"/>
                <w:color w:val="000000"/>
                <w:kern w:val="0"/>
                <w:sz w:val="21"/>
                <w:szCs w:val="21"/>
              </w:rPr>
            </w:pPr>
          </w:p>
        </w:tc>
        <w:tc>
          <w:tcPr>
            <w:tcW w:w="1455"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5</w:t>
            </w:r>
          </w:p>
        </w:tc>
        <w:tc>
          <w:tcPr>
            <w:tcW w:w="1073"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520"/>
        </w:trPr>
        <w:tc>
          <w:tcPr>
            <w:tcW w:w="716" w:type="dxa"/>
            <w:gridSpan w:val="2"/>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val="restart"/>
            <w:tcBorders>
              <w:top w:val="single" w:sz="4" w:space="0" w:color="000000"/>
              <w:left w:val="single" w:sz="4" w:space="0" w:color="auto"/>
              <w:right w:val="single" w:sz="4" w:space="0" w:color="auto"/>
            </w:tcBorders>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生态效益指标</w:t>
            </w:r>
          </w:p>
        </w:tc>
        <w:tc>
          <w:tcPr>
            <w:tcW w:w="1603" w:type="dxa"/>
            <w:gridSpan w:val="2"/>
            <w:vMerge w:val="restart"/>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Cs w:val="21"/>
              </w:rPr>
            </w:pPr>
            <w:r>
              <w:rPr>
                <w:rFonts w:ascii="仿宋" w:eastAsia="仿宋" w:cs="仿宋" w:hAnsi="仿宋" w:hint="eastAsia"/>
                <w:color w:val="000000"/>
                <w:kern w:val="0"/>
                <w:szCs w:val="21"/>
              </w:rPr>
              <w:t>可持续影响指标</w:t>
            </w:r>
          </w:p>
          <w:p>
            <w:pPr>
              <w:widowControl/>
              <w:spacing w:line="220" w:lineRule="exact"/>
              <w:jc w:val="center"/>
              <w:rPr>
                <w:rFonts w:ascii="仿宋" w:eastAsia="仿宋" w:cs="仿宋" w:hAnsi="仿宋" w:hint="eastAsia"/>
                <w:color w:val="000000"/>
                <w:kern w:val="0"/>
                <w:sz w:val="21"/>
                <w:szCs w:val="21"/>
              </w:rPr>
            </w:pPr>
          </w:p>
        </w:tc>
        <w:tc>
          <w:tcPr>
            <w:tcW w:w="1487" w:type="dxa"/>
            <w:tcBorders>
              <w:top w:val="single" w:sz="4" w:space="0" w:color="000000"/>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color w:val="000000"/>
                <w:kern w:val="0"/>
                <w:szCs w:val="21"/>
              </w:rPr>
              <w:t>加强政协机关建设。</w:t>
            </w:r>
          </w:p>
        </w:tc>
        <w:tc>
          <w:tcPr>
            <w:tcW w:w="1635" w:type="dxa"/>
            <w:tcBorders>
              <w:top w:val="single" w:sz="4" w:space="0" w:color="000000"/>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大力治“庸”治“懒”，</w:t>
            </w:r>
          </w:p>
        </w:tc>
        <w:tc>
          <w:tcPr>
            <w:tcW w:w="825" w:type="dxa"/>
            <w:tcBorders>
              <w:top w:val="single" w:sz="4" w:space="0" w:color="000000"/>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干部作风明显好转。</w:t>
            </w:r>
          </w:p>
        </w:tc>
        <w:tc>
          <w:tcPr>
            <w:tcW w:w="1455"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sz w:val="20"/>
                <w:szCs w:val="20"/>
              </w:rPr>
              <w:t>4</w:t>
            </w:r>
          </w:p>
        </w:tc>
        <w:tc>
          <w:tcPr>
            <w:tcW w:w="1073"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460"/>
        </w:trPr>
        <w:tc>
          <w:tcPr>
            <w:tcW w:w="716" w:type="dxa"/>
            <w:gridSpan w:val="2"/>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1603" w:type="dxa"/>
            <w:gridSpan w:val="2"/>
            <w:vMerge/>
            <w:tcBorders>
              <w:top w:val="single" w:sz="4" w:space="0" w:color="000000"/>
              <w:left w:val="nil"/>
              <w:bottom w:val="single" w:sz="4" w:space="0" w:color="auto"/>
              <w:right w:val="single" w:sz="4" w:space="0" w:color="auto"/>
            </w:tcBorders>
            <w:vAlign w:val="center"/>
          </w:tcPr>
          <w:p/>
        </w:tc>
        <w:tc>
          <w:tcPr>
            <w:tcW w:w="1487" w:type="dxa"/>
            <w:tcBorders>
              <w:top w:val="single" w:sz="4" w:space="0" w:color="000000"/>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color w:val="000000"/>
                <w:kern w:val="0"/>
                <w:szCs w:val="21"/>
              </w:rPr>
              <w:t>优化委员服务管理。</w:t>
            </w:r>
          </w:p>
        </w:tc>
        <w:tc>
          <w:tcPr>
            <w:tcW w:w="1635" w:type="dxa"/>
            <w:tcBorders>
              <w:top w:val="single" w:sz="4" w:space="0" w:color="000000"/>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出台《政协绥宁县第十届委员会委员履职评价考核实施办法（试行）》</w:t>
            </w:r>
          </w:p>
        </w:tc>
        <w:tc>
          <w:tcPr>
            <w:tcW w:w="825" w:type="dxa"/>
            <w:tcBorders>
              <w:top w:val="single" w:sz="4" w:space="0" w:color="000000"/>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调动了委员履职热情。</w:t>
            </w:r>
          </w:p>
        </w:tc>
        <w:tc>
          <w:tcPr>
            <w:tcW w:w="1455"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5</w:t>
            </w:r>
          </w:p>
        </w:tc>
        <w:tc>
          <w:tcPr>
            <w:tcW w:w="1073"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580"/>
        </w:trPr>
        <w:tc>
          <w:tcPr>
            <w:tcW w:w="716" w:type="dxa"/>
            <w:gridSpan w:val="2"/>
            <w:vMerge/>
            <w:tcBorders>
              <w:top w:val="single" w:sz="4" w:space="0" w:color="000000"/>
              <w:left w:val="single" w:sz="4" w:space="0" w:color="auto"/>
              <w:right w:val="single" w:sz="4" w:space="0" w:color="auto"/>
            </w:tcBorders>
            <w:vAlign w:val="center"/>
          </w:tcPr>
          <w:p/>
        </w:tc>
        <w:tc>
          <w:tcPr>
            <w:tcW w:w="851" w:type="dxa"/>
            <w:vMerge/>
            <w:tcBorders>
              <w:top w:val="single" w:sz="4" w:space="0" w:color="000000"/>
              <w:left w:val="single" w:sz="4" w:space="0" w:color="auto"/>
              <w:bottom w:val="single" w:sz="4" w:space="0" w:color="auto"/>
              <w:right w:val="single" w:sz="4" w:space="0" w:color="auto"/>
            </w:tcBorders>
            <w:vAlign w:val="center"/>
          </w:tcPr>
          <w:p/>
        </w:tc>
        <w:tc>
          <w:tcPr>
            <w:tcW w:w="770" w:type="dxa"/>
            <w:vMerge w:val="restart"/>
            <w:tcBorders>
              <w:top w:val="single" w:sz="4" w:space="0" w:color="000000"/>
              <w:left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lang w:val="en-US" w:eastAsia="zh-CN"/>
              </w:rPr>
            </w:pPr>
            <w:r>
              <w:rPr>
                <w:rFonts w:ascii="仿宋" w:eastAsia="仿宋" w:cs="仿宋" w:hAnsi="仿宋" w:hint="eastAsia"/>
                <w:color w:val="000000"/>
                <w:kern w:val="0"/>
                <w:sz w:val="21"/>
                <w:szCs w:val="21"/>
                <w:lang w:val="en-US" w:eastAsia="zh-CN"/>
              </w:rPr>
              <w:t>可持续影响指标</w:t>
            </w:r>
          </w:p>
          <w:p>
            <w:pPr>
              <w:widowControl/>
              <w:spacing w:line="220" w:lineRule="exact"/>
              <w:jc w:val="center"/>
              <w:rPr>
                <w:rFonts w:ascii="仿宋" w:eastAsia="仿宋" w:cs="仿宋" w:hAnsi="仿宋" w:hint="eastAsia"/>
                <w:color w:val="000000"/>
                <w:kern w:val="0"/>
                <w:sz w:val="21"/>
                <w:szCs w:val="21"/>
              </w:rPr>
            </w:pPr>
          </w:p>
        </w:tc>
        <w:tc>
          <w:tcPr>
            <w:tcW w:w="1603" w:type="dxa"/>
            <w:gridSpan w:val="2"/>
            <w:vMerge w:val="restart"/>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经济效益指标</w:t>
            </w:r>
          </w:p>
        </w:tc>
        <w:tc>
          <w:tcPr>
            <w:tcW w:w="1487" w:type="dxa"/>
            <w:tcBorders>
              <w:top w:val="single" w:sz="4" w:space="0" w:color="000000"/>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 w:val="21"/>
                <w:szCs w:val="21"/>
              </w:rPr>
            </w:pPr>
            <w:r>
              <w:rPr>
                <w:rFonts w:ascii="仿宋" w:eastAsia="仿宋" w:cs="仿宋" w:hAnsi="仿宋" w:hint="eastAsia"/>
                <w:szCs w:val="21"/>
              </w:rPr>
              <w:t>加强经费和资产管理</w:t>
            </w:r>
          </w:p>
        </w:tc>
        <w:tc>
          <w:tcPr>
            <w:tcW w:w="1635" w:type="dxa"/>
            <w:tcBorders>
              <w:top w:val="single" w:sz="4" w:space="0" w:color="000000"/>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措施得力</w:t>
            </w:r>
          </w:p>
        </w:tc>
        <w:tc>
          <w:tcPr>
            <w:tcW w:w="825" w:type="dxa"/>
            <w:tcBorders>
              <w:top w:val="single" w:sz="4" w:space="0" w:color="000000"/>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szCs w:val="21"/>
              </w:rPr>
              <w:t>效果良好</w:t>
            </w:r>
          </w:p>
        </w:tc>
        <w:tc>
          <w:tcPr>
            <w:tcW w:w="1455"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Cs w:val="21"/>
              </w:rPr>
              <w:t>2</w:t>
            </w:r>
          </w:p>
        </w:tc>
        <w:tc>
          <w:tcPr>
            <w:tcW w:w="1073" w:type="dxa"/>
            <w:tcBorders>
              <w:top w:val="single" w:sz="4" w:space="0" w:color="000000"/>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535"/>
        </w:trPr>
        <w:tc>
          <w:tcPr>
            <w:tcW w:w="716" w:type="dxa"/>
            <w:gridSpan w:val="2"/>
            <w:vMerge/>
            <w:tcBorders>
              <w:left w:val="single" w:sz="4" w:space="0" w:color="auto"/>
              <w:right w:val="single" w:sz="4" w:space="0" w:color="auto"/>
            </w:tcBorders>
            <w:vAlign w:val="center"/>
          </w:tcPr>
          <w:p/>
        </w:tc>
        <w:tc>
          <w:tcPr>
            <w:tcW w:w="851" w:type="dxa"/>
            <w:vMerge/>
            <w:tcBorders>
              <w:top w:val="single" w:sz="4" w:space="0" w:color="auto"/>
              <w:left w:val="single" w:sz="4" w:space="0" w:color="auto"/>
              <w:bottom w:val="single" w:sz="4" w:space="0" w:color="auto"/>
              <w:right w:val="single" w:sz="4" w:space="0" w:color="auto"/>
            </w:tcBorders>
            <w:vAlign w:val="center"/>
          </w:tcPr>
          <w:p/>
        </w:tc>
        <w:tc>
          <w:tcPr>
            <w:tcW w:w="770" w:type="dxa"/>
            <w:vMerge/>
            <w:tcBorders>
              <w:left w:val="single" w:sz="4" w:space="0" w:color="auto"/>
              <w:right w:val="single" w:sz="4" w:space="0" w:color="auto"/>
            </w:tcBorders>
            <w:vAlign w:val="center"/>
          </w:tcPr>
          <w:p/>
        </w:tc>
        <w:tc>
          <w:tcPr>
            <w:tcW w:w="1603" w:type="dxa"/>
            <w:gridSpan w:val="2"/>
            <w:vMerge/>
            <w:tcBorders>
              <w:top w:val="nil"/>
              <w:left w:val="nil"/>
              <w:bottom w:val="single" w:sz="4" w:space="0" w:color="auto"/>
              <w:right w:val="single" w:sz="4" w:space="0" w:color="auto"/>
            </w:tcBorders>
            <w:vAlign w:val="center"/>
          </w:tcPr>
          <w:p/>
        </w:tc>
        <w:tc>
          <w:tcPr>
            <w:tcW w:w="1487" w:type="dxa"/>
            <w:tcBorders>
              <w:top w:val="nil"/>
              <w:left w:val="nil"/>
              <w:bottom w:val="single" w:sz="4" w:space="0" w:color="auto"/>
              <w:right w:val="single" w:sz="4" w:space="0" w:color="auto"/>
            </w:tcBorders>
            <w:vAlign w:val="center"/>
          </w:tcPr>
          <w:p>
            <w:pPr>
              <w:spacing w:line="24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助力乡村振兴</w:t>
            </w:r>
          </w:p>
        </w:tc>
        <w:tc>
          <w:tcPr>
            <w:tcW w:w="1635" w:type="dxa"/>
            <w:tcBorders>
              <w:top w:val="nil"/>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较强</w:t>
            </w:r>
          </w:p>
        </w:tc>
        <w:tc>
          <w:tcPr>
            <w:tcW w:w="825" w:type="dxa"/>
            <w:tcBorders>
              <w:top w:val="nil"/>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Cs w:val="21"/>
              </w:rPr>
              <w:t>较强</w:t>
            </w:r>
          </w:p>
        </w:tc>
        <w:tc>
          <w:tcPr>
            <w:tcW w:w="1455"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color w:val="000000"/>
                <w:kern w:val="0"/>
                <w:szCs w:val="21"/>
              </w:rPr>
              <w:t>3</w:t>
            </w:r>
          </w:p>
        </w:tc>
        <w:tc>
          <w:tcPr>
            <w:tcW w:w="1073"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658"/>
        </w:trPr>
        <w:tc>
          <w:tcPr>
            <w:tcW w:w="716" w:type="dxa"/>
            <w:gridSpan w:val="2"/>
            <w:vMerge/>
            <w:tcBorders>
              <w:left w:val="single" w:sz="4" w:space="0" w:color="auto"/>
              <w:right w:val="single" w:sz="4" w:space="0" w:color="auto"/>
            </w:tcBorders>
            <w:vAlign w:val="center"/>
          </w:tcPr>
          <w:p/>
        </w:tc>
        <w:tc>
          <w:tcPr>
            <w:tcW w:w="851" w:type="dxa"/>
            <w:vMerge w:val="restart"/>
            <w:tcBorders>
              <w:top w:val="single" w:sz="4" w:space="0" w:color="auto"/>
              <w:left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满意</w:t>
            </w:r>
            <w:r>
              <w:rPr>
                <w:rFonts w:ascii="仿宋" w:eastAsia="仿宋" w:cs="仿宋" w:hAnsi="仿宋" w:hint="eastAsia"/>
                <w:color w:val="000000"/>
                <w:kern w:val="0"/>
                <w:sz w:val="21"/>
                <w:szCs w:val="21"/>
                <w:lang w:val="en-US" w:eastAsia="zh-CN"/>
              </w:rPr>
              <w:t>度</w:t>
            </w:r>
            <w:r>
              <w:rPr>
                <w:rFonts w:ascii="仿宋" w:eastAsia="仿宋" w:cs="仿宋" w:hAnsi="仿宋" w:hint="eastAsia"/>
                <w:color w:val="000000"/>
                <w:kern w:val="0"/>
                <w:sz w:val="21"/>
                <w:szCs w:val="21"/>
              </w:rPr>
              <w:t>指标（10分）</w:t>
            </w:r>
          </w:p>
        </w:tc>
        <w:tc>
          <w:tcPr>
            <w:tcW w:w="770" w:type="dxa"/>
            <w:vMerge w:val="restart"/>
            <w:tcBorders>
              <w:top w:val="single" w:sz="6" w:space="0" w:color="000000"/>
              <w:left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sz w:val="20"/>
                <w:szCs w:val="20"/>
              </w:rPr>
              <w:t>服务对象满意度指标</w:t>
            </w:r>
          </w:p>
        </w:tc>
        <w:tc>
          <w:tcPr>
            <w:tcW w:w="1603" w:type="dxa"/>
            <w:gridSpan w:val="2"/>
            <w:vMerge w:val="restart"/>
            <w:tcBorders>
              <w:top w:val="single" w:sz="4" w:space="0" w:color="auto"/>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sz w:val="20"/>
                <w:szCs w:val="20"/>
              </w:rPr>
            </w:pPr>
            <w:r>
              <w:rPr>
                <w:rFonts w:ascii="仿宋" w:eastAsia="仿宋" w:cs="仿宋" w:hAnsi="仿宋" w:hint="eastAsia"/>
                <w:sz w:val="20"/>
                <w:szCs w:val="20"/>
              </w:rPr>
              <w:t>服务对象满意度指标</w:t>
            </w:r>
          </w:p>
        </w:tc>
        <w:tc>
          <w:tcPr>
            <w:tcW w:w="1487"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szCs w:val="21"/>
              </w:rPr>
              <w:t>提案办理满意度</w:t>
            </w:r>
          </w:p>
        </w:tc>
        <w:tc>
          <w:tcPr>
            <w:tcW w:w="1635" w:type="dxa"/>
            <w:tcBorders>
              <w:top w:val="single" w:sz="4" w:space="0" w:color="auto"/>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立案率100%</w:t>
            </w:r>
          </w:p>
        </w:tc>
        <w:tc>
          <w:tcPr>
            <w:tcW w:w="825" w:type="dxa"/>
            <w:tcBorders>
              <w:top w:val="single" w:sz="4" w:space="0" w:color="auto"/>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Cs w:val="21"/>
              </w:rPr>
              <w:t>办复率 100%，满意率100%。</w:t>
            </w:r>
          </w:p>
        </w:tc>
        <w:tc>
          <w:tcPr>
            <w:tcW w:w="145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5</w:t>
            </w:r>
          </w:p>
        </w:tc>
        <w:tc>
          <w:tcPr>
            <w:tcW w:w="1073"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668"/>
        </w:trPr>
        <w:tc>
          <w:tcPr>
            <w:tcW w:w="716" w:type="dxa"/>
            <w:gridSpan w:val="2"/>
            <w:tcBorders>
              <w:left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p>
        </w:tc>
        <w:tc>
          <w:tcPr>
            <w:tcW w:w="851" w:type="dxa"/>
            <w:vMerge/>
            <w:tcBorders>
              <w:left w:val="single" w:sz="4" w:space="0" w:color="auto"/>
              <w:bottom w:val="single" w:sz="4" w:space="0" w:color="auto"/>
              <w:right w:val="single" w:sz="4" w:space="0" w:color="auto"/>
            </w:tcBorders>
            <w:vAlign w:val="center"/>
          </w:tcPr>
          <w:p/>
        </w:tc>
        <w:tc>
          <w:tcPr>
            <w:tcW w:w="770" w:type="dxa"/>
            <w:vMerge/>
            <w:tcBorders>
              <w:left w:val="single" w:sz="4" w:space="0" w:color="auto"/>
              <w:right w:val="single" w:sz="4" w:space="0" w:color="auto"/>
            </w:tcBorders>
            <w:vAlign w:val="center"/>
          </w:tcPr>
          <w:p/>
        </w:tc>
        <w:tc>
          <w:tcPr>
            <w:tcW w:w="1603" w:type="dxa"/>
            <w:gridSpan w:val="2"/>
            <w:vMerge/>
            <w:tcBorders>
              <w:top w:val="single" w:sz="4" w:space="0" w:color="auto"/>
              <w:left w:val="nil"/>
              <w:bottom w:val="single" w:sz="4" w:space="0" w:color="auto"/>
              <w:right w:val="single" w:sz="4" w:space="0" w:color="auto"/>
            </w:tcBorders>
            <w:vAlign w:val="center"/>
          </w:tcPr>
          <w:p/>
        </w:tc>
        <w:tc>
          <w:tcPr>
            <w:tcW w:w="1487" w:type="dxa"/>
            <w:tcBorders>
              <w:top w:val="single" w:sz="4" w:space="0" w:color="auto"/>
              <w:left w:val="nil"/>
              <w:bottom w:val="single" w:sz="4" w:space="0" w:color="auto"/>
              <w:right w:val="single" w:sz="4" w:space="0" w:color="auto"/>
            </w:tcBorders>
            <w:vAlign w:val="center"/>
          </w:tcPr>
          <w:p>
            <w:pPr>
              <w:spacing w:line="240" w:lineRule="exact"/>
              <w:jc w:val="center"/>
              <w:rPr>
                <w:rFonts w:ascii="仿宋" w:eastAsia="仿宋" w:cs="仿宋" w:hAnsi="仿宋" w:hint="eastAsia"/>
                <w:sz w:val="20"/>
                <w:szCs w:val="20"/>
              </w:rPr>
            </w:pPr>
            <w:r>
              <w:rPr>
                <w:rFonts w:ascii="仿宋" w:eastAsia="仿宋" w:cs="仿宋" w:hAnsi="仿宋" w:hint="eastAsia"/>
                <w:szCs w:val="21"/>
              </w:rPr>
              <w:t>社会群众满意度</w:t>
            </w:r>
          </w:p>
        </w:tc>
        <w:tc>
          <w:tcPr>
            <w:tcW w:w="1635" w:type="dxa"/>
            <w:tcBorders>
              <w:top w:val="single" w:sz="4" w:space="0" w:color="auto"/>
              <w:left w:val="nil"/>
              <w:bottom w:val="single" w:sz="4" w:space="0" w:color="auto"/>
              <w:right w:val="single" w:sz="4" w:space="0" w:color="auto"/>
            </w:tcBorders>
            <w:vAlign w:val="center"/>
          </w:tcPr>
          <w:p>
            <w:pPr>
              <w:spacing w:line="240" w:lineRule="exact"/>
              <w:rPr>
                <w:rFonts w:ascii="仿宋" w:eastAsia="仿宋" w:cs="仿宋" w:hAnsi="仿宋" w:hint="eastAsia"/>
                <w:color w:val="000000"/>
                <w:kern w:val="0"/>
                <w:sz w:val="21"/>
                <w:szCs w:val="21"/>
              </w:rPr>
            </w:pPr>
            <w:r>
              <w:rPr>
                <w:rFonts w:ascii="仿宋" w:eastAsia="仿宋" w:cs="仿宋" w:hAnsi="仿宋" w:hint="eastAsia"/>
                <w:szCs w:val="21"/>
              </w:rPr>
              <w:t>90%以上</w:t>
            </w:r>
          </w:p>
        </w:tc>
        <w:tc>
          <w:tcPr>
            <w:tcW w:w="825" w:type="dxa"/>
            <w:tcBorders>
              <w:top w:val="single" w:sz="4" w:space="0" w:color="auto"/>
              <w:left w:val="nil"/>
              <w:bottom w:val="single" w:sz="4" w:space="0" w:color="auto"/>
              <w:right w:val="single" w:sz="4" w:space="0" w:color="auto"/>
            </w:tcBorders>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Cs w:val="21"/>
              </w:rPr>
              <w:t>95%</w:t>
            </w:r>
          </w:p>
        </w:tc>
        <w:tc>
          <w:tcPr>
            <w:tcW w:w="1455"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5</w:t>
            </w:r>
          </w:p>
        </w:tc>
        <w:tc>
          <w:tcPr>
            <w:tcW w:w="1073" w:type="dxa"/>
            <w:tcBorders>
              <w:top w:val="single" w:sz="4" w:space="0" w:color="auto"/>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r>
        <w:trPr>
          <w:trHeight w:val="473"/>
        </w:trPr>
        <w:tc>
          <w:tcPr>
            <w:tcW w:w="167" w:type="dxa"/>
            <w:tcBorders>
              <w:top w:val="single" w:sz="4" w:space="0" w:color="auto"/>
              <w:left w:val="single" w:sz="4" w:space="0" w:color="auto"/>
              <w:bottom w:val="single" w:sz="4" w:space="0" w:color="auto"/>
              <w:right w:val="single" w:sz="4" w:space="0" w:color="000000"/>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100</w:t>
            </w:r>
          </w:p>
        </w:tc>
        <w:tc>
          <w:tcPr>
            <w:tcW w:w="2170" w:type="dxa"/>
            <w:gridSpan w:val="3"/>
            <w:tcBorders>
              <w:top w:val="single" w:sz="4" w:space="0" w:color="auto"/>
              <w:left w:val="single" w:sz="4" w:space="0" w:color="auto"/>
              <w:bottom w:val="single" w:sz="4" w:space="0" w:color="auto"/>
              <w:right w:val="single" w:sz="4" w:space="0" w:color="000000"/>
            </w:tcBorders>
            <w:vAlign w:val="center"/>
          </w:tcPr>
          <w:p>
            <w:pPr>
              <w:widowControl/>
              <w:spacing w:line="220" w:lineRule="exact"/>
              <w:jc w:val="center"/>
            </w:pPr>
            <w:r>
              <w:rPr>
                <w:rFonts w:ascii="仿宋" w:eastAsia="仿宋" w:cs="仿宋" w:hAnsi="仿宋" w:hint="eastAsia"/>
                <w:color w:val="000000"/>
                <w:kern w:val="0"/>
                <w:szCs w:val="21"/>
              </w:rPr>
              <w:t>92</w:t>
            </w:r>
          </w:p>
        </w:tc>
        <w:tc>
          <w:tcPr>
            <w:tcW w:w="7005" w:type="dxa"/>
            <w:gridSpan w:val="6"/>
            <w:tcBorders>
              <w:top w:val="single" w:sz="4" w:space="0" w:color="auto"/>
              <w:left w:val="single" w:sz="4" w:space="0" w:color="auto"/>
              <w:bottom w:val="single" w:sz="4" w:space="0" w:color="auto"/>
              <w:right w:val="single" w:sz="4" w:space="0" w:color="000000"/>
            </w:tcBorders>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Cs w:val="21"/>
              </w:rPr>
              <w:t>总分</w:t>
            </w:r>
          </w:p>
        </w:tc>
        <w:tc>
          <w:tcPr>
            <w:tcW w:w="1073" w:type="dxa"/>
            <w:tcBorders>
              <w:top w:val="nil"/>
              <w:left w:val="nil"/>
              <w:bottom w:val="single" w:sz="4" w:space="0" w:color="auto"/>
              <w:right w:val="single" w:sz="4" w:space="0" w:color="auto"/>
            </w:tcBorders>
            <w:vAlign w:val="center"/>
          </w:tcPr>
          <w:p>
            <w:pPr>
              <w:widowControl/>
              <w:spacing w:line="220" w:lineRule="exact"/>
              <w:jc w:val="center"/>
              <w:rPr>
                <w:rFonts w:ascii="仿宋" w:eastAsia="仿宋" w:cs="仿宋" w:hAnsi="仿宋" w:hint="eastAsia"/>
                <w:color w:val="000000"/>
                <w:kern w:val="0"/>
                <w:sz w:val="21"/>
                <w:szCs w:val="21"/>
              </w:rPr>
            </w:pPr>
          </w:p>
        </w:tc>
      </w:tr>
    </w:tbl>
    <w:p>
      <w:pPr>
        <w:spacing w:line="300" w:lineRule="exact"/>
        <w:jc w:val="center"/>
        <w:rPr>
          <w:rFonts w:ascii="仿宋" w:eastAsia="仿宋" w:cs="仿宋" w:hAnsi="仿宋" w:hint="eastAsia"/>
          <w:sz w:val="44"/>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960" w:right="0" w:hangingChars="400" w:hanging="960"/>
        <w:jc w:val="both"/>
        <w:rPr>
          <w:rFonts w:ascii="仿宋_GB2312" w:eastAsia="仿宋_GB2312" w:cs="仿宋_GB2312"/>
          <w:i w:val="0"/>
          <w:iCs w:val="0"/>
          <w:caps w:val="0"/>
          <w:smallCaps w:val="0"/>
          <w:color w:val="000000"/>
          <w:spacing w:val="0"/>
          <w:sz w:val="24"/>
          <w:szCs w:val="24"/>
        </w:rPr>
      </w:pPr>
      <w:r>
        <w:rPr>
          <w:rFonts w:ascii="仿宋_GB2312" w:eastAsia="仿宋_GB2312" w:cs="仿宋_GB2312"/>
          <w:i w:val="0"/>
          <w:iCs w:val="0"/>
          <w:caps w:val="0"/>
          <w:smallCaps w:val="0"/>
          <w:color w:val="000000"/>
          <w:spacing w:val="0"/>
          <w:sz w:val="24"/>
          <w:szCs w:val="24"/>
          <w:shd w:val="clear" w:color="auto" w:fill="FFFFFF"/>
        </w:rPr>
        <w:t>说明：1.分值设定100分，其中预算执行率10分、产出指标50分、效益指标30分、满意度指标10分。除预算执行率外的指标应根据权重自行合理设定分值。</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960" w:right="0" w:hangingChars="400" w:hanging="960"/>
        <w:jc w:val="both"/>
        <w:rPr>
          <w:rFonts w:ascii="仿宋_GB2312" w:eastAsia="仿宋_GB2312" w:cs="仿宋_GB2312"/>
          <w:i w:val="0"/>
          <w:iCs w:val="0"/>
          <w:caps w:val="0"/>
          <w:smallCaps w:val="0"/>
          <w:color w:val="000000"/>
          <w:spacing w:val="0"/>
          <w:sz w:val="24"/>
          <w:szCs w:val="24"/>
        </w:rPr>
      </w:pPr>
      <w:r>
        <w:rPr>
          <w:rFonts w:ascii="仿宋_GB2312" w:eastAsia="仿宋_GB2312" w:cs="仿宋_GB2312"/>
          <w:i w:val="0"/>
          <w:iCs w:val="0"/>
          <w:caps w:val="0"/>
          <w:smallCaps w:val="0"/>
          <w:color w:val="000000"/>
          <w:spacing w:val="0"/>
          <w:sz w:val="24"/>
          <w:szCs w:val="24"/>
          <w:shd w:val="clear" w:color="auto" w:fill="FFFFFF"/>
        </w:rPr>
        <w:t>     </w:t>
      </w:r>
      <w:r>
        <w:rPr>
          <w:rFonts w:ascii="仿宋_GB2312" w:eastAsia="仿宋_GB2312" w:cs="仿宋_GB2312" w:hint="eastAsia"/>
          <w:i w:val="0"/>
          <w:iCs w:val="0"/>
          <w:caps w:val="0"/>
          <w:smallCaps w:val="0"/>
          <w:color w:val="000000"/>
          <w:spacing w:val="0"/>
          <w:sz w:val="24"/>
          <w:szCs w:val="24"/>
          <w:shd w:val="clear" w:color="auto" w:fill="FFFFFF"/>
          <w:lang w:val="en-US" w:eastAsia="zh-CN"/>
        </w:rPr>
        <w:t xml:space="preserve">  </w:t>
      </w:r>
      <w:r>
        <w:rPr>
          <w:rFonts w:ascii="仿宋_GB2312" w:eastAsia="仿宋_GB2312" w:cs="仿宋_GB2312"/>
          <w:i w:val="0"/>
          <w:iCs w:val="0"/>
          <w:caps w:val="0"/>
          <w:smallCaps w:val="0"/>
          <w:color w:val="000000"/>
          <w:spacing w:val="0"/>
          <w:sz w:val="24"/>
          <w:szCs w:val="24"/>
          <w:shd w:val="clear" w:color="auto" w:fill="FFFFFF"/>
        </w:rPr>
        <w:t>2.综合评价等级分为优秀（</w:t>
      </w:r>
      <w:r>
        <w:rPr>
          <w:rFonts w:ascii="仿宋_GB2312" w:eastAsia="仿宋_GB2312" w:cs="仿宋_GB2312" w:hint="eastAsia"/>
          <w:i w:val="0"/>
          <w:iCs w:val="0"/>
          <w:caps w:val="0"/>
          <w:smallCaps w:val="0"/>
          <w:color w:val="000000"/>
          <w:spacing w:val="0"/>
          <w:sz w:val="24"/>
          <w:szCs w:val="24"/>
          <w:shd w:val="clear" w:color="auto" w:fill="FFFFFF"/>
          <w:lang w:val="en-US" w:eastAsia="zh-CN"/>
        </w:rPr>
        <w:t>大于</w:t>
      </w:r>
      <w:r>
        <w:rPr>
          <w:rFonts w:ascii="仿宋_GB2312" w:eastAsia="仿宋_GB2312" w:cs="仿宋_GB2312"/>
          <w:i w:val="0"/>
          <w:iCs w:val="0"/>
          <w:caps w:val="0"/>
          <w:smallCaps w:val="0"/>
          <w:color w:val="000000"/>
          <w:spacing w:val="0"/>
          <w:sz w:val="24"/>
          <w:szCs w:val="24"/>
          <w:shd w:val="clear" w:color="auto" w:fill="FFFFFF"/>
        </w:rPr>
        <w:t>90</w:t>
      </w:r>
      <w:r>
        <w:rPr>
          <w:rFonts w:ascii="仿宋_GB2312" w:eastAsia="仿宋_GB2312" w:cs="仿宋_GB2312" w:hint="eastAsia"/>
          <w:i w:val="0"/>
          <w:iCs w:val="0"/>
          <w:caps w:val="0"/>
          <w:smallCaps w:val="0"/>
          <w:color w:val="000000"/>
          <w:spacing w:val="0"/>
          <w:sz w:val="24"/>
          <w:szCs w:val="24"/>
          <w:shd w:val="clear" w:color="auto" w:fill="FFFFFF"/>
          <w:lang w:val="en-US" w:eastAsia="zh-CN"/>
        </w:rPr>
        <w:t>分</w:t>
      </w:r>
      <w:r>
        <w:rPr>
          <w:rFonts w:ascii="仿宋_GB2312" w:eastAsia="仿宋_GB2312" w:cs="仿宋_GB2312"/>
          <w:i w:val="0"/>
          <w:iCs w:val="0"/>
          <w:caps w:val="0"/>
          <w:smallCaps w:val="0"/>
          <w:color w:val="000000"/>
          <w:spacing w:val="0"/>
          <w:sz w:val="24"/>
          <w:szCs w:val="24"/>
          <w:shd w:val="clear" w:color="auto" w:fill="FFFFFF"/>
        </w:rPr>
        <w:t>）、良好（</w:t>
      </w:r>
      <w:r>
        <w:rPr>
          <w:rFonts w:ascii="仿宋_GB2312" w:eastAsia="仿宋_GB2312" w:cs="仿宋_GB2312" w:hint="eastAsia"/>
          <w:i w:val="0"/>
          <w:iCs w:val="0"/>
          <w:caps w:val="0"/>
          <w:smallCaps w:val="0"/>
          <w:color w:val="000000"/>
          <w:spacing w:val="0"/>
          <w:sz w:val="24"/>
          <w:szCs w:val="24"/>
          <w:shd w:val="clear" w:color="auto" w:fill="FFFFFF"/>
          <w:lang w:val="en-US" w:eastAsia="zh-CN"/>
        </w:rPr>
        <w:t>80-90分</w:t>
      </w:r>
      <w:r>
        <w:rPr>
          <w:rFonts w:ascii="仿宋_GB2312" w:eastAsia="仿宋_GB2312" w:cs="仿宋_GB2312"/>
          <w:i w:val="0"/>
          <w:iCs w:val="0"/>
          <w:caps w:val="0"/>
          <w:smallCaps w:val="0"/>
          <w:color w:val="000000"/>
          <w:spacing w:val="0"/>
          <w:sz w:val="24"/>
          <w:szCs w:val="24"/>
          <w:shd w:val="clear" w:color="auto" w:fill="FFFFFF"/>
        </w:rPr>
        <w:t>）、较差（</w:t>
      </w:r>
      <w:r>
        <w:rPr>
          <w:rFonts w:ascii="仿宋_GB2312" w:eastAsia="仿宋_GB2312" w:cs="仿宋_GB2312" w:hint="eastAsia"/>
          <w:i w:val="0"/>
          <w:iCs w:val="0"/>
          <w:caps w:val="0"/>
          <w:smallCaps w:val="0"/>
          <w:color w:val="000000"/>
          <w:spacing w:val="0"/>
          <w:sz w:val="24"/>
          <w:szCs w:val="24"/>
          <w:shd w:val="clear" w:color="auto" w:fill="FFFFFF"/>
          <w:lang w:val="en-US" w:eastAsia="zh-CN"/>
        </w:rPr>
        <w:t>60-80分</w:t>
      </w:r>
      <w:r>
        <w:rPr>
          <w:rFonts w:ascii="仿宋_GB2312" w:eastAsia="仿宋_GB2312" w:cs="仿宋_GB2312"/>
          <w:i w:val="0"/>
          <w:iCs w:val="0"/>
          <w:caps w:val="0"/>
          <w:smallCaps w:val="0"/>
          <w:color w:val="000000"/>
          <w:spacing w:val="0"/>
          <w:sz w:val="24"/>
          <w:szCs w:val="24"/>
          <w:shd w:val="clear" w:color="auto" w:fill="FFFFFF"/>
        </w:rPr>
        <w:t>）、 差（</w:t>
      </w:r>
      <w:r>
        <w:rPr>
          <w:rFonts w:ascii="仿宋_GB2312" w:eastAsia="仿宋_GB2312" w:cs="仿宋_GB2312" w:hint="eastAsia"/>
          <w:i w:val="0"/>
          <w:iCs w:val="0"/>
          <w:caps w:val="0"/>
          <w:smallCaps w:val="0"/>
          <w:color w:val="000000"/>
          <w:spacing w:val="0"/>
          <w:sz w:val="24"/>
          <w:szCs w:val="24"/>
          <w:shd w:val="clear" w:color="auto" w:fill="FFFFFF"/>
          <w:lang w:val="en-US" w:eastAsia="zh-CN"/>
        </w:rPr>
        <w:t>小于60分</w:t>
      </w:r>
      <w:r>
        <w:rPr>
          <w:rFonts w:ascii="仿宋_GB2312" w:eastAsia="仿宋_GB2312" w:cs="仿宋_GB2312"/>
          <w:i w:val="0"/>
          <w:iCs w:val="0"/>
          <w:caps w:val="0"/>
          <w:smallCaps w:val="0"/>
          <w:color w:val="000000"/>
          <w:spacing w:val="0"/>
          <w:sz w:val="24"/>
          <w:szCs w:val="24"/>
          <w:shd w:val="clear" w:color="auto" w:fill="FFFFFF"/>
        </w:rPr>
        <w:t>）</w:t>
      </w:r>
      <w:r>
        <w:rPr>
          <w:rFonts w:ascii="Calibri" w:eastAsia="仿宋_GB2312" w:cs="Calibri" w:hAnsi="Calibri"/>
          <w:i w:val="0"/>
          <w:iCs w:val="0"/>
          <w:caps w:val="0"/>
          <w:smallCaps w:val="0"/>
          <w:color w:val="000000"/>
          <w:spacing w:val="0"/>
          <w:sz w:val="24"/>
          <w:szCs w:val="24"/>
          <w:shd w:val="clear" w:color="auto" w:fill="FFFFFF"/>
        </w:rPr>
        <w:t>。</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rPr>
      </w:pPr>
      <w:r>
        <w:rPr>
          <w:rFonts w:ascii="仿宋_GB2312" w:eastAsia="仿宋_GB2312" w:cs="仿宋_GB2312"/>
          <w:i w:val="0"/>
          <w:iCs w:val="0"/>
          <w:caps w:val="0"/>
          <w:smallCaps w:val="0"/>
          <w:color w:val="000000"/>
          <w:spacing w:val="0"/>
          <w:sz w:val="24"/>
          <w:szCs w:val="24"/>
          <w:shd w:val="clear" w:color="auto" w:fill="FFFFFF"/>
        </w:rPr>
        <w:t>     </w:t>
      </w:r>
      <w:r>
        <w:rPr>
          <w:rFonts w:ascii="仿宋_GB2312" w:eastAsia="仿宋_GB2312" w:cs="仿宋_GB2312" w:hint="eastAsia"/>
          <w:i w:val="0"/>
          <w:iCs w:val="0"/>
          <w:caps w:val="0"/>
          <w:smallCaps w:val="0"/>
          <w:color w:val="000000"/>
          <w:spacing w:val="0"/>
          <w:sz w:val="24"/>
          <w:szCs w:val="24"/>
          <w:shd w:val="clear" w:color="auto" w:fill="FFFFFF"/>
          <w:lang w:val="en-US" w:eastAsia="zh-CN"/>
        </w:rPr>
        <w:t xml:space="preserve">  </w:t>
      </w:r>
      <w:r>
        <w:rPr>
          <w:rFonts w:ascii="仿宋_GB2312" w:eastAsia="仿宋_GB2312" w:cs="仿宋_GB2312"/>
          <w:i w:val="0"/>
          <w:iCs w:val="0"/>
          <w:caps w:val="0"/>
          <w:smallCaps w:val="0"/>
          <w:color w:val="000000"/>
          <w:spacing w:val="0"/>
          <w:sz w:val="24"/>
          <w:szCs w:val="24"/>
          <w:shd w:val="clear" w:color="auto" w:fill="FFFFFF"/>
        </w:rPr>
        <w:t>3.三级绩效指标按需自行增减行。个别不涉及的二级指标可删除不要。</w:t>
      </w: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left"/>
        <w:rPr>
          <w:rFonts w:ascii="微软雅黑" w:eastAsia="微软雅黑" w:cs="微软雅黑" w:hAnsi="微软雅黑" w:hint="eastAsia"/>
          <w:i w:val="0"/>
          <w:iCs w:val="0"/>
          <w:caps w:val="0"/>
          <w:smallCaps w:val="0"/>
          <w:color w:val="000000"/>
          <w:spacing w:val="0"/>
          <w:sz w:val="24"/>
          <w:szCs w:val="24"/>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Times New Roman" w:cs="Times New Roman" w:hAnsi="Times New Roman"/>
          <w:i w:val="0"/>
          <w:iCs w:val="0"/>
          <w:caps w:val="0"/>
          <w:smallCaps w:val="0"/>
          <w:color w:val="000000"/>
          <w:spacing w:val="0"/>
          <w:sz w:val="24"/>
          <w:szCs w:val="24"/>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pPr>
        <w:pStyle w:val="2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firstLine="0"/>
        <w:jc w:val="both"/>
        <w:rPr>
          <w:rFonts w:ascii="黑体" w:eastAsia="黑体" w:cs="黑体" w:hAnsi="黑体" w:hint="eastAsia"/>
          <w:color w:val="000000"/>
          <w:sz w:val="32"/>
          <w:szCs w:val="32"/>
          <w:shd w:val="clear" w:color="auto" w:fill="FFFFFF"/>
        </w:rPr>
      </w:pPr>
    </w:p>
    <w:sectPr>
      <w:footerReference w:type="default" r:id="rId2"/>
      <w:pgSz w:w="11906" w:h="16838"/>
      <w:pgMar w:top="1440" w:right="1800" w:bottom="1440" w:left="1800" w:header="851" w:footer="992" w:gutter="0"/>
      <w:pgNumType/>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楷体">
    <w:altName w:val="方正楷体_GBK"/>
    <w:panose1 w:val="02010609060101010101"/>
    <w:charset w:val="86"/>
    <w:family w:val="auto"/>
    <w:pitch w:val="variable"/>
    <w:sig w:usb0="800002BF" w:usb1="38CF7CFA" w:usb2="00000016" w:usb3="00000000" w:csb0="00040001" w:csb1="00000000"/>
  </w:font>
  <w:font w:name="仿宋_GB2312">
    <w:altName w:val="仿宋"/>
    <w:panose1 w:val="00000000000000000000"/>
    <w:charset w:val="00"/>
    <w:family w:val="auto"/>
    <w:pitch w:val="variable"/>
    <w:sig w:usb0="00000000" w:usb1="00000000" w:usb2="00000000" w:usb3="00000000" w:csb0="00000000" w:csb1="00000000"/>
  </w:font>
  <w:font w:name="Arial">
    <w:altName w:val="DejaVu Sans"/>
    <w:panose1 w:val="020B0604020202020204"/>
    <w:charset w:val="01"/>
    <w:family w:val="swiss"/>
    <w:pitch w:val="variable"/>
    <w:sig w:usb0="E0002EFF" w:usb1="C000785B" w:usb2="00000009" w:usb3="00000000" w:csb0="400001FF" w:csb1="FFFF0000"/>
  </w:font>
  <w:font w:name="Times New Roman">
    <w:panose1 w:val="02020603050405020304"/>
    <w:charset w:val="01"/>
    <w:family w:val="auto"/>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楷体_GB2312">
    <w:altName w:val="楷体"/>
    <w:panose1 w:val="02010609030101010101"/>
    <w:charset w:val="86"/>
    <w:family w:val="auto"/>
    <w:pitch w:val="variable"/>
    <w:sig w:usb0="00000000" w:usb1="00000000" w:usb2="00000000" w:usb3="00000000" w:csb0="00040000" w:csb1="00000000"/>
  </w:font>
  <w:font w:name="方正小标宋_GBK">
    <w:altName w:val="微软雅黑"/>
    <w:panose1 w:val="02000000000000000000"/>
    <w:charset w:val="86"/>
    <w:family w:val="auto"/>
    <w:pitch w:val="variable"/>
    <w:sig w:usb0="00000000" w:usb1="00000000" w:usb2="00082016" w:usb3="00000000" w:csb0="00040001" w:csb1="00000000"/>
  </w:font>
  <w:font w:name="微软雅黑">
    <w:panose1 w:val="020B0503020204020204"/>
    <w:charset w:val="86"/>
    <w:family w:val="auto"/>
    <w:pitch w:val="variable"/>
    <w:sig w:usb0="80000287" w:usb1="2ACF3C50" w:usb2="00000016" w:usb3="00000000" w:csb0="0004001F" w:csb1="00000000"/>
  </w:font>
  <w:font w:name="宋体">
    <w:altName w:val="方正仿宋_GBK"/>
    <w:panose1 w:val="02010600030101010101"/>
    <w:charset w:val="88"/>
    <w:family w:val="auto"/>
    <w:pitch w:val="variable"/>
    <w:sig w:usb0="00000203" w:usb1="288F0000" w:usb2="0000000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114300" cy="131433"/>
              <wp:wrapNone/>
              <wp:docPr id="1" name="文本框 1"/>
              <wp:cNvGraphicFramePr>
                <a:graphicFrameLocks noChangeAspect="0"/>
              </wp:cNvGraphicFramePr>
              <a:graphic>
                <a:graphicData uri="http://schemas.microsoft.com/office/word/2010/wordprocessingShape">
                  <wps:wsp>
                    <wps:cNvSpPr/>
                    <wps:spPr>
                      <a:xfrm rot="0">
                        <a:off x="0" y="0"/>
                        <a:ext cx="114300" cy="131433"/>
                      </a:xfrm>
                      <a:prstGeom prst="rect"/>
                      <a:noFill/>
                      <a:ln w="6350" cmpd="sng" cap="flat">
                        <a:noFill/>
                        <a:prstDash val="solid"/>
                        <a:round/>
                      </a:ln>
                    </wps:spPr>
                    <wps:txbx id="1">
                      <w:txbxContent>
                        <w:p>
                          <w:pPr>
                            <w:pStyle w:val="19"/>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0.5pt" style="position:absolute;margin-left:0.0pt;margin-top:0.0pt;width:9.0pt;height:10.349121pt;z-index:12;mso-position-horizontal:center;mso-position-horizontal-relative:margin;mso-position-vertical:absolute;mso-wrap-style:none;">
              <v:stroke/>
              <v:textbox id="848"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DD6DCE7"/>
    <w:multiLevelType w:val="singleLevel"/>
    <w:tmpl w:val="6DD6DCE7"/>
    <w:lvl w:ilvl="0">
      <w:start w:val="4"/>
      <w:numFmt w:val="chineseCounting"/>
      <w:lvlRestart w:val="0"/>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OTQ1NzIzYWZhMjZjZDJkMmExNWQ2YjIzZjg4YWY0N2Q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autoRedefine/>
    <w:next w:val="16"/>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autoRedefine/>
  </w:style>
  <w:style w:type="paragraph" w:styleId="15">
    <w:name w:val="Body Text Indent"/>
    <w:qFormat/>
    <w:basedOn w:val="0"/>
    <w:next w:val="17"/>
    <w:pPr>
      <w:spacing w:after="120"/>
      <w:ind w:leftChars="200" w:left="200"/>
    </w:pPr>
  </w:style>
  <w:style w:type="paragraph" w:styleId="16">
    <w:name w:val="Body Text First Indent 2"/>
    <w:qFormat/>
    <w:basedOn w:val="15"/>
    <w:next w:val="0"/>
    <w:pPr>
      <w:ind w:firstLineChars="200" w:firstLine="200"/>
    </w:pPr>
  </w:style>
  <w:style w:type="paragraph" w:styleId="17">
    <w:name w:val="Normal Indent"/>
    <w:qFormat/>
    <w:basedOn w:val="0"/>
    <w:pPr>
      <w:ind w:firstLineChars="200" w:firstLine="200"/>
    </w:pPr>
  </w:style>
  <w:style w:type="paragraph" w:styleId="18">
    <w:name w:val="Body Text"/>
    <w:qFormat/>
    <w:basedOn w:val="0"/>
    <w:pPr>
      <w:spacing w:before="43"/>
      <w:ind w:left="120"/>
    </w:pPr>
    <w:rPr>
      <w:rFonts w:ascii="仿宋_GB2312" w:eastAsia="仿宋_GB2312" w:hAnsi="仿宋_GB2312"/>
      <w:sz w:val="32"/>
      <w:szCs w:val="32"/>
    </w:rPr>
  </w:style>
  <w:style w:type="paragraph" w:styleId="19">
    <w:name w:val="footer"/>
    <w:qFormat/>
    <w:basedOn w:val="0"/>
    <w:pPr>
      <w:tabs>
        <w:tab w:val="center" w:pos="4153"/>
        <w:tab w:val="right" w:pos="8306"/>
      </w:tabs>
      <w:snapToGrid w:val="0"/>
      <w:jc w:val="left"/>
    </w:pPr>
    <w:rPr>
      <w:sz w:val="18"/>
    </w:rPr>
  </w:style>
  <w:style w:type="paragraph" w:styleId="20">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21">
    <w:name w:val="Normal (Web)"/>
    <w:qFormat/>
    <w:basedOn w:val="0"/>
    <w:autoRedefine/>
    <w:pPr>
      <w:spacing w:before="0" w:beforeAutospacing="1" w:after="0" w:afterAutospacing="1"/>
      <w:ind w:left="0" w:right="0"/>
      <w:jc w:val="left"/>
    </w:pPr>
    <w:rPr>
      <w:kern w:val="0"/>
      <w:sz w:val="24"/>
      <w:lang w:val="en-US" w:eastAsia="zh-CN"/>
    </w:rPr>
  </w:style>
  <w:style w:type="character" w:styleId="22">
    <w:name w:val="Hyperlink"/>
    <w:qFormat/>
    <w:basedOn w:val="10"/>
    <w:rPr>
      <w:color w:val="0563C1"/>
      <w:u w:val="single"/>
      <w14:textFill xmlns:w14="http://schemas.microsoft.com/office/word/2010/wordml">
        <w14:solidFill>
          <w14:srgbClr w14:val="0563C1"/>
        </w14:solidFill>
      </w14:textFill>
    </w:rPr>
  </w:style>
  <w:style w:type="paragraph" w:styleId="23">
    <w:name w:val="List Paragraph"/>
    <w:qFormat/>
    <w:basedOn w:val="0"/>
    <w:autoRedefine/>
    <w:pPr>
      <w:ind w:firstLineChars="200" w:firstLine="200"/>
    </w:pPr>
    <w:rPr>
      <w:rFonts w:ascii="Calibri" w:eastAsia="宋体" w:cs="Times New Roman" w:hAnsi="Calibri"/>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D90AE8EE-FDA4-4E10-A410-D61BC91A2D0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29</TotalTime>
  <Application>WPS_Yozo_Office9.0.6115.191ZH</Application>
  <Pages>15</Pages>
  <Words>0</Words>
  <Characters>5910</Characters>
  <Lines>0</Lines>
  <Paragraphs>100</Paragraphs>
  <CharactersWithSpaces>7880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greatwall</cp:lastModifiedBy>
  <cp:revision>7</cp:revision>
  <cp:lastPrinted>2025-02-17T07:08:00Z</cp:lastPrinted>
  <dcterms:created xsi:type="dcterms:W3CDTF">2014-10-29T12:08:00Z</dcterms:created>
  <dcterms:modified xsi:type="dcterms:W3CDTF">2025-09-26T02:43:49Z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42E819ADD2FA4C1B974A7196593FDE88_13</vt:lpwstr>
  </property>
  <property fmtid="{D5CDD505-2E9C-101B-9397-08002B2CF9AE}" pid="4" name="KSOTemplateDocerSaveRecord">
    <vt:lpwstr>eyJoZGlkIjoiNTg4YzZiNjIzNjY5ODJhZDQwYzAwNTE4MDZhYjlmNmYifQ==</vt:lpwstr>
  </property>
</Properties>
</file>