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center"/>
        <w:rPr>
          <w:rFonts w:ascii="楷体" w:hAnsi="楷体" w:eastAsia="楷体" w:cs="楷体"/>
          <w:b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</w:rPr>
        <w:t>绥宁县</w:t>
      </w:r>
      <w:r>
        <w:rPr>
          <w:rFonts w:hint="eastAsia" w:ascii="黑体" w:hAnsi="黑体" w:eastAsia="黑体" w:cs="楷体"/>
          <w:b/>
          <w:color w:val="000000"/>
          <w:sz w:val="32"/>
          <w:szCs w:val="32"/>
          <w:shd w:val="clear" w:color="auto" w:fill="FFFFFF"/>
          <w:lang w:eastAsia="zh-CN"/>
        </w:rPr>
        <w:t>城关幼儿园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shd w:val="clear" w:color="auto" w:fill="FFFFFF"/>
        </w:rPr>
        <w:t>2022年度部门整体支出绩效自评报告</w:t>
      </w:r>
    </w:p>
    <w:p>
      <w:pPr>
        <w:widowControl/>
        <w:ind w:firstLine="640" w:firstLineChars="200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>
      <w:pPr>
        <w:widowControl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为进一步规范和加强预算资金管理，提高财政资金使用绩效，根据县财政局《关于开展2022年度财政支出绩效自评工作的通知》（绥财绩〔2023〕1号）相关要求，我部门对部门整体支出情况实施了绩效自评，现将自评情况报告如下：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一、部门基本情况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（一）部门职能职责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1、认真贯彻执行党和国家的有关法律法规、方针、政策，坚持民主管理，依法办园，执行上级主管部门的指示和决定。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2、实行保育和教育相结合的原则，对幼儿实施体、智、德、美诸方面全面发展的教育，促进其身心和谐发展。为家长解除后顾之忧，热忱为家长服务。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3、尊重儿童的人格尊严和基本权利，尊重儿童身心发展的特点和规律，为儿童提供健康、丰富的生活和活动环境。合理组织幼儿一日生活活动和其它活动，促进幼儿体智德美等和谐发展，全面实施素质教育。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4、严格执行幼儿园安全、卫生保健制度，保证幼儿身心健康和生命安全。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20"/>
        <w:jc w:val="left"/>
        <w:rPr>
          <w:rFonts w:hint="default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5、充分利用各种幼儿资源优势，面向家长开展多种形式的早期教育宣传、指导等服务，促进家庭教育质量的不断提高。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both"/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-SA"/>
        </w:rPr>
        <w:t>6、贯彻幼儿教育法规、传播科学教育理念、开展教育科学研究、培训师资，发挥市示范性幼儿园的示范、辐射作用。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（二）机构设置情况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2022年末，我部门内设股室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个，所属事业单位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个。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内设股室分别是：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园长室、办公室、总务室、保教室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Arial" w:hAnsi="Arial" w:eastAsia="楷体" w:cs="Arial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所属事业单位是：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lang w:eastAsia="zh-CN"/>
        </w:rPr>
        <w:t>绥宁县城关幼儿园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</w:rPr>
        <w:t>。</w:t>
      </w:r>
    </w:p>
    <w:p>
      <w:pPr>
        <w:pStyle w:val="2"/>
        <w:shd w:val="clear" w:color="auto" w:fill="FFFFFF"/>
        <w:spacing w:beforeAutospacing="0" w:afterAutospacing="0" w:line="480" w:lineRule="atLeast"/>
        <w:ind w:left="641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（三）人员编制情况</w:t>
      </w:r>
    </w:p>
    <w:p>
      <w:pPr>
        <w:pStyle w:val="2"/>
        <w:shd w:val="clear" w:color="auto" w:fill="FFFFFF"/>
        <w:spacing w:beforeAutospacing="0" w:afterAutospacing="0" w:line="480" w:lineRule="atLeast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年末，我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部门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共有编制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人，其中行政编制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人，事业编制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17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人。年末实有在职人员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人，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退休人员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，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离休人员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0</w:t>
      </w:r>
      <w: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  <w:t>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二、一般公共预算支出情况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（一）基本支出情况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eastAsia="仿宋_GB2312"/>
          <w:color w:val="0C0C0C"/>
          <w:sz w:val="32"/>
          <w:szCs w:val="32"/>
        </w:rPr>
      </w:pPr>
      <w:r>
        <w:rPr>
          <w:rFonts w:eastAsia="仿宋_GB2312"/>
          <w:color w:val="0C0C0C"/>
          <w:sz w:val="32"/>
          <w:szCs w:val="32"/>
        </w:rPr>
        <w:t>202</w:t>
      </w:r>
      <w:r>
        <w:rPr>
          <w:rFonts w:hint="eastAsia" w:eastAsia="仿宋_GB2312"/>
          <w:color w:val="0C0C0C"/>
          <w:sz w:val="32"/>
          <w:szCs w:val="32"/>
        </w:rPr>
        <w:t>2</w:t>
      </w:r>
      <w:r>
        <w:rPr>
          <w:rFonts w:eastAsia="仿宋_GB2312"/>
          <w:color w:val="0C0C0C"/>
          <w:sz w:val="32"/>
          <w:szCs w:val="32"/>
        </w:rPr>
        <w:t>年基本支出共计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/>
        </w:rPr>
        <w:t>209.17</w:t>
      </w:r>
      <w:bookmarkStart w:id="0" w:name="_GoBack"/>
      <w:bookmarkEnd w:id="0"/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，其中</w:t>
      </w:r>
      <w:r>
        <w:rPr>
          <w:rFonts w:eastAsia="仿宋_GB2312"/>
          <w:color w:val="0C0C0C"/>
          <w:sz w:val="32"/>
          <w:szCs w:val="32"/>
        </w:rPr>
        <w:t>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151.38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，</w:t>
      </w:r>
      <w:r>
        <w:rPr>
          <w:rFonts w:hint="eastAsia" w:eastAsia="仿宋_GB2312"/>
          <w:color w:val="0C0C0C"/>
          <w:sz w:val="32"/>
          <w:szCs w:val="32"/>
          <w:lang w:eastAsia="zh-CN"/>
        </w:rPr>
        <w:t>公用</w:t>
      </w:r>
      <w:r>
        <w:rPr>
          <w:rFonts w:eastAsia="仿宋_GB2312"/>
          <w:color w:val="0C0C0C"/>
          <w:sz w:val="32"/>
          <w:szCs w:val="32"/>
        </w:rPr>
        <w:t>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57.78</w:t>
      </w:r>
      <w:r>
        <w:rPr>
          <w:rFonts w:eastAsia="仿宋_GB2312"/>
          <w:color w:val="0C0C0C"/>
          <w:sz w:val="32"/>
          <w:szCs w:val="32"/>
        </w:rPr>
        <w:t>万元</w:t>
      </w:r>
      <w:r>
        <w:rPr>
          <w:rFonts w:hint="eastAsia" w:eastAsia="仿宋_GB2312"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1.人员经费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151.39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主要用于在职人员工资津补贴、奖金、离休费、社保缴费、住房公积金缴费、老干医疗费、抚恤金等。人员经费支出严格按照相关政策和标准列支。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eastAsia="仿宋_GB2312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公用经费</w:t>
      </w:r>
      <w:r>
        <w:rPr>
          <w:rFonts w:hint="eastAsia" w:eastAsia="仿宋_GB2312"/>
          <w:color w:val="0C0C0C"/>
          <w:sz w:val="32"/>
          <w:szCs w:val="32"/>
          <w:lang w:val="en-US" w:eastAsia="zh-CN"/>
        </w:rPr>
        <w:t>57.78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万元。</w:t>
      </w:r>
      <w:r>
        <w:rPr>
          <w:rFonts w:eastAsia="仿宋_GB2312"/>
          <w:color w:val="0C0C0C"/>
          <w:sz w:val="32"/>
          <w:szCs w:val="32"/>
        </w:rPr>
        <w:t>主要用于为保障基本运行而发生的办公费、印刷费、邮电费、水费、电费、物业管理费、取暖费、维修费、差旅费等。公用经费支出严格执行部门预算，厉行节约，控制运行成本。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jc w:val="both"/>
        <w:rPr>
          <w:rFonts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（二）项目支出情况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sz w:val="32"/>
          <w:szCs w:val="32"/>
        </w:rPr>
        <w:t>2022年项目支出共计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万元，其中业务工作经费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万元，运行维护经费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万元，专项资金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0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万元。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1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业务工作经费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</w:pP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2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.运行维护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经费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3" w:firstLineChars="200"/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3.上级专项资金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  <w:lang w:val="en-US" w:eastAsia="zh-CN"/>
        </w:rPr>
        <w:t>0</w:t>
      </w:r>
      <w:r>
        <w:rPr>
          <w:rFonts w:ascii="仿宋" w:hAnsi="仿宋" w:eastAsia="仿宋" w:cs="仿宋"/>
          <w:b/>
          <w:bCs/>
          <w:color w:val="0C0C0C"/>
          <w:sz w:val="32"/>
          <w:szCs w:val="32"/>
        </w:rPr>
        <w:t>万元</w:t>
      </w:r>
      <w:r>
        <w:rPr>
          <w:rFonts w:hint="eastAsia" w:ascii="仿宋" w:hAnsi="仿宋" w:eastAsia="仿宋" w:cs="仿宋"/>
          <w:b/>
          <w:bCs/>
          <w:color w:val="0C0C0C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三、政府性基金预算支出情况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2年度</w:t>
      </w:r>
      <w:r>
        <w:rPr>
          <w:rFonts w:hint="eastAsia" w:ascii="仿宋" w:hAnsi="仿宋" w:eastAsia="仿宋" w:cs="仿宋"/>
          <w:color w:val="FF0000"/>
          <w:sz w:val="32"/>
          <w:szCs w:val="32"/>
        </w:rPr>
        <w:t>无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政府性基金预算支出。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国有资本经营预算支出情况</w:t>
      </w:r>
    </w:p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napToGrid w:val="0"/>
        <w:spacing w:line="586" w:lineRule="exact"/>
        <w:ind w:firstLine="640" w:firstLineChars="200"/>
        <w:rPr>
          <w:rFonts w:ascii="仿宋" w:hAnsi="仿宋" w:eastAsia="仿宋" w:cs="仿宋"/>
          <w:color w:val="0C0C0C"/>
          <w:sz w:val="32"/>
          <w:szCs w:val="32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国有资本经营预算支出。</w:t>
      </w:r>
    </w:p>
    <w:p>
      <w:pPr>
        <w:pStyle w:val="2"/>
        <w:widowControl/>
        <w:numPr>
          <w:ilvl w:val="0"/>
          <w:numId w:val="1"/>
        </w:numPr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社会保险基金预算支出情况</w:t>
      </w:r>
    </w:p>
    <w:p>
      <w:pPr>
        <w:widowControl/>
        <w:ind w:firstLine="640" w:firstLineChars="200"/>
        <w:jc w:val="left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ascii="仿宋" w:hAnsi="仿宋" w:eastAsia="仿宋" w:cs="仿宋"/>
          <w:color w:val="0C0C0C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2</w:t>
      </w:r>
      <w:r>
        <w:rPr>
          <w:rFonts w:ascii="仿宋" w:hAnsi="仿宋" w:eastAsia="仿宋" w:cs="仿宋"/>
          <w:color w:val="0C0C0C"/>
          <w:sz w:val="32"/>
          <w:szCs w:val="32"/>
        </w:rPr>
        <w:t>年度</w:t>
      </w:r>
      <w:r>
        <w:rPr>
          <w:rFonts w:ascii="仿宋" w:hAnsi="仿宋" w:eastAsia="仿宋" w:cs="仿宋"/>
          <w:color w:val="FF0000"/>
          <w:sz w:val="32"/>
          <w:szCs w:val="32"/>
        </w:rPr>
        <w:t>无</w:t>
      </w:r>
      <w:r>
        <w:rPr>
          <w:rFonts w:ascii="仿宋" w:hAnsi="仿宋" w:eastAsia="仿宋" w:cs="仿宋"/>
          <w:color w:val="0C0C0C"/>
          <w:sz w:val="32"/>
          <w:szCs w:val="32"/>
        </w:rPr>
        <w:t>社会保险基金预算支出。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六、部门整体支出绩效情况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jc w:val="both"/>
        <w:rPr>
          <w:rFonts w:ascii="仿宋" w:hAnsi="仿宋" w:eastAsia="仿宋" w:cs="仿宋"/>
          <w:color w:val="0C0C0C"/>
          <w:kern w:val="2"/>
          <w:sz w:val="32"/>
          <w:szCs w:val="32"/>
        </w:rPr>
      </w:pP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2022年，在县委、县政府的领导下，坚持依法行政、执法为民，稳中求进，改革创新，积极作为，突出抓改革强监管促发展，各方面工作稳步推进。根据部门整体支出绩效自评评分（详见附件2），得分</w:t>
      </w:r>
      <w:r>
        <w:rPr>
          <w:rFonts w:hint="eastAsia" w:ascii="仿宋" w:hAnsi="仿宋" w:eastAsia="仿宋" w:cs="仿宋"/>
          <w:color w:val="0C0C0C"/>
          <w:sz w:val="32"/>
          <w:szCs w:val="32"/>
          <w:lang w:val="en-US" w:eastAsia="zh-CN"/>
        </w:rPr>
        <w:t>89.50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分，部门整体支出绩效为“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  <w:lang w:eastAsia="zh-CN"/>
        </w:rPr>
        <w:t>良</w:t>
      </w:r>
      <w:r>
        <w:rPr>
          <w:rFonts w:hint="eastAsia" w:ascii="仿宋" w:hAnsi="仿宋" w:eastAsia="仿宋" w:cs="仿宋"/>
          <w:color w:val="0C0C0C"/>
          <w:kern w:val="2"/>
          <w:sz w:val="32"/>
          <w:szCs w:val="32"/>
        </w:rPr>
        <w:t>”。主要绩效如下：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05" w:afterAutospacing="0" w:line="24" w:lineRule="atLeast"/>
        <w:ind w:right="0" w:firstLine="643" w:firstLineChars="200"/>
        <w:rPr>
          <w:rFonts w:hint="eastAsia" w:ascii="华文仿宋" w:hAnsi="华文仿宋" w:eastAsia="华文仿宋" w:cs="华文仿宋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（一）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成绩一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。</w:t>
      </w:r>
      <w:r>
        <w:rPr>
          <w:rFonts w:hint="eastAsia" w:ascii="华文仿宋" w:hAnsi="华文仿宋" w:eastAsia="华文仿宋" w:cs="华文仿宋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一是保障了职工工资,教师待遇补差的及时足额发放,没有出现拖欠教职工工资,二是保障了单位的正常运转,各项工作开展顺利，确保师生平安。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 w:firstLine="643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（二）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成绩二。</w:t>
      </w:r>
      <w:r>
        <w:rPr>
          <w:rFonts w:hint="eastAsia" w:ascii="华文仿宋" w:hAnsi="华文仿宋" w:eastAsia="华文仿宋" w:cs="华文仿宋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幼儿园办公室、总务处、保教室、办公室相互协调、积极配合，认真履行自己的职责，做好幼儿园各方面工作，为幼儿园的发展尽心尽力，发挥各部门应有的职能作用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ind w:firstLine="643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  <w:lang w:eastAsia="zh-CN"/>
        </w:rPr>
        <w:t>（三）</w:t>
      </w: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成绩三。</w:t>
      </w:r>
      <w:r>
        <w:rPr>
          <w:rFonts w:hint="eastAsia" w:ascii="华文仿宋" w:hAnsi="华文仿宋" w:eastAsia="华文仿宋" w:cs="华文仿宋"/>
          <w:i w:val="0"/>
          <w:caps w:val="0"/>
          <w:color w:val="2B2B2B"/>
          <w:spacing w:val="0"/>
          <w:kern w:val="0"/>
          <w:sz w:val="32"/>
          <w:szCs w:val="32"/>
          <w:shd w:val="clear" w:fill="FFFFFF"/>
          <w:lang w:val="en-US" w:eastAsia="zh-CN" w:bidi="ar"/>
        </w:rPr>
        <w:t>制定了内部管理控制制度，内部管理控制制度比较健全。内控评估存在部分问题，已按照内部控制制度执行内控管理</w:t>
      </w:r>
      <w:r>
        <w:rPr>
          <w:rFonts w:hint="eastAsia" w:ascii="仿宋" w:hAnsi="仿宋" w:eastAsia="仿宋" w:cs="仿宋"/>
          <w:color w:val="0C0C0C"/>
          <w:sz w:val="32"/>
          <w:szCs w:val="32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七、存在的问题及原因分析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left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21"/>
          <w:szCs w:val="21"/>
          <w:lang w:eastAsia="zh-CN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（一）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fill="FFFFFF"/>
        </w:rPr>
        <w:t>资金利用率有待提高；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制度的执行力有待进一步强化。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000000"/>
          <w:sz w:val="32"/>
          <w:szCs w:val="32"/>
          <w:shd w:val="clear" w:color="auto" w:fill="FFFFFF"/>
        </w:rPr>
        <w:t>（二）</w:t>
      </w: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fill="FFFFFF"/>
        </w:rPr>
        <w:t>各部门组织活动和申请业务经费时未提前谋划，活动专项经费预算意识不强。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640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八、下一步改进措施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left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fill="FFFFFF"/>
        </w:rPr>
        <w:t>1、充分有效使用预算资金，提高资金使用率；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left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fill="FFFFFF"/>
        </w:rPr>
        <w:t>2、严格控制支出，对预算指标与实际支出缩小差异。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left"/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华文仿宋" w:hAnsi="华文仿宋" w:eastAsia="华文仿宋" w:cs="华文仿宋"/>
          <w:i w:val="0"/>
          <w:caps w:val="0"/>
          <w:color w:val="333333"/>
          <w:spacing w:val="0"/>
          <w:sz w:val="32"/>
          <w:szCs w:val="32"/>
          <w:shd w:val="clear" w:fill="FFFFFF"/>
        </w:rPr>
        <w:t>3、每学期初各部门需制定详尽活动计划和经费预算，保证活动的顺利开展，并达到预期效果。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0" w:lineRule="atLeast"/>
        <w:ind w:left="0" w:right="0" w:firstLine="480"/>
        <w:jc w:val="left"/>
        <w:rPr>
          <w:rFonts w:hint="eastAsia" w:ascii="华文仿宋" w:hAnsi="华文仿宋" w:eastAsia="仿宋_GB2312" w:cs="华文仿宋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val="en-US" w:eastAsia="zh-CN"/>
        </w:rPr>
        <w:t>4、</w:t>
      </w: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财政部门继续加强对财务人员的业务培训，教育局计财科要继续做好对各学校财务人员的指导及培训工作，进一步完善财务表的编制工作，做到规范、科学、实用</w:t>
      </w:r>
      <w:r>
        <w:rPr>
          <w:rFonts w:hint="eastAsia" w:ascii="仿宋_GB2312" w:hAnsi="宋体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  <w:lang w:eastAsia="zh-CN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firstLine="645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附件：1.部门整体支出绩效评价基础数据表</w:t>
      </w:r>
    </w:p>
    <w:p>
      <w:pPr>
        <w:pStyle w:val="2"/>
        <w:widowControl/>
        <w:numPr>
          <w:ilvl w:val="0"/>
          <w:numId w:val="2"/>
        </w:numPr>
        <w:shd w:val="clear" w:color="auto" w:fill="FFFFFF"/>
        <w:spacing w:beforeAutospacing="0" w:afterAutospacing="0" w:line="480" w:lineRule="atLeast"/>
        <w:ind w:firstLine="1609" w:firstLineChars="503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部门整体支出绩效</w:t>
      </w: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numPr>
          <w:ilvl w:val="0"/>
          <w:numId w:val="0"/>
        </w:numPr>
        <w:shd w:val="clear" w:color="auto" w:fill="FFFFFF"/>
        <w:spacing w:beforeAutospacing="0" w:afterAutospacing="0" w:line="480" w:lineRule="atLeas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spacing w:val="-2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黑体" w:hAnsi="黑体" w:eastAsia="黑体" w:cs="黑体"/>
          <w:spacing w:val="-20"/>
          <w:sz w:val="32"/>
          <w:szCs w:val="32"/>
        </w:rPr>
        <w:t>2022年度部门整体支出绩效评价基数据表</w:t>
      </w:r>
    </w:p>
    <w:p>
      <w:pPr>
        <w:spacing w:line="200" w:lineRule="exact"/>
        <w:jc w:val="center"/>
        <w:rPr>
          <w:rFonts w:eastAsia="方正小标宋_GBK"/>
          <w:sz w:val="44"/>
        </w:rPr>
      </w:pPr>
    </w:p>
    <w:tbl>
      <w:tblPr>
        <w:tblStyle w:val="4"/>
        <w:tblW w:w="1004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43"/>
        <w:gridCol w:w="1207"/>
        <w:gridCol w:w="930"/>
        <w:gridCol w:w="945"/>
        <w:gridCol w:w="1110"/>
        <w:gridCol w:w="1155"/>
        <w:gridCol w:w="11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财政供养人员情况（人）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编制数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2022年实际在职人数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kern w:val="0"/>
                <w:sz w:val="32"/>
                <w:szCs w:val="21"/>
              </w:rPr>
            </w:pP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94.11%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经费控制情况（万元）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2021年决算数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2022年预算数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2022年决算数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三公经费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0.09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1、公务用车购置和维护经费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其中：公车购置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630" w:firstLineChars="300"/>
              <w:jc w:val="both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公车运行维护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840" w:firstLineChars="400"/>
              <w:jc w:val="both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ind w:firstLine="630" w:firstLineChars="300"/>
              <w:jc w:val="both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2、出国经费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3、公务接待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0.09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exac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项目支出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1、业务工作经费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2、运行维护经费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3、上级专项资金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     ××专项资金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公用经费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197.02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6.67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57.78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20" w:firstLineChars="200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其中：办公经费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6.10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0.20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    水费、电费、差旅费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1.77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0.40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1.23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 xml:space="preserve"> 会议费、培训费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2.90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政府采购金额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部门基本支出预算调整</w:t>
            </w:r>
          </w:p>
        </w:tc>
        <w:tc>
          <w:tcPr>
            <w:tcW w:w="21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23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354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楼堂馆所控制情况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（2022年完工项目）</w:t>
            </w: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批复规模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（㎡）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实际规模（㎡）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规模控制率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预算投资（万元）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实际投资（万元）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投资概算控制率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4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0.00</w:t>
            </w:r>
            <w:r>
              <w:rPr>
                <w:rFonts w:hint="eastAsia" w:ascii="仿宋" w:hAnsi="仿宋" w:eastAsia="仿宋" w:cs="仿宋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354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Cs w:val="21"/>
              </w:rPr>
              <w:t>厉行节约保障措施</w:t>
            </w:r>
          </w:p>
        </w:tc>
        <w:tc>
          <w:tcPr>
            <w:tcW w:w="65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1.严格执行中央八项规定和省市约法三章。</w:t>
            </w:r>
          </w:p>
          <w:p>
            <w:pPr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2.强化内部控制制度建设。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004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eastAsia="仿宋_GB2312"/>
                <w:kern w:val="0"/>
                <w:szCs w:val="21"/>
              </w:rPr>
            </w:pPr>
            <w:r>
              <w:rPr>
                <w:rFonts w:eastAsia="仿宋_GB2312"/>
                <w:kern w:val="0"/>
                <w:szCs w:val="21"/>
              </w:rPr>
              <w:t>说明：“项目支出”需要填报基本支出以外的所有项目支出情况，“公用经费”填报基本支出中的一般商品和服务支出。</w:t>
            </w:r>
          </w:p>
          <w:p>
            <w:pPr>
              <w:spacing w:line="240" w:lineRule="exact"/>
              <w:ind w:firstLine="315" w:firstLineChars="150"/>
              <w:rPr>
                <w:rFonts w:ascii="仿宋" w:hAnsi="仿宋" w:eastAsia="仿宋" w:cs="仿宋"/>
                <w:kern w:val="0"/>
                <w:szCs w:val="21"/>
              </w:rPr>
            </w:pPr>
          </w:p>
        </w:tc>
      </w:tr>
    </w:tbl>
    <w:p>
      <w:pPr>
        <w:widowControl/>
        <w:spacing w:line="240" w:lineRule="exact"/>
        <w:jc w:val="left"/>
        <w:rPr>
          <w:rFonts w:eastAsia="仿宋_GB2312"/>
          <w:kern w:val="0"/>
          <w:szCs w:val="21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宋体" w:hAnsi="宋体" w:cs="宋体"/>
          <w:color w:val="000000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spacing w:line="579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附件1-2</w:t>
      </w:r>
    </w:p>
    <w:p>
      <w:pPr>
        <w:spacing w:line="300" w:lineRule="exact"/>
        <w:rPr>
          <w:rFonts w:eastAsia="黑体"/>
          <w:color w:val="000000"/>
          <w:sz w:val="32"/>
          <w:szCs w:val="32"/>
        </w:rPr>
      </w:pPr>
    </w:p>
    <w:p>
      <w:pPr>
        <w:spacing w:line="740" w:lineRule="exac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2022年度部门整体支出绩效自评表</w:t>
      </w:r>
    </w:p>
    <w:p>
      <w:pPr>
        <w:spacing w:line="300" w:lineRule="exact"/>
        <w:jc w:val="center"/>
        <w:rPr>
          <w:rFonts w:eastAsia="方正小标宋_GBK"/>
          <w:sz w:val="44"/>
        </w:rPr>
      </w:pPr>
    </w:p>
    <w:tbl>
      <w:tblPr>
        <w:tblStyle w:val="4"/>
        <w:tblW w:w="1041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851"/>
        <w:gridCol w:w="770"/>
        <w:gridCol w:w="1350"/>
        <w:gridCol w:w="357"/>
        <w:gridCol w:w="1383"/>
        <w:gridCol w:w="1635"/>
        <w:gridCol w:w="825"/>
        <w:gridCol w:w="1455"/>
        <w:gridCol w:w="10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969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绥宁县城关幼儿园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年度预算申请（万元）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全年预算数(A)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全年执行数(B)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执行率(B/A)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年度资金总额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102.50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409.07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409.07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按收入性质分：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409.07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按支出性质分：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409.07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其中：一般公共预算：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209.16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210" w:firstLineChars="1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其中：基本支出：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409.07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政府性基金拨款：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项目支出：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纳入专户管理的非税收入拨款：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0.00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ind w:firstLine="840" w:firstLineChars="400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其他资金：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199.91</w:t>
            </w:r>
          </w:p>
        </w:tc>
        <w:tc>
          <w:tcPr>
            <w:tcW w:w="498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1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年初目标设定</w:t>
            </w: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全年实际完成情况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0" w:hRule="atLeast"/>
          <w:jc w:val="center"/>
        </w:trPr>
        <w:tc>
          <w:tcPr>
            <w:tcW w:w="71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71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目标1、完成本年度人员经费、公用经费保障及教学正常开展；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目标2、幼儿图书及教辅书籍购置、办公用品设备购置；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 w:firstLine="0"/>
              <w:jc w:val="both"/>
              <w:textAlignment w:val="auto"/>
              <w:outlineLvl w:val="9"/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目标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val="en-US" w:eastAsia="zh-CN"/>
              </w:rPr>
              <w:t>3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、校园、校舍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  <w:lang w:eastAsia="zh-CN"/>
              </w:rPr>
              <w:t>零星</w:t>
            </w:r>
            <w:r>
              <w:rPr>
                <w:rFonts w:hint="eastAsia" w:ascii="华文仿宋" w:hAnsi="华文仿宋" w:eastAsia="华文仿宋" w:cs="华文仿宋"/>
                <w:i w:val="0"/>
                <w:caps w:val="0"/>
                <w:color w:val="333333"/>
                <w:spacing w:val="0"/>
                <w:sz w:val="24"/>
                <w:szCs w:val="24"/>
                <w:shd w:val="clear" w:fill="FFFFFF"/>
              </w:rPr>
              <w:t>维修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49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已完成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rPr>
                <w:rFonts w:ascii="仿宋" w:hAnsi="仿宋" w:eastAsia="仿宋" w:cs="仿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绩效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Cs w:val="21"/>
              </w:rPr>
              <w:t>指标（90分）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年度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实际完成值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偏差原因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分析及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产出指标（50分）</w:t>
            </w: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数量   指标</w:t>
            </w:r>
          </w:p>
          <w:p>
            <w:pPr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本年度在职在编人员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16人，完成人员经费、公用经费保障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幼儿图书及教辅书籍购置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2500册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办公用品、设备购置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35万元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质量   指标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完成本年度单位人员经费保障任务，完成日常公用经费保障，教学正常开展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设备购置符合国家标准，合格率达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保障人员工资每月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10号前发放到位，办公经费每月按预算执行到位，保障教学正常开展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本年度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3月份开始，年末完成购置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本年完成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实施该目标年度总成本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368.32万元，其中人员经费265.07万元，日常公用经费103.25万元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368.32万元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实施目标年度总成本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40.75万元，本年度购置办公用品450件、设备6套，32.50万元、幼儿图书教辅书籍8.25万元，2500册，平均33元/册。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40.75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80%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效益指标（30分）</w:t>
            </w: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经济效益指标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工资按时到位，公用公费按时支付，促进了定消费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8.5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社会效益指标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维护了社会稳定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实现了党政重教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提升了政府形象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提高了教师的工作积极性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。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4.5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生态效益指标</w:t>
            </w: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实施该目标确保校园平安，整洁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16" w:type="dxa"/>
            <w:vMerge w:val="continue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可持续影响指标</w:t>
            </w:r>
          </w:p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确保学校教学正常高效运行，使学前儿童顺利进入小学</w:t>
            </w:r>
          </w:p>
        </w:tc>
        <w:tc>
          <w:tcPr>
            <w:tcW w:w="138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4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3.5</w:t>
            </w:r>
          </w:p>
        </w:tc>
        <w:tc>
          <w:tcPr>
            <w:tcW w:w="1073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eastAsia="zh-CN"/>
              </w:rPr>
              <w:t>设备购置确保教学正常进行，教师办公效率得到保障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90%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2.5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71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满意度指标（10分）</w:t>
            </w:r>
          </w:p>
        </w:tc>
        <w:tc>
          <w:tcPr>
            <w:tcW w:w="77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服务对象满意度指标</w:t>
            </w: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使接受教育的学前儿童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100%达标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100%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7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ascii="仿宋" w:hAnsi="仿宋" w:eastAsia="仿宋" w:cs="仿宋"/>
                <w:sz w:val="20"/>
                <w:szCs w:val="20"/>
              </w:rPr>
            </w:pPr>
          </w:p>
        </w:tc>
        <w:tc>
          <w:tcPr>
            <w:tcW w:w="17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eastAsia="zh-CN"/>
              </w:rPr>
              <w:t>使学校和家长的满意度达</w:t>
            </w: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95%以上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  <w:lang w:val="en-US" w:eastAsia="zh-CN"/>
              </w:rPr>
              <w:t>100%</w:t>
            </w: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95%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4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706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val="en-US" w:eastAsia="zh-CN"/>
              </w:rPr>
              <w:t>89.50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rPr>
                <w:rFonts w:ascii="仿宋" w:hAnsi="仿宋" w:eastAsia="仿宋" w:cs="仿宋"/>
                <w:color w:val="000000"/>
                <w:kern w:val="0"/>
                <w:szCs w:val="21"/>
              </w:rPr>
            </w:pPr>
          </w:p>
        </w:tc>
      </w:tr>
    </w:tbl>
    <w:p>
      <w:pPr>
        <w:spacing w:line="300" w:lineRule="exact"/>
        <w:jc w:val="center"/>
        <w:rPr>
          <w:rFonts w:ascii="仿宋" w:hAnsi="仿宋" w:eastAsia="仿宋" w:cs="仿宋"/>
          <w:sz w:val="44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说明：1.分值设定100分，其中预算执行率10分、产出指标50分、效益指标30分、满意度指标10分。除预算执行率外的指标应根据权重自行合理设定分值。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ind w:left="960" w:hanging="960" w:hangingChars="400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2.综合评价等级分为优秀（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大于</w:t>
      </w:r>
      <w:r>
        <w:rPr>
          <w:rFonts w:ascii="仿宋_GB2312" w:eastAsia="仿宋_GB2312" w:cs="仿宋_GB2312"/>
          <w:color w:val="000000"/>
          <w:shd w:val="clear" w:color="auto" w:fill="FFFFFF"/>
        </w:rPr>
        <w:t>90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）、良好（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80-90分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）、较差（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60-80分</w:t>
      </w:r>
      <w:r>
        <w:rPr>
          <w:rFonts w:ascii="仿宋_GB2312" w:eastAsia="仿宋_GB2312" w:cs="仿宋_GB2312"/>
          <w:color w:val="000000"/>
          <w:shd w:val="clear" w:color="auto" w:fill="FFFFFF"/>
        </w:rPr>
        <w:t>）、 差（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>小于60分</w:t>
      </w:r>
      <w:r>
        <w:rPr>
          <w:rFonts w:ascii="仿宋_GB2312" w:eastAsia="仿宋_GB2312" w:cs="仿宋_GB2312"/>
          <w:color w:val="000000"/>
          <w:shd w:val="clear" w:color="auto" w:fill="FFFFFF"/>
        </w:rPr>
        <w:t>）</w:t>
      </w:r>
      <w:r>
        <w:rPr>
          <w:rFonts w:ascii="Calibri" w:hAnsi="Calibri" w:eastAsia="仿宋_GB2312" w:cs="Calibri"/>
          <w:color w:val="000000"/>
          <w:shd w:val="clear" w:color="auto" w:fill="FFFFFF"/>
        </w:rPr>
        <w:t>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/>
          <w:color w:val="000000"/>
          <w:shd w:val="clear" w:color="auto" w:fill="FFFFFF"/>
        </w:rPr>
        <w:t>     </w:t>
      </w:r>
      <w:r>
        <w:rPr>
          <w:rFonts w:hint="eastAsia" w:ascii="仿宋_GB2312" w:eastAsia="仿宋_GB2312" w:cs="仿宋_GB2312"/>
          <w:color w:val="000000"/>
          <w:shd w:val="clear" w:color="auto" w:fill="FFFFFF"/>
        </w:rPr>
        <w:t xml:space="preserve">  </w:t>
      </w:r>
      <w:r>
        <w:rPr>
          <w:rFonts w:ascii="仿宋_GB2312" w:eastAsia="仿宋_GB2312" w:cs="仿宋_GB2312"/>
          <w:color w:val="000000"/>
          <w:shd w:val="clear" w:color="auto" w:fill="FFFFFF"/>
        </w:rPr>
        <w:t>3.三级绩效指标按需自行增减行。个别不涉及的二级指标可删除不要。</w:t>
      </w:r>
    </w:p>
    <w:p>
      <w:pPr>
        <w:pStyle w:val="2"/>
        <w:widowControl/>
        <w:shd w:val="clear" w:color="auto" w:fill="FFFFFF"/>
        <w:spacing w:beforeAutospacing="0" w:afterAutospacing="0" w:line="480" w:lineRule="atLeast"/>
        <w:rPr>
          <w:rFonts w:ascii="微软雅黑" w:hAnsi="微软雅黑" w:eastAsia="微软雅黑" w:cs="微软雅黑"/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color w:val="000000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62" w:beforeAutospacing="0" w:afterAutospacing="0" w:line="480" w:lineRule="atLeast"/>
        <w:jc w:val="both"/>
        <w:rPr>
          <w:rFonts w:ascii="仿宋_GB2312" w:eastAsia="仿宋_GB2312" w:cs="仿宋_GB2312"/>
          <w:color w:val="000000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80" w:lineRule="atLeast"/>
        <w:jc w:val="both"/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D80E2BE"/>
    <w:multiLevelType w:val="singleLevel"/>
    <w:tmpl w:val="9D80E2B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DD6DCE7"/>
    <w:multiLevelType w:val="singleLevel"/>
    <w:tmpl w:val="6DD6DCE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34FEF"/>
    <w:rsid w:val="00212565"/>
    <w:rsid w:val="008D5CE1"/>
    <w:rsid w:val="00A34FEF"/>
    <w:rsid w:val="00AD6A00"/>
    <w:rsid w:val="00EA3FF1"/>
    <w:rsid w:val="00F8057A"/>
    <w:rsid w:val="027B56DC"/>
    <w:rsid w:val="07104BD8"/>
    <w:rsid w:val="11450B5C"/>
    <w:rsid w:val="13C340EE"/>
    <w:rsid w:val="15EB78C7"/>
    <w:rsid w:val="1AD806F7"/>
    <w:rsid w:val="1ADF1950"/>
    <w:rsid w:val="24ED576E"/>
    <w:rsid w:val="25681710"/>
    <w:rsid w:val="2DC30733"/>
    <w:rsid w:val="2E7E74C8"/>
    <w:rsid w:val="2FFB3219"/>
    <w:rsid w:val="303844D0"/>
    <w:rsid w:val="32A57E1E"/>
    <w:rsid w:val="3BC25D38"/>
    <w:rsid w:val="3E15651F"/>
    <w:rsid w:val="42D65C6D"/>
    <w:rsid w:val="44F82B50"/>
    <w:rsid w:val="499757A1"/>
    <w:rsid w:val="4BD22632"/>
    <w:rsid w:val="5A474D19"/>
    <w:rsid w:val="5EAD64D5"/>
    <w:rsid w:val="72F80633"/>
    <w:rsid w:val="7A37401B"/>
    <w:rsid w:val="7AB53EC1"/>
    <w:rsid w:val="7CB8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351</Words>
  <Characters>2002</Characters>
  <Lines>16</Lines>
  <Paragraphs>4</Paragraphs>
  <TotalTime>10</TotalTime>
  <ScaleCrop>false</ScaleCrop>
  <LinksUpToDate>false</LinksUpToDate>
  <CharactersWithSpaces>2349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2023-08-22T02:49:00Z</dcterms:created>
  <dc:creator>Administrator</dc:creator>
  <cp:lastModifiedBy>Administrator</cp:lastModifiedBy>
  <dcterms:modified xsi:type="dcterms:W3CDTF">2023-09-01T08:17:24Z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