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DBCC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</w:p>
    <w:p w14:paraId="61A9C22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2024年度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部门整体支出绩效自评报告</w:t>
      </w:r>
    </w:p>
    <w:p w14:paraId="456D15B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绥宁县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财政局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</w:p>
    <w:p w14:paraId="7C306F2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2025年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3月5日</w:t>
      </w:r>
    </w:p>
    <w:p w14:paraId="5308449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44"/>
          <w:szCs w:val="44"/>
        </w:rPr>
      </w:pPr>
    </w:p>
    <w:p w14:paraId="0EC62585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为进一步规范和加强预算资金管理，提高财政资金使用绩效，根据县财政局《关于开展2024年度财政支出绩效自评工作的通知》（绥财绩〔2025〕1号）相关要求，我部门对部门整体支出情况实施了绩效自评，现将自评情况报告如下：</w:t>
      </w:r>
    </w:p>
    <w:p w14:paraId="45341E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一、部门基本情况</w:t>
      </w:r>
    </w:p>
    <w:p w14:paraId="0D84330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部门职能职责</w:t>
      </w:r>
    </w:p>
    <w:p w14:paraId="01495B28">
      <w:pPr>
        <w:pStyle w:val="5"/>
        <w:widowControl/>
        <w:shd w:val="clear" w:color="auto" w:fill="FFFFFF"/>
        <w:spacing w:beforeAutospacing="0" w:afterAutospacing="0" w:line="480" w:lineRule="atLeast"/>
        <w:ind w:left="958" w:leftChars="304" w:hanging="320" w:hangingChars="100"/>
        <w:rPr>
          <w:rFonts w:hint="eastAsia" w:ascii="仿宋" w:hAnsi="仿宋" w:eastAsia="仿宋" w:cs="Times New Roman"/>
          <w:color w:val="010101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color w:val="010101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Times New Roman"/>
          <w:color w:val="010101"/>
          <w:kern w:val="2"/>
          <w:sz w:val="32"/>
          <w:szCs w:val="32"/>
          <w:lang w:val="en-US" w:eastAsia="zh-CN" w:bidi="ar-SA"/>
        </w:rPr>
        <w:t>组织贯彻执行国家财税方针政策，拟订和执行全县</w:t>
      </w:r>
    </w:p>
    <w:p w14:paraId="4A645DFF">
      <w:pPr>
        <w:pStyle w:val="5"/>
        <w:widowControl/>
        <w:shd w:val="clear" w:color="auto" w:fill="FFFFFF"/>
        <w:spacing w:beforeAutospacing="0" w:afterAutospacing="0" w:line="480" w:lineRule="atLeast"/>
        <w:rPr>
          <w:rFonts w:hint="eastAsia" w:ascii="仿宋" w:hAnsi="仿宋" w:eastAsia="仿宋" w:cs="Times New Roman"/>
          <w:color w:val="010101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10101"/>
          <w:kern w:val="2"/>
          <w:sz w:val="32"/>
          <w:szCs w:val="32"/>
          <w:lang w:val="en-US" w:eastAsia="zh-CN" w:bidi="ar-SA"/>
        </w:rPr>
        <w:t>财政政策、改革方案，指导全县财政工作；分析预测宏观经济形势，参与制定各项宏观经济政策；提出运用财税政策实施宏观调控和综合平衡社会财力的建议；拟订和执行县、乡（镇）政府与企业的分配政策，完善鼓励公益事业发展的财税政策。</w:t>
      </w:r>
    </w:p>
    <w:p w14:paraId="2BCFAA36">
      <w:pPr>
        <w:pStyle w:val="5"/>
        <w:widowControl/>
        <w:shd w:val="clear" w:color="auto" w:fill="FFFFFF"/>
        <w:spacing w:beforeAutospacing="0" w:afterAutospacing="0" w:line="480" w:lineRule="atLeast"/>
        <w:ind w:left="640"/>
        <w:rPr>
          <w:rFonts w:hint="eastAsia" w:ascii="仿宋" w:hAnsi="仿宋" w:eastAsia="仿宋"/>
          <w:color w:val="01010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10101"/>
          <w:sz w:val="32"/>
          <w:szCs w:val="32"/>
          <w:lang w:val="en-US" w:eastAsia="zh-CN"/>
        </w:rPr>
        <w:t>2、代县政府起草财政、财务、会计管理的制度及办法。</w:t>
      </w:r>
    </w:p>
    <w:p w14:paraId="7E66D9DA">
      <w:pPr>
        <w:numPr>
          <w:ilvl w:val="0"/>
          <w:numId w:val="0"/>
        </w:numPr>
        <w:autoSpaceDN w:val="0"/>
        <w:ind w:left="638" w:leftChars="304" w:firstLine="0" w:firstLineChars="0"/>
        <w:rPr>
          <w:rFonts w:hint="eastAsia" w:ascii="仿宋" w:hAnsi="仿宋" w:eastAsia="仿宋"/>
          <w:color w:val="01010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10101"/>
          <w:sz w:val="32"/>
          <w:szCs w:val="32"/>
          <w:lang w:val="en-US" w:eastAsia="zh-CN"/>
        </w:rPr>
        <w:t>3、承担县本级各项财政收支管理的责任。负责编制县</w:t>
      </w:r>
    </w:p>
    <w:p w14:paraId="6B896414">
      <w:pPr>
        <w:numPr>
          <w:ilvl w:val="0"/>
          <w:numId w:val="0"/>
        </w:numPr>
        <w:autoSpaceDN w:val="0"/>
        <w:rPr>
          <w:rFonts w:hint="eastAsia" w:ascii="仿宋" w:hAnsi="仿宋" w:eastAsia="仿宋"/>
          <w:color w:val="01010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10101"/>
          <w:sz w:val="32"/>
          <w:szCs w:val="32"/>
          <w:lang w:val="en-US" w:eastAsia="zh-CN"/>
        </w:rPr>
        <w:t>本级年度预决算草案并组织执行。代编全县财政收支预算，汇总全县财政总决算；受县人民政府委托，向县人民代表大会报告县本级、全县财政预算及其执行情况，向县人大常委会报告决算。组织制订县本级经费开支标准、定额，负责审核批复部门（单位）的年度预决算。完善转移支付制度，推进省直管县财政体制改革。</w:t>
      </w:r>
    </w:p>
    <w:p w14:paraId="60BE807B">
      <w:pPr>
        <w:autoSpaceDN w:val="0"/>
        <w:rPr>
          <w:rFonts w:hint="eastAsia" w:ascii="仿宋" w:hAnsi="仿宋" w:eastAsia="仿宋"/>
          <w:color w:val="01010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10101"/>
          <w:sz w:val="32"/>
          <w:szCs w:val="32"/>
          <w:lang w:val="en-US" w:eastAsia="zh-CN"/>
        </w:rPr>
        <w:t>    4、负责政府非税收入管理，负责政府性基金管理，按规定管理行政事业性收费。管理财政票据。制定彩票管理政策和有关办法，管理彩票市场，会同有关部门监督和管理彩票公益资金，管理其他彩票资金。</w:t>
      </w:r>
    </w:p>
    <w:p w14:paraId="67423CA8">
      <w:pPr>
        <w:autoSpaceDN w:val="0"/>
        <w:rPr>
          <w:rFonts w:hint="eastAsia" w:ascii="仿宋" w:hAnsi="仿宋" w:eastAsia="仿宋"/>
          <w:color w:val="01010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10101"/>
          <w:sz w:val="32"/>
          <w:szCs w:val="32"/>
          <w:lang w:val="en-US" w:eastAsia="zh-CN"/>
        </w:rPr>
        <w:t>    5、组织制定国库管理制度、国库集中收付制度，指导和监督县本级国库业务，按规定开展国库现金管理工作。负责制定政府采购制度并监督管理。</w:t>
      </w:r>
    </w:p>
    <w:p w14:paraId="05BABA2E">
      <w:pPr>
        <w:autoSpaceDN w:val="0"/>
        <w:rPr>
          <w:rFonts w:hint="eastAsia" w:ascii="仿宋" w:hAnsi="仿宋" w:eastAsia="仿宋"/>
          <w:color w:val="01010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10101"/>
          <w:sz w:val="32"/>
          <w:szCs w:val="32"/>
          <w:lang w:val="en-US" w:eastAsia="zh-CN"/>
        </w:rPr>
        <w:t>    6、贯彻执行国家税收法律、行政法规和税收调整政策，反馈政策执行情况，提出调整建议。参与县管理权限内有关税收政策及税收政策调整方案的调查研究，提出对策建议。</w:t>
      </w:r>
    </w:p>
    <w:p w14:paraId="3F4B1D9F">
      <w:pPr>
        <w:autoSpaceDN w:val="0"/>
        <w:rPr>
          <w:rFonts w:hint="eastAsia" w:ascii="仿宋" w:hAnsi="仿宋" w:eastAsia="仿宋"/>
          <w:color w:val="01010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10101"/>
          <w:sz w:val="32"/>
          <w:szCs w:val="32"/>
          <w:lang w:val="en-US" w:eastAsia="zh-CN"/>
        </w:rPr>
        <w:t>    7、负责制定全县行政事业单位国有资产管理规章制度，会同有关部门管理行政事业单位国有资产，制定需要全县统一规定的开支标准和支出政策，负责财政预算内行政、事业单位和社会团体的非贸易外汇管理。             </w:t>
      </w:r>
    </w:p>
    <w:p w14:paraId="75AC868A">
      <w:pPr>
        <w:autoSpaceDN w:val="0"/>
        <w:ind w:firstLine="640" w:firstLineChars="200"/>
        <w:rPr>
          <w:rFonts w:hint="eastAsia" w:ascii="仿宋" w:hAnsi="仿宋" w:eastAsia="仿宋"/>
          <w:color w:val="01010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10101"/>
          <w:sz w:val="32"/>
          <w:szCs w:val="32"/>
          <w:lang w:val="en-US" w:eastAsia="zh-CN"/>
        </w:rPr>
        <w:t>8、负责审核和汇总编制全县国有资本经营预决算草案，制定国有资本经营预算的制度和办法，收取县本级企业国有资本收益，组织实施企业财务制度，参与拟订企业国有资产管理相关制度，负责县级经营性国有资产管理，按规定管理国有资产评估处置工作。  </w:t>
      </w:r>
    </w:p>
    <w:p w14:paraId="4940974D">
      <w:pPr>
        <w:autoSpaceDN w:val="0"/>
        <w:rPr>
          <w:rFonts w:hint="eastAsia" w:ascii="仿宋" w:hAnsi="仿宋" w:eastAsia="仿宋"/>
          <w:color w:val="01010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10101"/>
          <w:sz w:val="32"/>
          <w:szCs w:val="32"/>
          <w:lang w:val="en-US" w:eastAsia="zh-CN"/>
        </w:rPr>
        <w:t>    9、负责办理和监督县财政的经济发展支出、县级政府性投资项目的财政拨款，参与拟订县建设投资的有关政策，组织实施基本建设财务制度，负责有关政策性补贴和专项储备资金财政管理工作。</w:t>
      </w:r>
    </w:p>
    <w:p w14:paraId="2836B86F">
      <w:pPr>
        <w:autoSpaceDN w:val="0"/>
        <w:rPr>
          <w:rFonts w:hint="eastAsia" w:ascii="仿宋" w:hAnsi="仿宋" w:eastAsia="仿宋"/>
          <w:color w:val="01010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10101"/>
          <w:sz w:val="32"/>
          <w:szCs w:val="32"/>
          <w:lang w:val="en-US" w:eastAsia="zh-CN"/>
        </w:rPr>
        <w:t>    10、会同有关部门管理县财政社会保障和就业及医疗卫生支出，组织实施社会保障资金（基金）的财务管理制度，编制县社会保障预决算草案。</w:t>
      </w:r>
    </w:p>
    <w:p w14:paraId="7EA8F2A7">
      <w:pPr>
        <w:autoSpaceDN w:val="0"/>
        <w:rPr>
          <w:rFonts w:hint="eastAsia" w:ascii="仿宋" w:hAnsi="仿宋" w:eastAsia="仿宋"/>
          <w:color w:val="01010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10101"/>
          <w:sz w:val="32"/>
          <w:szCs w:val="32"/>
          <w:lang w:val="en-US" w:eastAsia="zh-CN"/>
        </w:rPr>
        <w:t>    11、贯彻执行政府内外债务管理的政策、制度和办法，防范财政风险。负责统一管理县政府外债，制定基本管理制度，按规定管理外国政府和国际金融组织贷（赠）款。承担财税领域交流与合作的具体工作。</w:t>
      </w:r>
    </w:p>
    <w:p w14:paraId="35422B92">
      <w:pPr>
        <w:autoSpaceDN w:val="0"/>
        <w:rPr>
          <w:rFonts w:hint="eastAsia" w:ascii="仿宋" w:hAnsi="仿宋" w:eastAsia="仿宋"/>
          <w:color w:val="01010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10101"/>
          <w:sz w:val="32"/>
          <w:szCs w:val="32"/>
          <w:lang w:val="en-US" w:eastAsia="zh-CN"/>
        </w:rPr>
        <w:t>    12、负责管理全县的会计工作，监督和规范会计行为，组织实施国家统一的会计制度，组织实施会计行政法规规章，指导和监督注册会计师和会计事务所的业务,指导和管理社会审计。</w:t>
      </w:r>
    </w:p>
    <w:p w14:paraId="14C1C155">
      <w:pPr>
        <w:autoSpaceDN w:val="0"/>
        <w:ind w:firstLine="320" w:firstLineChars="100"/>
        <w:rPr>
          <w:rFonts w:hint="eastAsia" w:ascii="仿宋" w:hAnsi="仿宋" w:eastAsia="仿宋"/>
          <w:color w:val="01010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10101"/>
          <w:sz w:val="32"/>
          <w:szCs w:val="32"/>
          <w:lang w:val="en-US" w:eastAsia="zh-CN"/>
        </w:rPr>
        <w:t>  13、监督财税法规、政策的执行情况，反映财政收支管理中的重大问题，提出加强财政管理的政策和建议。</w:t>
      </w:r>
    </w:p>
    <w:p w14:paraId="03C17AAB">
      <w:pPr>
        <w:autoSpaceDN w:val="0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color w:val="010101"/>
          <w:sz w:val="32"/>
          <w:szCs w:val="32"/>
          <w:lang w:val="en-US" w:eastAsia="zh-CN"/>
        </w:rPr>
        <w:t>    14、负责全县乡镇财政管理，研究提出乡镇财政管理的政策和办法，研究拟定乡镇财政管理体制，加强乡镇财政所建设。</w:t>
      </w:r>
    </w:p>
    <w:p w14:paraId="673D745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/>
          <w:color w:val="010101"/>
          <w:sz w:val="32"/>
          <w:szCs w:val="32"/>
          <w:lang w:val="en-US" w:eastAsia="zh-CN"/>
        </w:rPr>
        <w:t>15、承办县委、县政府交办的其他事项。</w:t>
      </w:r>
    </w:p>
    <w:p w14:paraId="41B30BA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机构设置情况</w:t>
      </w:r>
    </w:p>
    <w:p w14:paraId="06CE088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640" w:firstLineChars="200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年末，</w:t>
      </w:r>
      <w:r>
        <w:rPr>
          <w:rFonts w:hint="eastAsia" w:ascii="仿宋" w:hAnsi="仿宋" w:eastAsia="仿宋"/>
          <w:color w:val="010101"/>
          <w:sz w:val="32"/>
          <w:szCs w:val="32"/>
          <w:lang w:val="en-US" w:eastAsia="zh-CN"/>
        </w:rPr>
        <w:t>绥宁县财政局单位内设机构包括：办公室(信息股), 政工股(离退休人员服务股、党建工作办公室), 综合规划股（行政审批服务股、非税收入管理股）, 预算股（绩效管理股）, 国库股, 行政政法股, 经济建设股（企业股、对外经济贸易股、绥宁县县域经济与产业发展融资管理办公室）, 农业农村股, 教科文股, 社会保障股, 金融与政府债务管理股（绥宁县政府和社会资本合作（PPP）办公室）, ）国有资产与政府采购管理股, 乡财股, 财政监督检查与会计管理股（税政法规股、财政投资评审股）14个股室,设国库支付中心,财政事务中心、投资评审中心3个二级机构。</w:t>
      </w:r>
    </w:p>
    <w:p w14:paraId="7413D65E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641" w:right="0" w:firstLine="0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人员编制情况</w:t>
      </w:r>
    </w:p>
    <w:p w14:paraId="0CD9F85A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right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年末，我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部门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共有编制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126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人，其中行政编制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113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人，事业编制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13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人。年末实有在职人员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126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退休人员7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离休人员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人。</w:t>
      </w:r>
    </w:p>
    <w:p w14:paraId="367326D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二、一般公共预算支出情况</w:t>
      </w:r>
    </w:p>
    <w:p w14:paraId="5B044B4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left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基本支出情况</w:t>
      </w:r>
    </w:p>
    <w:p w14:paraId="4241D277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C0C0C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</w:rPr>
        <w:t>年基本支出共计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2961.62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</w:rPr>
        <w:t>万元</w:t>
      </w:r>
      <w:r>
        <w:rPr>
          <w:rFonts w:hint="eastAsia" w:eastAsia="仿宋_GB2312" w:cs="Times New Roman"/>
          <w:color w:val="0C0C0C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color w:val="0C0C0C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人员经费</w:t>
      </w:r>
      <w:r>
        <w:rPr>
          <w:rFonts w:hint="eastAsia" w:eastAsia="仿宋_GB2312" w:cs="Times New Roman"/>
          <w:color w:val="0C0C0C"/>
          <w:sz w:val="32"/>
          <w:szCs w:val="32"/>
          <w:lang w:val="en-US" w:eastAsia="zh-CN"/>
        </w:rPr>
        <w:t>1762.06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color w:val="0C0C0C"/>
          <w:sz w:val="32"/>
          <w:szCs w:val="32"/>
          <w:lang w:val="en-US" w:eastAsia="zh-CN"/>
        </w:rPr>
        <w:t>公用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经费</w:t>
      </w:r>
      <w:r>
        <w:rPr>
          <w:rFonts w:hint="eastAsia" w:eastAsia="仿宋_GB2312" w:cs="Times New Roman"/>
          <w:color w:val="0C0C0C"/>
          <w:sz w:val="32"/>
          <w:szCs w:val="32"/>
          <w:lang w:val="en-US" w:eastAsia="zh-CN"/>
        </w:rPr>
        <w:t>1199.56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。</w:t>
      </w:r>
    </w:p>
    <w:p w14:paraId="454BE2BC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C0C0C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1.人员经费</w:t>
      </w:r>
      <w:r>
        <w:rPr>
          <w:rFonts w:hint="eastAsia" w:eastAsia="仿宋_GB2312" w:cs="Times New Roman"/>
          <w:color w:val="0C0C0C"/>
          <w:sz w:val="32"/>
          <w:szCs w:val="32"/>
          <w:lang w:val="en-US" w:eastAsia="zh-CN"/>
        </w:rPr>
        <w:t>1762.06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万元。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</w:rPr>
        <w:t>主要用于在职人员工资津补贴、奖金、离休费、社保缴费、住房公积金缴费、老干医疗费、抚恤金等。人员经费支出严格按照相关政策和标准列支。</w:t>
      </w:r>
    </w:p>
    <w:p w14:paraId="2F7D09FB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C0C0C"/>
          <w:sz w:val="32"/>
          <w:szCs w:val="32"/>
        </w:rPr>
      </w:pPr>
      <w:r>
        <w:rPr>
          <w:rFonts w:hint="default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公用经费</w:t>
      </w:r>
      <w:r>
        <w:rPr>
          <w:rFonts w:hint="eastAsia" w:eastAsia="仿宋_GB2312" w:cs="Times New Roman"/>
          <w:color w:val="0C0C0C"/>
          <w:sz w:val="32"/>
          <w:szCs w:val="32"/>
          <w:lang w:val="en-US" w:eastAsia="zh-CN"/>
        </w:rPr>
        <w:t>1199.56</w:t>
      </w:r>
      <w:r>
        <w:rPr>
          <w:rFonts w:hint="default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万元。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</w:rPr>
        <w:t>主要用于为保障基本运行而发生的办公费、印刷费、邮电费、水费、电费、物业管理费、取暖费、维修费、差旅费等。公用经费支出严格执行部门预算，厉行节约，控制运行成本。</w:t>
      </w:r>
    </w:p>
    <w:p w14:paraId="3A0562C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项目支出情况</w:t>
      </w:r>
    </w:p>
    <w:p w14:paraId="6E5683D9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86" w:lineRule="exact"/>
        <w:ind w:firstLine="640" w:firstLineChars="200"/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年项目支出共计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410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。主要用于绩效管理及聘请中介机构绩效评价20万，国库管理材料费25万元，政府采购材料费10万元，国库、非税、乡财、国资网络租赁及其他60万元,信息公开5万，财源、法制建设10万，预算编审及印刷10万元，非税票据工本费20万，公车改革5万元，债券融资9万。乡镇财政经费湘财乡[2006]5号文件：按2002年基数为175万元。会计制度改革10万元，扶贫资金动态监控50万元，互联网+监督工作50万元，全县财政管理信息系统维护及电费60万元。农村财务“双代管”、“互联网+监督”村级财务电算化14万元。</w:t>
      </w:r>
    </w:p>
    <w:p w14:paraId="674D7A2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三、政府性基金预算支出情况</w:t>
      </w:r>
    </w:p>
    <w:p w14:paraId="57673843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2024年度无政府性基金预算支出。</w:t>
      </w:r>
    </w:p>
    <w:p w14:paraId="22431B53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 w14:paraId="1CC658DD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2024</w:t>
      </w:r>
      <w:r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  <w:t>年度无国有资本经营预算支出。</w:t>
      </w:r>
    </w:p>
    <w:p w14:paraId="4F4A430B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leftChars="0" w:right="0" w:firstLine="0" w:firstLineChars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 w14:paraId="76A5F45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2024</w:t>
      </w:r>
      <w:r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  <w:t>年度无社会保险基金预算支出。</w:t>
      </w:r>
    </w:p>
    <w:p w14:paraId="59F9191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 w14:paraId="4B473AD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jc w:val="both"/>
        <w:rPr>
          <w:rFonts w:hint="eastAsia" w:ascii="仿宋" w:hAnsi="仿宋" w:eastAsia="仿宋" w:cs="仿宋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C0C0C"/>
          <w:kern w:val="2"/>
          <w:sz w:val="32"/>
          <w:szCs w:val="32"/>
          <w:lang w:val="en-US" w:eastAsia="zh-CN" w:bidi="ar-SA"/>
        </w:rPr>
        <w:t>2024年，在县委、县政府的领导下，坚持依法行政、执法为民，稳中求进，改革创新，积极作为，突出抓改革强监管促发展，各方面工作稳步推进。根据部门整体支出绩效自评评分（详见附件2），得分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90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lang w:val="en-US" w:eastAsia="zh-CN" w:bidi="ar-SA"/>
        </w:rPr>
        <w:t>分，部门整体支出绩效为“良”。主要绩效如下：</w:t>
      </w:r>
    </w:p>
    <w:p w14:paraId="37575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(一)多措并举抓增收，全力以赴促发展。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一是加强财源建设。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制定《绥宁县2024年“三高四新”财源建设工程实施方案》，全力推进13项财源建设重点任务目标。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二是盘活存量“三资”。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三是落实积极财政政策。四是加力争资争项。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紧盯2024年度争项目(政策)争资金目标任务，积极向上争取资金。</w:t>
      </w:r>
    </w:p>
    <w:p w14:paraId="4F6C08F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(二)加大投入补短板，真情实意惠民生。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扎实推进教育均衡发展。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夯实教育发展基础，继续支持推进校舍维修、乡镇标准化寄宿制学校建设、“徐特立项目”等，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全面落实教育经费保障政策，足额保障民转公、教师待遇等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，累计实现教育总投入5.78亿元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二是及时足额发放惠农补贴资金。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不断更新完善补贴人员信息，及时下达、录入各项惠农补贴资金，确保惠农补贴资金足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额及时发放，增强老百姓的获得感和幸福感。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通过“一卡通”信息平台累计发放各类惠农补贴133项28855.23万元，累计发放67.43万人次。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全力实施乡村振兴战略。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划投入乡村振兴衔接资金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16312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万元，实施项目278个，用于加大农村基础设施建设、改善农村人居环境和促进农业产业发展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。</w:t>
      </w:r>
    </w:p>
    <w:p w14:paraId="48E67EE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default" w:ascii="仿宋" w:hAnsi="仿宋" w:eastAsia="仿宋" w:cs="仿宋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(三)强化预算约束力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，打好节支“铁算盘”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一是持续贯彻落实 “过紧日子”要求。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严格按照《绥宁县关于进一步规范财政管理工作的十条规定》，规范财政管理，2024年初预算压减一般性支出507万元，三公经费只减不增。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二是推动预算绩效管理提质增效。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积极推进财政重点评价工作，对9个重点项目和3个部门(单位)整体支出开展了财政重点绩效评价工作。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三是规范政府投资基本建设项目管理。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全力推进政府投资项目建设管理规范化。2024年审查政府性投资工程项目330个，综合审减率14.05%，节约财政资金27595.36万元。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四是规范国有资产管理。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制定《绥宁县行政事业单位国有资产处置管理办法》《绥宁县国有资产评估管理办法》,从严、从紧按标准配备资产，规范国有资产处置行为。</w:t>
      </w:r>
    </w:p>
    <w:p w14:paraId="50CE390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 w14:paraId="3E61C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一是税源潜力不足。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受经济下行因素影响，建筑业、房地产业等重点行业市场疲软，骨干企业支撑乏力，且经过多年的挖潜，新增可供用地十分有限，税收呈断崖式下降；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二是重点项目建设缓慢。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截至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月底，根据项目建设进度拨付资金37130.67万元，支付进度为25.25%，总体进度滞后；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三是收支矛盾日益突出。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财政刚性支出持续增长，各类民生项目、专项工作需要匹配资金较多，财政收支缺口持续加大，收支矛盾凸显，导致国库库款保障压力持续增大；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四是落实“过紧日子”要求存在差距。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年初预算安排的全县性项目经费支出较快，各部门难以落实新增支出先从预算内经费调剂安排的要求，再加上年中各种追加经费的情况，财政保障压力巨大。</w:t>
      </w:r>
    </w:p>
    <w:p w14:paraId="0A52D7C5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下一步改进措施</w:t>
      </w:r>
    </w:p>
    <w:p w14:paraId="78078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(一)持续强基固本，稳住经济大盘。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一是推动财源建设工程提质。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聚焦加大招商引资、做大做强楠竹特色主导产业、土地出让等，加强调度与协调，全力以赴确保招商引资等13项财源建设任务目标按期完成。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加力税收征管。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加大对财行税清理力度，重点对耕地占用税、印花税和土地增值税进行清理清查；加强对重点项目、重点行业进行监管，重点对建安房地产、楠竹、加油站等行业进行清理清查。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三是推动“三资”盘活增效。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持续深化改革，加大闲置国有资产处置力度，着力让沉睡资产“动起来”、沉淀资金“活起来”，实现经济效益和社会效益双提升。</w:t>
      </w:r>
    </w:p>
    <w:p w14:paraId="39EA8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(二)持续节流减支，加强财政保障能力。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一是深化零基预算改革。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坚持以“零”为起点，所有支出按照“先定事后定钱”的原则，破除“基数”观念，改变投向固化格局，深度优化支出结构。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二是强化预算约束。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严格执行人大批准的预算，严禁超预算、无预算安排支出。严控预算追加，一般不出台增加当年支出的政策，严禁出台溯及以前年度的增支政策。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三是健全过紧日子长效机制。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加强预算执行监控，完善支出审核机制，大力压减一般性支出，从严控制非重点非刚性项目支出，从紧管控财政供养人员开支，腾出更多财力用于保民生促发展。</w:t>
      </w:r>
    </w:p>
    <w:p w14:paraId="06167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(三)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抢抓机遇，加大争资争项力度。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一是加力争取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超长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期特别国债。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积极与上级部门沟通对接，及时掌握政策资金动向和申报时间节点，进一步提高项目谋划申报的契合度、精准度。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是积极谋划中央和省级预算内项目储备。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聚焦2025年中央和省级预算内资金支持领域，做好项目谋划储备申报，如农业行业基础能力建设、环境基础设施提标改造项目等，争取更多项目列入国家、省级重大项目库。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是紧盯一揽子增量政策。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抢抓国家政策机遇，深入研究、吃透政策、精准对接，高质量储备项目，争取更多项目挤进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国家、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计划盘子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更多资金落户绥宁。</w:t>
      </w:r>
    </w:p>
    <w:p w14:paraId="56302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(四)持续提质增效，提升财政管理水平。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一是强化绩效结果运用。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健全重大政策事前绩效评估机制，聚焦“三个高地”建设、民生保障等领域重点支出开展绩效评价，评价结果与项目入库、预算安排和政策调整挂钩，体现奖优罚劣导向。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二是持续强化财会监督。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加快推进监督贯通，构建财政部门主责监督、有关部门依责监督、各单位内部监督的财会监督体系，持续开展财会监督专项行动。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三是加强政府采购全程监督管理。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着重规范工程项目的政府采购行为，坚持阳光采购，促进公平竞争，对采购项目进行备案管理，做到公开、公平、公正。</w:t>
      </w:r>
    </w:p>
    <w:p w14:paraId="0483D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(五)持续从严从紧，深化党风廉政建设。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坚定不移强化政治统领，持续巩固党纪学习教育成果，引导党员干部学纪、知纪、明纪、守纪；持之以恒加强党建引领，严格落实主体责任，不断建强基层战斗堡垒；久久为功推进清廉财政建设，加大典型案例通报力度，涵养新时代财政廉洁文化；坚持不懈抓好队伍建设，强化“关键少数”示范引领，加强青年财政干部教育监督培养，着力打造一支忠诚干净担当的高素质专业化财政干部队伍。</w:t>
      </w:r>
    </w:p>
    <w:p w14:paraId="0F98CB15">
      <w:pPr>
        <w:pStyle w:val="5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leftChars="0" w:right="0" w:rightChars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08CA5178"/>
    <w:p w14:paraId="25F71029"/>
    <w:p w14:paraId="5EB97D5A"/>
    <w:p w14:paraId="1F67AAD9"/>
    <w:p w14:paraId="39EFDCA3"/>
    <w:p w14:paraId="37B72010"/>
    <w:p w14:paraId="6D0CBFFD"/>
    <w:p w14:paraId="03EF42B5"/>
    <w:p w14:paraId="2CEAE07F"/>
    <w:p w14:paraId="63952034"/>
    <w:p w14:paraId="078EC26B"/>
    <w:p w14:paraId="013483E7"/>
    <w:p w14:paraId="5E3340AD"/>
    <w:p w14:paraId="004DB883"/>
    <w:p w14:paraId="2FFE0480"/>
    <w:p w14:paraId="1263D645"/>
    <w:p w14:paraId="3270B2B4"/>
    <w:p w14:paraId="02E49F9B"/>
    <w:p w14:paraId="75278DF5"/>
    <w:p w14:paraId="3C1652D4"/>
    <w:p w14:paraId="5955530F"/>
    <w:p w14:paraId="52475F45"/>
    <w:p w14:paraId="27F81C0A"/>
    <w:p w14:paraId="1DE7EB55"/>
    <w:p w14:paraId="69996D28"/>
    <w:p w14:paraId="66D6CC20"/>
    <w:p w14:paraId="26AE57DE"/>
    <w:p w14:paraId="5C29B159"/>
    <w:p w14:paraId="7C60D6A0"/>
    <w:p w14:paraId="62015438"/>
    <w:p w14:paraId="2FF2EF38"/>
    <w:p w14:paraId="3C64A419"/>
    <w:p w14:paraId="130D1288"/>
    <w:p w14:paraId="1B750355"/>
    <w:p w14:paraId="60FF40F7"/>
    <w:p w14:paraId="1A7C8A49"/>
    <w:p w14:paraId="0FBB25D0"/>
    <w:p w14:paraId="3A8D23F4"/>
    <w:p w14:paraId="19FF3EBA"/>
    <w:p w14:paraId="3580D8E4">
      <w:pPr>
        <w:spacing w:line="740" w:lineRule="exact"/>
        <w:jc w:val="center"/>
        <w:rPr>
          <w:rFonts w:hint="eastAsia" w:ascii="黑体" w:hAnsi="黑体" w:eastAsia="黑体" w:cs="黑体"/>
          <w:spacing w:val="-20"/>
          <w:sz w:val="44"/>
          <w:szCs w:val="44"/>
        </w:rPr>
      </w:pPr>
      <w:r>
        <w:rPr>
          <w:rFonts w:hint="eastAsia" w:ascii="黑体" w:hAnsi="黑体" w:eastAsia="黑体" w:cs="黑体"/>
          <w:spacing w:val="-20"/>
          <w:sz w:val="44"/>
          <w:szCs w:val="44"/>
          <w:lang w:eastAsia="zh-CN"/>
        </w:rPr>
        <w:t>2024</w:t>
      </w:r>
      <w:r>
        <w:rPr>
          <w:rFonts w:hint="eastAsia" w:ascii="黑体" w:hAnsi="黑体" w:eastAsia="黑体" w:cs="黑体"/>
          <w:spacing w:val="-20"/>
          <w:sz w:val="44"/>
          <w:szCs w:val="44"/>
        </w:rPr>
        <w:t>年度部门整体支出绩效评价基础数据表</w:t>
      </w:r>
    </w:p>
    <w:p w14:paraId="0583B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</w:rPr>
      </w:pPr>
    </w:p>
    <w:tbl>
      <w:tblPr>
        <w:tblStyle w:val="6"/>
        <w:tblW w:w="100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207"/>
        <w:gridCol w:w="930"/>
        <w:gridCol w:w="945"/>
        <w:gridCol w:w="1110"/>
        <w:gridCol w:w="1155"/>
        <w:gridCol w:w="1155"/>
      </w:tblGrid>
      <w:tr w14:paraId="69699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965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财政供养人员情况（人）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871D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编制数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9565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年实际在职人数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7F2B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控制率</w:t>
            </w:r>
          </w:p>
        </w:tc>
      </w:tr>
      <w:tr w14:paraId="0FCB8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22B9A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21"/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EEA8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250E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E4EB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3C173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B850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经费控制情况（万元）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546CE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年决算数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B3861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年预算数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E7ED9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年决算数</w:t>
            </w:r>
          </w:p>
        </w:tc>
      </w:tr>
      <w:tr w14:paraId="362D9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4373B">
            <w:pPr>
              <w:widowControl/>
              <w:spacing w:line="32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三公经费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5ACB2F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1.45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2A7A6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9340D9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0.4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14327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DACC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   1、公务用车购置和维护经费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6B278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74F99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71A1F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4FB7D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D427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其中：公车购置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55AFF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E41E7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E1075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4FEC3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0FC3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公车运行维护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373BA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37265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13988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42836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C844C">
            <w:pPr>
              <w:widowControl/>
              <w:spacing w:line="32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2、出国经费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7112C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B32A2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B94A3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508B8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739F2">
            <w:pPr>
              <w:widowControl/>
              <w:spacing w:line="32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3、公务接待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BDD5C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1.45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23812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F1D06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0.4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13644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76E33">
            <w:pPr>
              <w:widowControl/>
              <w:spacing w:line="32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项目支出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68388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EF1F0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D06D3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60399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805D4">
            <w:pPr>
              <w:widowControl/>
              <w:spacing w:line="320" w:lineRule="exact"/>
              <w:ind w:firstLine="315" w:firstLineChars="15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 1、业务工作经费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25ABD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F1379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FB6E9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2502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3B24C">
            <w:pPr>
              <w:widowControl/>
              <w:spacing w:line="32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运行维护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经费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F5516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B8DC8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A818D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3C57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B640D">
            <w:pPr>
              <w:widowControl/>
              <w:spacing w:line="32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上级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专项资金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E2DE3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EF6CB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6C4DA9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12C1B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A4BC8">
            <w:pPr>
              <w:widowControl/>
              <w:spacing w:line="320" w:lineRule="exact"/>
              <w:ind w:firstLine="420" w:firstLineChars="200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其中：××专项资金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80F47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AE571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F36F5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44DBF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C17AF">
            <w:pPr>
              <w:widowControl/>
              <w:spacing w:line="32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        ××专项资金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1DD9C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7E7D3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2B731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5928D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F0A90">
            <w:pPr>
              <w:widowControl/>
              <w:spacing w:line="32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公用经费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5A6B8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7B524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0C7A39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2F817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5EE69">
            <w:pPr>
              <w:widowControl/>
              <w:spacing w:line="32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其中：办公经费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5B42D8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67.43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102EBA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115.8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1ED2D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51.11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02376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9021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     水费、电费、差旅费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2778D1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166.51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FAD658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31453C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179.09</w:t>
            </w:r>
          </w:p>
        </w:tc>
      </w:tr>
      <w:tr w14:paraId="4C4C2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EE10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/>
              </w:rPr>
              <w:t xml:space="preserve"> 会议费、培训费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4D318E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10.96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3F0D0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2.2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65CD6E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4.79</w:t>
            </w:r>
          </w:p>
        </w:tc>
      </w:tr>
      <w:tr w14:paraId="1DF22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28CDC">
            <w:pPr>
              <w:widowControl/>
              <w:spacing w:line="32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政府采购金额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A12DC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227.83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64B04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53B85B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435.09</w:t>
            </w:r>
          </w:p>
        </w:tc>
      </w:tr>
      <w:tr w14:paraId="2270F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F7AF9">
            <w:pPr>
              <w:widowControl/>
              <w:spacing w:line="32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部门基本支出预算调整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A0E87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E97F1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35BAC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38473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35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93EA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楼堂馆所控制情况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年完工项目）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71E1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批复规模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（㎡）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34A9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实际规模（㎡）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D5EF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规模控制率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3617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预算投资（万元）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DCB2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实际投资（万元）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CF8D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投资概算控制率</w:t>
            </w:r>
          </w:p>
        </w:tc>
      </w:tr>
      <w:tr w14:paraId="06123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A167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6C6F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7FC0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B648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A7FD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AC2A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908C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20D68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9292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厉行节约保障措施</w:t>
            </w:r>
          </w:p>
        </w:tc>
        <w:tc>
          <w:tcPr>
            <w:tcW w:w="65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ECCBC9">
            <w:pPr>
              <w:spacing w:line="240" w:lineRule="exact"/>
              <w:ind w:firstLine="315" w:firstLineChars="150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强化预算编制，硬化预算约束，严格支出管理。</w:t>
            </w:r>
            <w:bookmarkStart w:id="0" w:name="_GoBack"/>
            <w:bookmarkEnd w:id="0"/>
          </w:p>
        </w:tc>
      </w:tr>
      <w:tr w14:paraId="64742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00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134A7D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说明：“项目支出”需要填报基本支出以外的所有项目支出情况，“公用经费”填报基本支出中的一般商品和服务支出。</w:t>
            </w:r>
          </w:p>
          <w:p w14:paraId="030934A0">
            <w:pPr>
              <w:spacing w:line="240" w:lineRule="exact"/>
              <w:ind w:firstLine="315" w:firstLineChars="15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</w:tbl>
    <w:p w14:paraId="7DEA0329"/>
    <w:p w14:paraId="60D953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D6DCE7"/>
    <w:multiLevelType w:val="singleLevel"/>
    <w:tmpl w:val="6DD6DCE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E37AAF"/>
    <w:multiLevelType w:val="singleLevel"/>
    <w:tmpl w:val="73E37AAF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6368F"/>
    <w:rsid w:val="073B35CE"/>
    <w:rsid w:val="0B837613"/>
    <w:rsid w:val="0E05766C"/>
    <w:rsid w:val="0F7D70E8"/>
    <w:rsid w:val="249C309C"/>
    <w:rsid w:val="36F6488E"/>
    <w:rsid w:val="3F0A6008"/>
    <w:rsid w:val="3F7D5B4C"/>
    <w:rsid w:val="46537607"/>
    <w:rsid w:val="4CF80F08"/>
    <w:rsid w:val="52F1442F"/>
    <w:rsid w:val="5C2527E4"/>
    <w:rsid w:val="652C579B"/>
    <w:rsid w:val="6EED538D"/>
    <w:rsid w:val="7556368F"/>
    <w:rsid w:val="7EB0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567"/>
      <w:jc w:val="left"/>
    </w:pPr>
    <w:rPr>
      <w:rFonts w:ascii="黑体"/>
      <w:sz w:val="2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2366</Words>
  <Characters>2447</Characters>
  <Lines>0</Lines>
  <Paragraphs>0</Paragraphs>
  <TotalTime>6</TotalTime>
  <ScaleCrop>false</ScaleCrop>
  <LinksUpToDate>false</LinksUpToDate>
  <CharactersWithSpaces>2478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2025-05-06T08:42:00Z</dcterms:created>
  <dc:creator>Administrator</dc:creator>
  <cp:lastModifiedBy>Administrator</cp:lastModifiedBy>
  <dcterms:modified xsi:type="dcterms:W3CDTF">2025-05-07T02:37:04Z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0ABE74F5479546E0A6516A13E3EC9A29_13</vt:lpwstr>
  </property>
  <property fmtid="{D5CDD505-2E9C-101B-9397-08002B2CF9AE}" pid="4" name="KSOTemplateDocerSaveRecord">
    <vt:lpwstr>eyJoZGlkIjoiN2YzNDBmMjE5OTE3NWE2OGMzZmFhYTJmZWZlYmEzYTcifQ==</vt:lpwstr>
  </property>
</Properties>
</file>