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DBCC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</w:p>
    <w:p w14:paraId="61A9C22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2024年度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部门整体支出绩效自评报告</w:t>
      </w:r>
    </w:p>
    <w:p w14:paraId="456D15B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绥宁县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财政局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</w:p>
    <w:p w14:paraId="7C306F2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2025年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3月5日</w:t>
      </w:r>
    </w:p>
    <w:p w14:paraId="5308449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44"/>
          <w:szCs w:val="44"/>
        </w:rPr>
      </w:pPr>
    </w:p>
    <w:p w14:paraId="0EC62585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为进一步规范和加强预算资金管理，提高财政资金使用绩效，根据县财政局《关于开展2024年度财政支出绩效自评工作的通知》（绥财绩〔2025〕1号）相关要求，我部门对部门整体支出情况实施了绩效自评，现将自评情况报告如下：</w:t>
      </w:r>
    </w:p>
    <w:p w14:paraId="45341E5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一、部门基本情况</w:t>
      </w:r>
    </w:p>
    <w:p w14:paraId="0D84330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部门职能职责</w:t>
      </w:r>
    </w:p>
    <w:p w14:paraId="01495B28">
      <w:pPr>
        <w:pStyle w:val="5"/>
        <w:widowControl/>
        <w:shd w:val="clear" w:color="auto" w:fill="FFFFFF"/>
        <w:spacing w:beforeAutospacing="0" w:afterAutospacing="0" w:line="480" w:lineRule="atLeast"/>
        <w:ind w:left="958" w:leftChars="304" w:hanging="320" w:hangingChars="100"/>
        <w:rPr>
          <w:rFonts w:hint="eastAsia" w:ascii="仿宋" w:hAnsi="仿宋" w:eastAsia="仿宋" w:cs="Times New Roman"/>
          <w:color w:val="01010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  <w:lang w:val="en-US" w:eastAsia="zh-CN" w:bidi="ar-SA"/>
        </w:rPr>
        <w:t>组织贯彻执行国家财税方针政策，拟订和执行全县</w:t>
      </w:r>
    </w:p>
    <w:p w14:paraId="4A645DFF">
      <w:pPr>
        <w:pStyle w:val="5"/>
        <w:widowControl/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Times New Roman"/>
          <w:color w:val="01010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10101"/>
          <w:kern w:val="2"/>
          <w:sz w:val="32"/>
          <w:szCs w:val="32"/>
          <w:lang w:val="en-US" w:eastAsia="zh-CN" w:bidi="ar-SA"/>
        </w:rPr>
        <w:t>财政政策、改革方案，指导全县财政工作；分析预测宏观经济形势，参与制定各项宏观经济政策；提出运用财税政策实施宏观调控和综合平衡社会财力的建议；拟订和执行县、乡（镇）政府与企业的分配政策，完善鼓励公益事业发展的财税政策。</w:t>
      </w:r>
    </w:p>
    <w:p w14:paraId="2BCFAA36">
      <w:pPr>
        <w:pStyle w:val="5"/>
        <w:widowControl/>
        <w:shd w:val="clear" w:color="auto" w:fill="FFFFFF"/>
        <w:spacing w:beforeAutospacing="0" w:afterAutospacing="0" w:line="480" w:lineRule="atLeast"/>
        <w:ind w:left="640"/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2、代县政府起草财政、财务、会计管理的制度及办法。</w:t>
      </w:r>
    </w:p>
    <w:p w14:paraId="7E66D9DA">
      <w:pPr>
        <w:numPr>
          <w:ilvl w:val="0"/>
          <w:numId w:val="0"/>
        </w:numPr>
        <w:autoSpaceDN w:val="0"/>
        <w:ind w:left="638" w:leftChars="304" w:firstLine="0" w:firstLineChars="0"/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3、承担县本级各项财政收支管理的责任。负责编制县</w:t>
      </w:r>
    </w:p>
    <w:p w14:paraId="6B896414">
      <w:pPr>
        <w:numPr>
          <w:ilvl w:val="0"/>
          <w:numId w:val="0"/>
        </w:numPr>
        <w:autoSpaceDN w:val="0"/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本级年度预决算草案并组织执行。代编全县财政收支预算，汇总全县财政总决算；受县人民政府委托，向县人民代表大会报告县本级、全县财政预算及其执行情况，向县人大常委会报告决算。组织制订县本级经费开支标准、定额，负责审核批复部门（单位）的年度预决算。完善转移支付制度，推进省直管县财政体制改革。</w:t>
      </w:r>
    </w:p>
    <w:p w14:paraId="60BE807B">
      <w:pPr>
        <w:autoSpaceDN w:val="0"/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    4、负责政府非税收入管理，负责政府性基金管理，按规定管理行政事业性收费。管理财政票据。制定彩票管理政策和有关办法，管理彩票市场，会同有关部门监督和管理彩票公益资金，管理其他彩票资金。</w:t>
      </w:r>
    </w:p>
    <w:p w14:paraId="67423CA8">
      <w:pPr>
        <w:autoSpaceDN w:val="0"/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    5、组织制定国库管理制度、国库集中收付制度，指导和监督县本级国库业务，按规定开展国库现金管理工作。负责制定政府采购制度并监督管理。</w:t>
      </w:r>
    </w:p>
    <w:p w14:paraId="05BABA2E">
      <w:pPr>
        <w:autoSpaceDN w:val="0"/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    6、贯彻执行国家税收法律、行政法规和税收调整政策，反馈政策执行情况，提出调整建议。参与县管理权限内有关税收政策及税收政策调整方案的调查研究，提出对策建议。</w:t>
      </w:r>
    </w:p>
    <w:p w14:paraId="3F4B1D9F">
      <w:pPr>
        <w:autoSpaceDN w:val="0"/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    7、负责制定全县行政事业单位国有资产管理规章制度，会同有关部门管理行政事业单位国有资产，制定需要全县统一规定的开支标准和支出政策，负责财政预算内行政、事业单位和社会团体的非贸易外汇管理。             </w:t>
      </w:r>
    </w:p>
    <w:p w14:paraId="75AC868A">
      <w:pPr>
        <w:autoSpaceDN w:val="0"/>
        <w:ind w:firstLine="640" w:firstLineChars="200"/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8、负责审核和汇总编制全县国有资本经营预决算草案，制定国有资本经营预算的制度和办法，收取县本级企业国有资本收益，组织实施企业财务制度，参与拟订企业国有资产管理相关制度，负责县级经营性国有资产管理，按规定管理国有资产评估处置工作。  </w:t>
      </w:r>
    </w:p>
    <w:p w14:paraId="4940974D">
      <w:pPr>
        <w:autoSpaceDN w:val="0"/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    9、负责办理和监督县财政的经济发展支出、县级政府性投资项目的财政拨款，参与拟订县建设投资的有关政策，组织实施基本建设财务制度，负责有关政策性补贴和专项储备资金财政管理工作。</w:t>
      </w:r>
    </w:p>
    <w:p w14:paraId="2836B86F">
      <w:pPr>
        <w:autoSpaceDN w:val="0"/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    10、会同有关部门管理县财政社会保障和就业及医疗卫生支出，组织实施社会保障资金（基金）的财务管理制度，编制县社会保障预决算草案。</w:t>
      </w:r>
    </w:p>
    <w:p w14:paraId="7EA8F2A7">
      <w:pPr>
        <w:autoSpaceDN w:val="0"/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    11、贯彻执行政府内外债务管理的政策、制度和办法，防范财政风险。负责统一管理县政府外债，制定基本管理制度，按规定管理外国政府和国际金融组织贷（赠）款。承担财税领域交流与合作的具体工作。</w:t>
      </w:r>
    </w:p>
    <w:p w14:paraId="35422B92">
      <w:pPr>
        <w:autoSpaceDN w:val="0"/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    12、负责管理全县的会计工作，监督和规范会计行为，组织实施国家统一的会计制度，组织实施会计行政法规规章，指导和监督注册会计师和会计事务所的业务,指导和管理社会审计。</w:t>
      </w:r>
    </w:p>
    <w:p w14:paraId="14C1C155">
      <w:pPr>
        <w:autoSpaceDN w:val="0"/>
        <w:ind w:firstLine="320" w:firstLineChars="100"/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  13、监督财税法规、政策的执行情况，反映财政收支管理中的重大问题，提出加强财政管理的政策和建议。</w:t>
      </w:r>
    </w:p>
    <w:p w14:paraId="03C17AAB">
      <w:pPr>
        <w:autoSpaceDN w:val="0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    14、负责全县乡镇财政管理，研究提出乡镇财政管理的政策和办法，研究拟定乡镇财政管理体制，加强乡镇财政所建设。</w:t>
      </w:r>
    </w:p>
    <w:p w14:paraId="673D745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15、承办县委、县政府交办的其他事项。</w:t>
      </w:r>
    </w:p>
    <w:p w14:paraId="41B30BA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机构设置情况</w:t>
      </w:r>
    </w:p>
    <w:p w14:paraId="06CE088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640" w:firstLineChars="200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年末，</w:t>
      </w:r>
      <w:r>
        <w:rPr>
          <w:rFonts w:hint="eastAsia" w:ascii="仿宋" w:hAnsi="仿宋" w:eastAsia="仿宋"/>
          <w:color w:val="010101"/>
          <w:sz w:val="32"/>
          <w:szCs w:val="32"/>
          <w:lang w:val="en-US" w:eastAsia="zh-CN"/>
        </w:rPr>
        <w:t>绥宁县财政局单位内设机构包括：办公室(信息股), 政工股(离退休人员服务股、党建工作办公室), 综合规划股（行政审批服务股、非税收入管理股）, 预算股（绩效管理股）, 国库股, 行政政法股, 经济建设股（企业股、对外经济贸易股、绥宁县县域经济与产业发展融资管理办公室）, 农业农村股, 教科文股, 社会保障股, 金融与政府债务管理股（绥宁县政府和社会资本合作（PPP）办公室）, ）国有资产与政府采购管理股, 乡财股, 财政监督检查与会计管理股（税政法规股、财政投资评审股）14个股室,设国库支付中心,财政事务中心、投资评审中心3个二级机构。</w:t>
      </w:r>
    </w:p>
    <w:p w14:paraId="7413D65E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641" w:right="0" w:firstLine="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人员编制情况</w:t>
      </w:r>
    </w:p>
    <w:p w14:paraId="0CD9F85A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年末，我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部门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共有编制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126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人，其中行政编制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113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人，事业编制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人。年末实有在职人员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126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退休人员7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离休人员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人。</w:t>
      </w:r>
    </w:p>
    <w:p w14:paraId="367326D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二、一般公共预算支出情况</w:t>
      </w:r>
    </w:p>
    <w:p w14:paraId="5B044B4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基本支出情况</w:t>
      </w:r>
    </w:p>
    <w:p w14:paraId="4241D277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C0C0C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年基本支出共计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2961.62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万元</w:t>
      </w:r>
      <w:r>
        <w:rPr>
          <w:rFonts w:hint="eastAsia" w:eastAsia="仿宋_GB2312" w:cs="Times New Roman"/>
          <w:color w:val="0C0C0C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color w:val="0C0C0C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人员经费</w:t>
      </w:r>
      <w:r>
        <w:rPr>
          <w:rFonts w:hint="eastAsia" w:eastAsia="仿宋_GB2312" w:cs="Times New Roman"/>
          <w:color w:val="0C0C0C"/>
          <w:sz w:val="32"/>
          <w:szCs w:val="32"/>
          <w:lang w:val="en-US" w:eastAsia="zh-CN"/>
        </w:rPr>
        <w:t>1762.06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color w:val="0C0C0C"/>
          <w:sz w:val="32"/>
          <w:szCs w:val="32"/>
          <w:lang w:val="en-US" w:eastAsia="zh-CN"/>
        </w:rPr>
        <w:t>公用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经费</w:t>
      </w:r>
      <w:r>
        <w:rPr>
          <w:rFonts w:hint="eastAsia" w:eastAsia="仿宋_GB2312" w:cs="Times New Roman"/>
          <w:color w:val="0C0C0C"/>
          <w:sz w:val="32"/>
          <w:szCs w:val="32"/>
          <w:lang w:val="en-US" w:eastAsia="zh-CN"/>
        </w:rPr>
        <w:t>1199.56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。</w:t>
      </w:r>
    </w:p>
    <w:p w14:paraId="454BE2BC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1.人员经费</w:t>
      </w:r>
      <w:r>
        <w:rPr>
          <w:rFonts w:hint="eastAsia" w:eastAsia="仿宋_GB2312" w:cs="Times New Roman"/>
          <w:color w:val="0C0C0C"/>
          <w:sz w:val="32"/>
          <w:szCs w:val="32"/>
          <w:lang w:val="en-US" w:eastAsia="zh-CN"/>
        </w:rPr>
        <w:t>1762.06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万元。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主要用于在职人员工资津补贴、奖金、离休费、社保缴费、住房公积金缴费、老干医疗费、抚恤金等。人员经费支出严格按照相关政策和标准列支。</w:t>
      </w:r>
    </w:p>
    <w:p w14:paraId="2F7D09FB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C0C0C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公用经费</w:t>
      </w:r>
      <w:r>
        <w:rPr>
          <w:rFonts w:hint="eastAsia" w:eastAsia="仿宋_GB2312" w:cs="Times New Roman"/>
          <w:color w:val="0C0C0C"/>
          <w:sz w:val="32"/>
          <w:szCs w:val="32"/>
          <w:lang w:val="en-US" w:eastAsia="zh-CN"/>
        </w:rPr>
        <w:t>1199.56</w:t>
      </w:r>
      <w:r>
        <w:rPr>
          <w:rFonts w:hint="default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万元。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主要用于为保障基本运行而发生的办公费、印刷费、邮电费、水费、电费、物业管理费、取暖费、维修费、差旅费等。公用经费支出严格执行部门预算，厉行节约，控制运行成本。</w:t>
      </w:r>
    </w:p>
    <w:p w14:paraId="3A0562C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项目支出情况</w:t>
      </w:r>
    </w:p>
    <w:p w14:paraId="6E5683D9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hint="eastAsia" w:ascii="仿宋" w:hAnsi="仿宋" w:eastAsia="仿宋" w:cs="仿宋"/>
          <w:color w:val="0C0C0C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年项目支出共计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410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C0C0C"/>
          <w:sz w:val="32"/>
          <w:szCs w:val="32"/>
          <w:lang w:eastAsia="zh-CN"/>
        </w:rPr>
        <w:t>。主要用于绩效管理及聘请中介机构绩效评价20万，国库管理材料费25万元，政府采购材料费10万元，国库、非税、乡财、国资网络租赁及其他60万元,信息公开5万，财源、法制建设10万，预算编审及印刷10万元，非税票据工本费20万，公车改革5万元，债券融资9万。乡镇财政经费湘财乡[2006]5号文件：按2002年基数为175万元。会计制度改革10万元，扶贫资金动态监控50万元，互联网+监督工作50万元，全县财政管理信息系统维护及电费60万元。农村财务“双代管”、“互联网+监督”村级财务电算化14万元。</w:t>
      </w:r>
    </w:p>
    <w:p w14:paraId="674D7A2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三、政府性基金预算支出情况</w:t>
      </w:r>
    </w:p>
    <w:p w14:paraId="57673843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2024年度无政府性基金预算支出。</w:t>
      </w:r>
    </w:p>
    <w:p w14:paraId="22431B53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国有资本经营预算支出情况</w:t>
      </w:r>
    </w:p>
    <w:p w14:paraId="1CC658DD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2024</w:t>
      </w:r>
      <w:r>
        <w:rPr>
          <w:rFonts w:hint="default" w:ascii="仿宋" w:hAnsi="仿宋" w:eastAsia="仿宋" w:cs="仿宋"/>
          <w:color w:val="0C0C0C"/>
          <w:sz w:val="32"/>
          <w:szCs w:val="32"/>
          <w:lang w:val="en-US" w:eastAsia="zh-CN"/>
        </w:rPr>
        <w:t>年度无国有资本经营预算支出。</w:t>
      </w:r>
    </w:p>
    <w:p w14:paraId="4F4A430B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leftChars="0" w:right="0" w:firstLine="0" w:firstLineChars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社会保险基金预算支出情况</w:t>
      </w:r>
    </w:p>
    <w:p w14:paraId="76A5F45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2024</w:t>
      </w:r>
      <w:r>
        <w:rPr>
          <w:rFonts w:hint="default" w:ascii="仿宋" w:hAnsi="仿宋" w:eastAsia="仿宋" w:cs="仿宋"/>
          <w:color w:val="0C0C0C"/>
          <w:sz w:val="32"/>
          <w:szCs w:val="32"/>
          <w:lang w:val="en-US" w:eastAsia="zh-CN"/>
        </w:rPr>
        <w:t>年度无社会保险基金预算支出。</w:t>
      </w:r>
    </w:p>
    <w:p w14:paraId="59F9191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六、部门整体支出绩效情况</w:t>
      </w:r>
    </w:p>
    <w:p w14:paraId="4B473AD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jc w:val="both"/>
        <w:rPr>
          <w:rFonts w:hint="eastAsia" w:ascii="仿宋" w:hAnsi="仿宋" w:eastAsia="仿宋" w:cs="仿宋"/>
          <w:color w:val="0C0C0C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C0C0C"/>
          <w:kern w:val="2"/>
          <w:sz w:val="32"/>
          <w:szCs w:val="32"/>
          <w:lang w:val="en-US" w:eastAsia="zh-CN" w:bidi="ar-SA"/>
        </w:rPr>
        <w:t>2024年，在县委、县政府的领导下，坚持依法行政、执法为民，稳中求进，改革创新，积极作为，突出抓改革强监管促发展，各方面工作稳步推进。根据部门整体支出绩效自评评分（详见附件2），得分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lang w:val="en-US" w:eastAsia="zh-CN" w:bidi="ar-SA"/>
        </w:rPr>
        <w:t>分，部门整体支出绩效为“良”。主要绩效如下：</w:t>
      </w:r>
    </w:p>
    <w:p w14:paraId="37575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(一)多措并举抓增收，全力以赴促发展。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一是加强财源建设。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制定《绥宁县2024年“三高四新”财源建设工程实施方案》，全力推进13项财源建设重点任务目标。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二是盘活存量“三资”。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三是落实积极财政政策。四是加力争资争项。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紧盯2024年度争项目(政策)争资金目标任务，积极向上争取资金。</w:t>
      </w:r>
    </w:p>
    <w:p w14:paraId="4F6C08F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(二)加大投入补短板，真情实意惠民生。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扎实推进教育均衡发展。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夯实教育发展基础，继续支持推进校舍维修、乡镇标准化寄宿制学校建设、“徐特立项目”等，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全面落实教育经费保障政策，足额保障民转公、教师待遇等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，累计实现教育总投入5.78亿元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二是及时足额发放惠农补贴资金。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不断更新完善补贴人员信息，及时下达、录入各项惠农补贴资金，确保惠农补贴资金足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额及时发放，增强老百姓的获得感和幸福感。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通过“一卡通”信息平台累计发放各类惠农补贴133项28855.23万元，累计发放67.43万人次。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全力实施乡村振兴战略。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划投入乡村振兴衔接资金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16312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万元，实施项目278个，用于加大农村基础设施建设、改善农村人居环境和促进农业产业发展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 w14:paraId="48E67EE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C0C0C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(三)强化预算约束力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，打好节支“铁算盘”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一是持续贯彻落实 “过紧日子”要求。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严格按照《绥宁县关于进一步规范财政管理工作的十条规定》，规范财政管理，2024年初预算压减一般性支出507万元，三公经费只减不增。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二是推动预算绩效管理提质增效。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积极推进财政重点评价工作，对9个重点项目和3个部门(单位)整体支出开展了财政重点绩效评价工作。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三是规范政府投资基本建设项目管理。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全力推进政府投资项目建设管理规范化。2024年审查政府性投资工程项目330个，综合审减率14.05%，节约财政资金27595.36万元。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四是规范国有资产管理。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制定《绥宁县行政事业单位国有资产处置管理办法》《绥宁县国有资产评估管理办法》,从严、从紧按标准配备资产，规范国有资产处置行为。</w:t>
      </w:r>
    </w:p>
    <w:p w14:paraId="50CE390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七、存在的问题及原因分析</w:t>
      </w:r>
    </w:p>
    <w:p w14:paraId="3E61C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一是税源潜力不足。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受经济下行因素影响，建筑业、房地产业等重点行业市场疲软，骨干企业支撑乏力，且经过多年的挖潜，新增可供用地十分有限，税收呈断崖式下降；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二是重点项目建设缓慢。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截至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月底，根据项目建设进度拨付资金37130.67万元，支付进度为25.25%，总体进度滞后；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三是收支矛盾日益突出。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财政刚性支出持续增长，各类民生项目、专项工作需要匹配资金较多，财政收支缺口持续加大，收支矛盾凸显，导致国库库款保障压力持续增大；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四是落实“过紧日子”要求存在差距。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年初预算安排的全县性项目经费支出较快，各部门难以落实新增支出先从预算内经费调剂安排的要求，再加上年中各种追加经费的情况，财政保障压力巨大。</w:t>
      </w:r>
    </w:p>
    <w:p w14:paraId="0A52D7C5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下一步改进措施</w:t>
      </w:r>
    </w:p>
    <w:p w14:paraId="78078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(一)持续强基固本，稳住经济大盘。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一是推动财源建设工程提质。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聚焦加大招商引资、做大做强楠竹特色主导产业、土地出让等，加强调度与协调，全力以赴确保招商引资等13项财源建设任务目标按期完成。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加力税收征管。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加大对财行税清理力度，重点对耕地占用税、印花税和土地增值税进行清理清查；加强对重点项目、重点行业进行监管，重点对建安房地产、楠竹、加油站等行业进行清理清查。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三是推动“三资”盘活增效。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持续深化改革，加大闲置国有资产处置力度，着力让沉睡资产“动起来”、沉淀资金“活起来”，实现经济效益和社会效益双提升。</w:t>
      </w:r>
    </w:p>
    <w:p w14:paraId="39EA8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(二)持续节流减支，加强财政保障能力。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一是深化零基预算改革。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坚持以“零”为起点，所有支出按照“先定事后定钱”的原则，破除“基数”观念，改变投向固化格局，深度优化支出结构。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二是强化预算约束。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严格执行人大批准的预算，严禁超预算、无预算安排支出。严控预算追加，一般不出台增加当年支出的政策，严禁出台溯及以前年度的增支政策。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三是健全过紧日子长效机制。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加强预算执行监控，完善支出审核机制，大力压减一般性支出，从严控制非重点非刚性项目支出，从紧管控财政供养人员开支，腾出更多财力用于保民生促发展。</w:t>
      </w:r>
    </w:p>
    <w:p w14:paraId="06167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(三)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抢抓机遇，加大争资争项力度。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一是加力争取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超长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期特别国债。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积极与上级部门沟通对接，及时掌握政策资金动向和申报时间节点，进一步提高项目谋划申报的契合度、精准度。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是积极谋划中央和省级预算内项目储备。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聚焦2025年中央和省级预算内资金支持领域，做好项目谋划储备申报，如农业行业基础能力建设、环境基础设施提标改造项目等，争取更多项目列入国家、省级重大项目库。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是紧盯一揽子增量政策。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抢抓国家政策机遇，深入研究、吃透政策、精准对接，高质量储备项目，争取更多项目挤进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国家、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计划盘子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更多资金落户绥宁。</w:t>
      </w:r>
    </w:p>
    <w:p w14:paraId="56302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(四)持续提质增效，提升财政管理水平。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一是强化绩效结果运用。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健全重大政策事前绩效评估机制，聚焦“三个高地”建设、民生保障等领域重点支出开展绩效评价，评价结果与项目入库、预算安排和政策调整挂钩，体现奖优罚劣导向。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二是持续强化财会监督。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加快推进监督贯通，构建财政部门主责监督、有关部门依责监督、各单位内部监督的财会监督体系，持续开展财会监督专项行动。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三是加强政府采购全程监督管理。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着重规范工程项目的政府采购行为，坚持阳光采购，促进公平竞争，对采购项目进行备案管理，做到公开、公平、公正。</w:t>
      </w:r>
    </w:p>
    <w:p w14:paraId="0483D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(五)持续从严从紧，深化党风廉政建设。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坚定不移强化政治统领，持续巩固党纪学习教育成果，引导党员干部学纪、知纪、明纪、守纪；持之以恒加强党建引领，严格落实主体责任，不断建强基层战斗堡垒；久久为功推进清廉财政建设，加大典型案例通报力度，涵养新时代财政廉洁文化；坚持不懈抓好队伍建设，强化“关键少数”示范引领，加强青年财政干部教育监督培养，着力打造一支忠诚干净担当的高素质专业化财政干部队伍。</w:t>
      </w:r>
    </w:p>
    <w:p w14:paraId="0F98CB15">
      <w:pPr>
        <w:pStyle w:val="5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leftChars="0" w:right="0" w:rightChars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08CA5178"/>
    <w:p w14:paraId="25F71029"/>
    <w:p w14:paraId="5EB97D5A"/>
    <w:p w14:paraId="1F67AAD9"/>
    <w:p w14:paraId="39EFDCA3"/>
    <w:p w14:paraId="37B72010"/>
    <w:p w14:paraId="6D0CBFFD"/>
    <w:p w14:paraId="03EF42B5"/>
    <w:p w14:paraId="2CEAE07F"/>
    <w:p w14:paraId="63952034"/>
    <w:p w14:paraId="078EC26B"/>
    <w:p w14:paraId="013483E7"/>
    <w:p w14:paraId="5E3340AD"/>
    <w:p w14:paraId="004DB883"/>
    <w:p w14:paraId="2FFE0480"/>
    <w:p w14:paraId="1263D645"/>
    <w:p w14:paraId="3270B2B4"/>
    <w:p w14:paraId="02E49F9B"/>
    <w:p w14:paraId="75278DF5"/>
    <w:p w14:paraId="3C1652D4"/>
    <w:p w14:paraId="5955530F"/>
    <w:p w14:paraId="52475F45"/>
    <w:p w14:paraId="27F81C0A"/>
    <w:p w14:paraId="1DE7EB55"/>
    <w:p w14:paraId="69996D28"/>
    <w:p w14:paraId="66D6CC20"/>
    <w:p w14:paraId="26AE57DE"/>
    <w:p w14:paraId="5C29B159"/>
    <w:p w14:paraId="7C60D6A0"/>
    <w:p w14:paraId="62015438"/>
    <w:p w14:paraId="2FF2EF38"/>
    <w:p w14:paraId="3C64A419"/>
    <w:p w14:paraId="130D1288"/>
    <w:p w14:paraId="1B750355"/>
    <w:p w14:paraId="60FF40F7"/>
    <w:p w14:paraId="1A7C8A49"/>
    <w:p w14:paraId="0FBB25D0"/>
    <w:p w14:paraId="3A8D23F4"/>
    <w:p w14:paraId="19FF3EBA"/>
    <w:p w14:paraId="3580D8E4">
      <w:pPr>
        <w:spacing w:line="740" w:lineRule="exact"/>
        <w:jc w:val="center"/>
        <w:rPr>
          <w:rFonts w:hint="eastAsia" w:ascii="黑体" w:hAnsi="黑体" w:eastAsia="黑体" w:cs="黑体"/>
          <w:spacing w:val="-20"/>
          <w:sz w:val="44"/>
          <w:szCs w:val="44"/>
        </w:rPr>
      </w:pPr>
      <w:r>
        <w:rPr>
          <w:rFonts w:hint="eastAsia" w:ascii="黑体" w:hAnsi="黑体" w:eastAsia="黑体" w:cs="黑体"/>
          <w:spacing w:val="-20"/>
          <w:sz w:val="44"/>
          <w:szCs w:val="44"/>
          <w:lang w:eastAsia="zh-CN"/>
        </w:rPr>
        <w:t>2024</w:t>
      </w:r>
      <w:r>
        <w:rPr>
          <w:rFonts w:hint="eastAsia" w:ascii="黑体" w:hAnsi="黑体" w:eastAsia="黑体" w:cs="黑体"/>
          <w:spacing w:val="-20"/>
          <w:sz w:val="44"/>
          <w:szCs w:val="44"/>
        </w:rPr>
        <w:t>年度部门整体支出绩效评价基础数据表</w:t>
      </w:r>
    </w:p>
    <w:p w14:paraId="0583B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</w:rPr>
      </w:pPr>
    </w:p>
    <w:tbl>
      <w:tblPr>
        <w:tblStyle w:val="6"/>
        <w:tblW w:w="100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207"/>
        <w:gridCol w:w="930"/>
        <w:gridCol w:w="945"/>
        <w:gridCol w:w="1110"/>
        <w:gridCol w:w="1155"/>
        <w:gridCol w:w="1155"/>
      </w:tblGrid>
      <w:tr w14:paraId="69699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1965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财政供养人员情况（人）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871D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编制数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9565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年实际在职人数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7F2B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控制率</w:t>
            </w:r>
          </w:p>
        </w:tc>
      </w:tr>
      <w:tr w14:paraId="0FCB8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22B9A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21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EEA8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250E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E4EB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3C173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B850D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经费控制情况（万元）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546CE0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年决算数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B3861C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年预算数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E7ED9D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年决算数</w:t>
            </w:r>
          </w:p>
        </w:tc>
      </w:tr>
      <w:tr w14:paraId="362D9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4373B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三公经费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05ACB2FF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1.45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732A7A6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9340D9C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14327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DACC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1、公务用车购置和维护经费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6B278D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74F99D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71A1F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4FB7D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D427D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其中：公车购置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55AFF6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E41E76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E1075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4FEC3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0FC31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公车运行维护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373BA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372650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13988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42836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C844C"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2、出国经费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7112C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B32A2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B94A3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508B8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739F2"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3、公务接待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BDD5C0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1.45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23812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F1D06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13644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76E33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项目支出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68388C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EF1F0F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D06D36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60399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805D4">
            <w:pPr>
              <w:widowControl/>
              <w:spacing w:line="320" w:lineRule="exact"/>
              <w:ind w:firstLine="315" w:firstLineChars="15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1、业务工作经费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25ABD6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F13790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FB6E98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2502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3B24C"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运行维护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F5516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B8DC86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A818D6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3C578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B640D"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上级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E2DE38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EF6CBC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6C4DA9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12C1B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A4BC8">
            <w:pPr>
              <w:widowControl/>
              <w:spacing w:line="320" w:lineRule="exact"/>
              <w:ind w:firstLine="420" w:firstLineChars="2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其中：××专项资金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80F47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AE571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F36F5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44DBF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C17AF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      ××专项资金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1DD9C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7E7D3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2B7310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5928D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F0A90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公用经费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5A6B8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7B524D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0C7A39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2F817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5EE69"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其中：办公经费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5B42D8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67.43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102EBA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115.8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1ED2D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51.11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02376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9021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水费、电费、差旅费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2778D1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166.51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FAD658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31453C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179.09</w:t>
            </w:r>
          </w:p>
        </w:tc>
      </w:tr>
      <w:tr w14:paraId="4C4C2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EE10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/>
              </w:rPr>
              <w:t xml:space="preserve"> 会议费、培训费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4D318E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10.96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3F0D0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2.2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65CD6E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4.79</w:t>
            </w:r>
          </w:p>
        </w:tc>
      </w:tr>
      <w:tr w14:paraId="1DF22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28CDC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政府采购金额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A12DCF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227.83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64B04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53B85B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435.09</w:t>
            </w:r>
          </w:p>
        </w:tc>
      </w:tr>
      <w:tr w14:paraId="2270F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F7AF9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部门基本支出预算调整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A0E87F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E97F11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35BAC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38473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5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93EA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楼堂馆所控制情况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2024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年完工项目）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71E1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批复规模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（㎡）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34A9C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实际规模（㎡）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D5EF0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规模控制率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36178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预算投资（万元）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DCB2F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实际投资（万元）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CF8D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投资概算控制率</w:t>
            </w:r>
          </w:p>
        </w:tc>
      </w:tr>
      <w:tr w14:paraId="06123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A167F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6C6F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7FC0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B648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A7FD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AC2A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908C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20D68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9292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厉行节约保障措施</w:t>
            </w:r>
          </w:p>
        </w:tc>
        <w:tc>
          <w:tcPr>
            <w:tcW w:w="65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ECCBC9">
            <w:pPr>
              <w:spacing w:line="240" w:lineRule="exact"/>
              <w:ind w:firstLine="315" w:firstLineChars="150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强化预算编制，硬化预算约束，严格支出管理。</w:t>
            </w:r>
            <w:bookmarkStart w:id="0" w:name="_GoBack"/>
            <w:bookmarkEnd w:id="0"/>
          </w:p>
        </w:tc>
      </w:tr>
      <w:tr w14:paraId="64742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134A7D">
            <w:pPr>
              <w:widowControl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说明：“项目支出”需要填报基本支出以外的所有项目支出情况，“公用经费”填报基本支出中的一般商品和服务支出。</w:t>
            </w:r>
          </w:p>
          <w:p w14:paraId="030934A0">
            <w:pPr>
              <w:spacing w:line="240" w:lineRule="exact"/>
              <w:ind w:firstLine="315" w:firstLineChars="15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</w:tbl>
    <w:p w14:paraId="7DEA0329"/>
    <w:p w14:paraId="60D953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D6DCE7"/>
    <w:multiLevelType w:val="singleLevel"/>
    <w:tmpl w:val="6DD6DCE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E37AAF"/>
    <w:multiLevelType w:val="singleLevel"/>
    <w:tmpl w:val="73E37AAF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6368F"/>
    <w:rsid w:val="073B35CE"/>
    <w:rsid w:val="0B837613"/>
    <w:rsid w:val="0E05766C"/>
    <w:rsid w:val="0F7D70E8"/>
    <w:rsid w:val="249C309C"/>
    <w:rsid w:val="36F6488E"/>
    <w:rsid w:val="3F0A6008"/>
    <w:rsid w:val="3F7D5B4C"/>
    <w:rsid w:val="46537607"/>
    <w:rsid w:val="4CF80F08"/>
    <w:rsid w:val="52F1442F"/>
    <w:rsid w:val="5C2527E4"/>
    <w:rsid w:val="652C579B"/>
    <w:rsid w:val="6EED538D"/>
    <w:rsid w:val="7556368F"/>
    <w:rsid w:val="7EB0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567"/>
      <w:jc w:val="left"/>
    </w:pPr>
    <w:rPr>
      <w:rFonts w:ascii="黑体"/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2366</Words>
  <Characters>2447</Characters>
  <Lines>0</Lines>
  <Paragraphs>0</Paragraphs>
  <TotalTime>6</TotalTime>
  <ScaleCrop>false</ScaleCrop>
  <LinksUpToDate>false</LinksUpToDate>
  <CharactersWithSpaces>2478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2025-05-06T08:42:00Z</dcterms:created>
  <dc:creator>Administrator</dc:creator>
  <cp:lastModifiedBy>Administrator</cp:lastModifiedBy>
  <dcterms:modified xsi:type="dcterms:W3CDTF">2025-05-07T02:37:04Z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0ABE74F5479546E0A6516A13E3EC9A29_13</vt:lpwstr>
  </property>
  <property fmtid="{D5CDD505-2E9C-101B-9397-08002B2CF9AE}" pid="4" name="KSOTemplateDocerSaveRecord">
    <vt:lpwstr>eyJoZGlkIjoiN2YzNDBmMjE5OTE3NWE2OGMzZmFhYTJmZWZlYmEzYTcifQ==</vt:lpwstr>
  </property>
</Properties>
</file>