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2024年度</w:t>
      </w:r>
      <w:r>
        <w:rPr>
          <w:rFonts w:hint="eastAsia" w:ascii="方正小标宋简体" w:hAnsi="方正小标宋简体" w:eastAsia="方正小标宋简体" w:cs="方正小标宋简体"/>
          <w:i w:val="0"/>
          <w:iCs w:val="0"/>
          <w:caps w:val="0"/>
          <w:color w:val="000000"/>
          <w:spacing w:val="0"/>
          <w:sz w:val="44"/>
          <w:szCs w:val="44"/>
          <w:shd w:val="clear" w:fill="FFFFFF"/>
        </w:rPr>
        <w:t>部门整体支出绩效自评报告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委组织部</w:t>
      </w:r>
      <w:r>
        <w:rPr>
          <w:rFonts w:hint="eastAsia" w:ascii="楷体" w:hAnsi="楷体" w:eastAsia="楷体" w:cs="楷体"/>
          <w:i w:val="0"/>
          <w:iCs w:val="0"/>
          <w:caps w:val="0"/>
          <w:color w:val="000000"/>
          <w:spacing w:val="0"/>
          <w:sz w:val="32"/>
          <w:szCs w:val="32"/>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r>
        <w:rPr>
          <w:rFonts w:hint="eastAsia" w:ascii="楷体" w:hAnsi="楷体" w:eastAsia="楷体" w:cs="楷体"/>
          <w:i w:val="0"/>
          <w:iCs w:val="0"/>
          <w:caps w:val="0"/>
          <w:color w:val="000000"/>
          <w:spacing w:val="0"/>
          <w:sz w:val="32"/>
          <w:szCs w:val="32"/>
          <w:shd w:val="clear" w:fill="FFFFFF"/>
          <w:lang w:val="en-US" w:eastAsia="zh-CN"/>
        </w:rPr>
        <w:t>2024年</w:t>
      </w:r>
      <w:r>
        <w:rPr>
          <w:rFonts w:hint="eastAsia" w:ascii="楷体" w:hAnsi="楷体" w:eastAsia="楷体" w:cs="楷体"/>
          <w:color w:val="000000"/>
          <w:kern w:val="0"/>
          <w:sz w:val="32"/>
          <w:szCs w:val="32"/>
          <w:lang w:val="en-US" w:eastAsia="zh-CN" w:bidi="ar"/>
        </w:rPr>
        <w:t>3月17日</w:t>
      </w:r>
    </w:p>
    <w:p>
      <w:pPr>
        <w:keepNext w:val="0"/>
        <w:keepLines w:val="0"/>
        <w:pageBreakBefore w:val="0"/>
        <w:widowControl/>
        <w:suppressLineNumbers w:val="0"/>
        <w:kinsoku/>
        <w:wordWrap/>
        <w:overflowPunct/>
        <w:topLinePunct w:val="0"/>
        <w:autoSpaceDN/>
        <w:bidi w:val="0"/>
        <w:adjustRightInd/>
        <w:spacing w:line="520" w:lineRule="exact"/>
        <w:ind w:firstLine="640" w:firstLineChars="200"/>
        <w:jc w:val="both"/>
        <w:textAlignment w:val="auto"/>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color w:val="000000"/>
          <w:kern w:val="0"/>
          <w:sz w:val="32"/>
          <w:szCs w:val="32"/>
          <w:lang w:val="en-US" w:eastAsia="zh-CN" w:bidi="ar"/>
        </w:rPr>
        <w:t>为进一步规范和加强预算资金管理，提高财政资金使用绩效，根据县财政局《关于开展2024年度财政支出绩效自评工作的通知》（绥财绩〔2025〕1号）相关要求，我部门对部门整体支出情况实施了绩效自评，现将自评情况报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sz w:val="32"/>
          <w:szCs w:val="32"/>
          <w:lang w:val="en-US"/>
        </w:rPr>
      </w:pPr>
      <w:r>
        <w:rPr>
          <w:rFonts w:hint="eastAsia" w:ascii="CESI仿宋-GB2312" w:hAnsi="CESI仿宋-GB2312" w:eastAsia="CESI仿宋-GB2312" w:cs="CESI仿宋-GB2312"/>
          <w:b w:val="0"/>
          <w:bCs w:val="0"/>
          <w:i w:val="0"/>
          <w:iCs w:val="0"/>
          <w:caps w:val="0"/>
          <w:color w:val="000000"/>
          <w:spacing w:val="0"/>
          <w:sz w:val="32"/>
          <w:szCs w:val="32"/>
          <w:shd w:val="clear" w:fill="FFFFFF"/>
          <w:lang w:val="en-US" w:eastAsia="zh-CN"/>
        </w:rPr>
        <w:t>1.</w:t>
      </w:r>
      <w:r>
        <w:rPr>
          <w:rFonts w:hint="eastAsia" w:ascii="CESI仿宋-GB2312" w:hAnsi="CESI仿宋-GB2312" w:eastAsia="CESI仿宋-GB2312" w:cs="CESI仿宋-GB2312"/>
          <w:kern w:val="2"/>
          <w:sz w:val="32"/>
          <w:szCs w:val="32"/>
          <w:lang w:val="en-US" w:eastAsia="zh-CN" w:bidi="ar"/>
        </w:rPr>
        <w:t>贯彻落实党的干部路线、方针、政策，制定或参与制定干部人事工作的有关规定和干部人事制度改革建议方案；研究制定选拔、考核干部的规定和程序；负责全县干部工作的宏观管理。</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bCs w:val="0"/>
          <w:i w:val="0"/>
          <w:iCs w:val="0"/>
          <w:caps w:val="0"/>
          <w:color w:val="000000"/>
          <w:spacing w:val="0"/>
          <w:sz w:val="32"/>
          <w:szCs w:val="32"/>
          <w:shd w:val="clear" w:fill="FFFFFF"/>
          <w:lang w:val="en-US" w:eastAsia="zh-CN"/>
        </w:rPr>
        <w:t>2.</w:t>
      </w:r>
      <w:r>
        <w:rPr>
          <w:rFonts w:hint="eastAsia" w:ascii="CESI仿宋-GB2312" w:hAnsi="CESI仿宋-GB2312" w:eastAsia="CESI仿宋-GB2312" w:cs="CESI仿宋-GB2312"/>
          <w:kern w:val="2"/>
          <w:sz w:val="32"/>
          <w:szCs w:val="32"/>
          <w:lang w:val="en-US" w:eastAsia="zh-CN" w:bidi="ar"/>
        </w:rPr>
        <w:t>对县委管理领导干部进行考察了解，提出调整配备的意见和建议；抓好领导班子的思想作风建设；负责办理县委向县人大、县政协提名推荐干部的工作；办理县委管理干部的任免、审批手续；承办干部调动事宜；考察审批乡镇和县直部门股级干部，办理调整、任免事宜；组织实施竞争性选拔领导干部工作；承办部分干部的调配、交流及安置工作；负责规划、部署、组织实施青年干部、妇女干部、少数民族干部、党外干部的培养、选拔、任用工作；办理县管干部工资评定审批手续和登记备案人员出国出境手续。</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sz w:val="32"/>
          <w:szCs w:val="32"/>
          <w:lang w:val="en-US"/>
        </w:rPr>
      </w:pPr>
      <w:r>
        <w:rPr>
          <w:rFonts w:hint="eastAsia" w:ascii="CESI仿宋-GB2312" w:hAnsi="CESI仿宋-GB2312" w:eastAsia="CESI仿宋-GB2312" w:cs="CESI仿宋-GB2312"/>
          <w:kern w:val="2"/>
          <w:sz w:val="32"/>
          <w:szCs w:val="32"/>
          <w:lang w:val="en-US" w:eastAsia="zh-CN" w:bidi="ar"/>
        </w:rPr>
        <w:t>3.承担公务员考录、登记、年度考核和工资统发审核等工作，负责公务员职级的设置和管理，拟订、实施公务员工资福利政策。负责县级党委、人大、政协、民主党派、群众团体机关参照《公务员法》管理工作和全县参照管理工作的指导。</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sz w:val="32"/>
          <w:szCs w:val="32"/>
          <w:lang w:val="en-US"/>
        </w:rPr>
      </w:pPr>
      <w:r>
        <w:rPr>
          <w:rFonts w:hint="eastAsia" w:ascii="CESI仿宋-GB2312" w:hAnsi="CESI仿宋-GB2312" w:eastAsia="CESI仿宋-GB2312" w:cs="CESI仿宋-GB2312"/>
          <w:kern w:val="2"/>
          <w:sz w:val="32"/>
          <w:szCs w:val="32"/>
          <w:lang w:val="en-US" w:eastAsia="zh-CN" w:bidi="ar"/>
        </w:rPr>
        <w:t>4.贯彻落实党的组织工作的路线、方针和政策；对全县各级党的组织建设进行调查研究，提出意见、建议；研究制定加强党的组织建设的措施，并进行宏观指导、督促检查；负责全县党员的管理、教育和发展工作；研究指导党的基层组织建设以及党组织的设置、隶属关系和活动内容、工作方式。会同有关部门抓好农村基层组织建设和思想建设；负责全县农村基层组织整建工作；管理县委农村基层组织建设领导小组办公室。</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5.负责指导、检查各乡镇组织工作，及时向县委和市委组织部报告全县党的组织、干部工作情况。承担涉及全县党员、干部的来信来访工作。</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6.承办县党代会、人代会、政协会的有关工作及各级代表（委员）的推荐考察工作。</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7.对全县干部教育培训工作进行规划指导，对党政干部和企业经营管理者、科技人员教育培训工作进行协调、督促和检查，并具体负责县委管理的干部和组织人事政工干部、村干部的培训。完成省市安排的调训任务。</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8.负责指导全县人才工作，推动和促进社会各类人才成长、开发和合理配置，负责选拔和管理有突出贡献专家、专门人才和新世纪科技带头人。</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9.负责干部监督工作的宏观指导，负责组织工作和干部工作的督促检查，及时向县委和市委组织部反映重要情况，对反映领导班子和领导干部的重要问题进行调查了解和督办；负责对党政领导干部选拔任用工作进行监督，对有关监督制度的落实情况进行督查；对县委管理的干部的历史遗留问题进行初审和审查。</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10.负责全县组织、（人事）政工干部监督工作的指导、管理，参与制定干部监督工作的政策规定，督促检查贯彻落实《党政领导干部选拔任用工作条例》，受理群众举报干部选拔任用工作和领导干部政治、思想、作风、廉政、品德等方面的问题，查办有关案件。</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11.协助管理省、市垂直管理单位领导班子和领导干部，对领导班子建设和领导干部选拔任用提出意见和建议。</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12.负责党员和干部的统计工作；负责县委管理的干部的档案管理，并指导全县干部档案管理工作；负责全县组织史资料的收集和编写工作。</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13.贯彻执行党中央、国务院关于离退休干部工作的方针、政策、法规和省委省政府、市委市政府、县委县政府的有关规定；负责全县离退休干部工作和离退休干部基层党组强建设的宏观管理；指导全县离退休干部政治建设、思想建设、组织建设；负责离退休干部和离退休干部工作的宣传教育，老年大学教学和管理；负责接待、处理离退休干部的来信来访；指导全县离退休干部工作部门自身建设工作；充分发挥各种场地和设施的作用，发展离退休干部事业；承担县委老干部工作领导小组办公室的日常工作；承担关心下一代工作委员会的日常工作。</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14.负责全县农村党员干部现代远程教育工作。</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15.承担县委考核工作领导小组办公室日常工作，组织实施全县绩效考核、县管领导班子和领导干部年度考核等。</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kern w:val="2"/>
          <w:sz w:val="32"/>
          <w:szCs w:val="32"/>
          <w:lang w:val="en-US" w:eastAsia="zh-CN" w:bidi="ar"/>
        </w:rPr>
      </w:pPr>
      <w:r>
        <w:rPr>
          <w:rFonts w:hint="eastAsia" w:ascii="CESI仿宋-GB2312" w:hAnsi="CESI仿宋-GB2312" w:eastAsia="CESI仿宋-GB2312" w:cs="CESI仿宋-GB2312"/>
          <w:kern w:val="2"/>
          <w:sz w:val="32"/>
          <w:szCs w:val="32"/>
          <w:lang w:val="en-US" w:eastAsia="zh-CN" w:bidi="ar"/>
        </w:rPr>
        <w:t>16.县委组织部统一管理县委机构编制委员会办公室。</w:t>
      </w:r>
    </w:p>
    <w:p>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520" w:lineRule="exact"/>
        <w:ind w:left="0" w:right="0" w:firstLine="640" w:firstLineChars="200"/>
        <w:jc w:val="both"/>
        <w:textAlignment w:val="auto"/>
        <w:rPr>
          <w:rFonts w:hint="eastAsia" w:ascii="CESI仿宋-GB2312" w:hAnsi="CESI仿宋-GB2312" w:eastAsia="CESI仿宋-GB2312" w:cs="CESI仿宋-GB2312"/>
          <w:sz w:val="32"/>
          <w:szCs w:val="32"/>
          <w:lang w:val="en-US"/>
        </w:rPr>
      </w:pPr>
      <w:r>
        <w:rPr>
          <w:rFonts w:hint="eastAsia" w:ascii="CESI仿宋-GB2312" w:hAnsi="CESI仿宋-GB2312" w:eastAsia="CESI仿宋-GB2312" w:cs="CESI仿宋-GB2312"/>
          <w:kern w:val="2"/>
          <w:sz w:val="32"/>
          <w:szCs w:val="32"/>
          <w:lang w:val="en-US" w:eastAsia="zh-CN" w:bidi="ar"/>
        </w:rPr>
        <w:t>17.承办县委和市委组织部交办的其他事项。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right="0" w:firstLine="640" w:firstLineChars="200"/>
        <w:textAlignment w:val="auto"/>
        <w:rPr>
          <w:rFonts w:hint="eastAsia" w:ascii="CESI仿宋-GB2312" w:hAnsi="CESI仿宋-GB2312" w:eastAsia="CESI仿宋-GB2312" w:cs="CESI仿宋-GB2312"/>
          <w:b w:val="0"/>
          <w:bCs w:val="0"/>
          <w:i w:val="0"/>
          <w:iCs w:val="0"/>
          <w:caps w:val="0"/>
          <w:color w:val="000000"/>
          <w:spacing w:val="0"/>
          <w:sz w:val="32"/>
          <w:szCs w:val="32"/>
          <w:shd w:val="clear" w:fill="FFFFFF"/>
          <w:lang w:val="en-US" w:eastAsia="zh-CN"/>
        </w:rPr>
      </w:pPr>
      <w:r>
        <w:rPr>
          <w:rFonts w:hint="eastAsia" w:ascii="CESI仿宋-GB2312" w:hAnsi="CESI仿宋-GB2312" w:eastAsia="CESI仿宋-GB2312" w:cs="CESI仿宋-GB2312"/>
          <w:b w:val="0"/>
          <w:bCs w:val="0"/>
          <w:i w:val="0"/>
          <w:iCs w:val="0"/>
          <w:caps w:val="0"/>
          <w:color w:val="000000"/>
          <w:spacing w:val="0"/>
          <w:sz w:val="32"/>
          <w:szCs w:val="32"/>
          <w:shd w:val="clear" w:fill="FFFFFF"/>
          <w:lang w:val="en-US" w:eastAsia="zh-CN"/>
        </w:rPr>
        <w:t>2024年末，我部门内设组室13个，1个参公单位，2个事业单位。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CESI仿宋-GB2312" w:hAnsi="CESI仿宋-GB2312" w:eastAsia="CESI仿宋-GB2312" w:cs="CESI仿宋-GB2312"/>
          <w:b w:val="0"/>
          <w:bCs w:val="0"/>
          <w:i w:val="0"/>
          <w:iCs w:val="0"/>
          <w:caps w:val="0"/>
          <w:color w:val="000000"/>
          <w:spacing w:val="0"/>
          <w:sz w:val="32"/>
          <w:szCs w:val="32"/>
          <w:shd w:val="clear" w:fill="FFFFFF"/>
          <w:lang w:val="en-US" w:eastAsia="zh-CN"/>
        </w:rPr>
      </w:pPr>
      <w:r>
        <w:rPr>
          <w:rFonts w:hint="eastAsia" w:ascii="CESI仿宋-GB2312" w:hAnsi="CESI仿宋-GB2312" w:eastAsia="CESI仿宋-GB2312" w:cs="CESI仿宋-GB2312"/>
          <w:b w:val="0"/>
          <w:bCs w:val="0"/>
          <w:i w:val="0"/>
          <w:iCs w:val="0"/>
          <w:caps w:val="0"/>
          <w:color w:val="000000"/>
          <w:spacing w:val="0"/>
          <w:sz w:val="32"/>
          <w:szCs w:val="32"/>
          <w:shd w:val="clear" w:fill="FFFFFF"/>
          <w:lang w:val="en-US" w:eastAsia="zh-CN"/>
        </w:rPr>
        <w:t>13个内设组室分别是：办公室、调研信息组（新闻宣传办公室）、组织指导组、党员管理组（县“两代表一委员”联络办公室）、干部组（县公开选拔领导干部办公室、干部队伍建设规划办公室）、干部教育组、干部信息管理组、公务员管理组、干部监督组（县巡察工作联络办公室）、人才工作办公室、离退休干部工作办公室（县关心下一代工作办公室）、机关工委办公室、考核评价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textAlignment w:val="auto"/>
        <w:rPr>
          <w:rFonts w:hint="eastAsia" w:ascii="CESI仿宋-GB2312" w:hAnsi="CESI仿宋-GB2312" w:eastAsia="CESI仿宋-GB2312" w:cs="CESI仿宋-GB2312"/>
          <w:spacing w:val="0"/>
          <w:kern w:val="0"/>
          <w:sz w:val="32"/>
          <w:szCs w:val="32"/>
          <w:lang w:val="en-US" w:eastAsia="zh-CN"/>
        </w:rPr>
      </w:pPr>
      <w:r>
        <w:rPr>
          <w:rFonts w:hint="eastAsia" w:ascii="CESI仿宋-GB2312" w:hAnsi="CESI仿宋-GB2312" w:eastAsia="CESI仿宋-GB2312" w:cs="CESI仿宋-GB2312"/>
          <w:b w:val="0"/>
          <w:bCs w:val="0"/>
          <w:i w:val="0"/>
          <w:iCs w:val="0"/>
          <w:caps w:val="0"/>
          <w:color w:val="000000"/>
          <w:spacing w:val="0"/>
          <w:sz w:val="32"/>
          <w:szCs w:val="32"/>
          <w:shd w:val="clear" w:fill="FFFFFF"/>
          <w:lang w:val="en-US" w:eastAsia="zh-CN"/>
        </w:rPr>
        <w:t>参公单位是：</w:t>
      </w:r>
      <w:r>
        <w:rPr>
          <w:rFonts w:hint="eastAsia" w:ascii="CESI仿宋-GB2312" w:hAnsi="CESI仿宋-GB2312" w:eastAsia="CESI仿宋-GB2312" w:cs="CESI仿宋-GB2312"/>
          <w:spacing w:val="0"/>
          <w:kern w:val="0"/>
          <w:sz w:val="32"/>
          <w:szCs w:val="32"/>
          <w:lang w:val="en-US" w:eastAsia="zh-CN"/>
        </w:rPr>
        <w:t>党员教育中心。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textAlignment w:val="auto"/>
        <w:rPr>
          <w:rFonts w:hint="eastAsia" w:ascii="CESI仿宋-GB2312" w:hAnsi="CESI仿宋-GB2312" w:eastAsia="CESI仿宋-GB2312" w:cs="CESI仿宋-GB2312"/>
          <w:b/>
          <w:bCs/>
          <w:i w:val="0"/>
          <w:iCs w:val="0"/>
          <w:caps w:val="0"/>
          <w:color w:val="000000"/>
          <w:spacing w:val="0"/>
          <w:sz w:val="32"/>
          <w:szCs w:val="32"/>
          <w:shd w:val="clear" w:fill="FFFFFF"/>
          <w:lang w:val="en-US" w:eastAsia="zh-CN"/>
        </w:rPr>
      </w:pPr>
      <w:r>
        <w:rPr>
          <w:rFonts w:hint="eastAsia" w:ascii="CESI仿宋-GB2312" w:hAnsi="CESI仿宋-GB2312" w:eastAsia="CESI仿宋-GB2312" w:cs="CESI仿宋-GB2312"/>
          <w:kern w:val="2"/>
          <w:sz w:val="32"/>
          <w:szCs w:val="32"/>
          <w:lang w:val="en-US" w:eastAsia="zh-CN" w:bidi="ar"/>
        </w:rPr>
        <w:t>2个事业单位分别是：县委老干部活动中心</w:t>
      </w:r>
      <w:r>
        <w:rPr>
          <w:rFonts w:hint="eastAsia" w:ascii="CESI仿宋-GB2312" w:hAnsi="CESI仿宋-GB2312" w:eastAsia="CESI仿宋-GB2312" w:cs="CESI仿宋-GB2312"/>
          <w:spacing w:val="0"/>
          <w:kern w:val="0"/>
          <w:sz w:val="32"/>
          <w:szCs w:val="32"/>
          <w:lang w:val="en-US" w:eastAsia="zh-CN"/>
        </w:rPr>
        <w:t>、</w:t>
      </w:r>
      <w:r>
        <w:rPr>
          <w:rFonts w:hint="eastAsia" w:ascii="CESI仿宋-GB2312" w:hAnsi="CESI仿宋-GB2312" w:eastAsia="CESI仿宋-GB2312" w:cs="CESI仿宋-GB2312"/>
          <w:kern w:val="2"/>
          <w:sz w:val="32"/>
          <w:szCs w:val="32"/>
          <w:lang w:val="en-US" w:eastAsia="zh-CN" w:bidi="ar"/>
        </w:rPr>
        <w:t>县人才发展服务中心</w:t>
      </w:r>
      <w:r>
        <w:rPr>
          <w:rFonts w:hint="eastAsia" w:ascii="CESI仿宋-GB2312" w:hAnsi="CESI仿宋-GB2312" w:eastAsia="CESI仿宋-GB2312" w:cs="CESI仿宋-GB2312"/>
          <w:color w:val="000000"/>
          <w:kern w:val="0"/>
          <w:sz w:val="32"/>
          <w:szCs w:val="32"/>
          <w:lang w:val="en-US" w:eastAsia="zh-CN" w:bidi="ar"/>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641"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CESI仿宋-GB2312" w:hAnsi="CESI仿宋-GB2312" w:eastAsia="CESI仿宋-GB2312" w:cs="CESI仿宋-GB2312"/>
          <w:b w:val="0"/>
          <w:bCs w:val="0"/>
          <w:i w:val="0"/>
          <w:iCs w:val="0"/>
          <w:caps w:val="0"/>
          <w:color w:val="000000"/>
          <w:spacing w:val="0"/>
          <w:sz w:val="32"/>
          <w:szCs w:val="32"/>
          <w:shd w:val="clear" w:fill="FFFFFF"/>
          <w:lang w:val="en-US" w:eastAsia="zh-CN"/>
        </w:rPr>
      </w:pPr>
      <w:r>
        <w:rPr>
          <w:rFonts w:hint="eastAsia" w:ascii="CESI仿宋-GB2312" w:hAnsi="CESI仿宋-GB2312" w:eastAsia="CESI仿宋-GB2312" w:cs="CESI仿宋-GB2312"/>
          <w:b w:val="0"/>
          <w:bCs w:val="0"/>
          <w:i w:val="0"/>
          <w:iCs w:val="0"/>
          <w:caps w:val="0"/>
          <w:color w:val="000000"/>
          <w:spacing w:val="0"/>
          <w:sz w:val="32"/>
          <w:szCs w:val="32"/>
          <w:shd w:val="clear" w:fill="FFFFFF"/>
          <w:lang w:val="en-US" w:eastAsia="zh-CN"/>
        </w:rPr>
        <w:t>2024年末，我部门共有编制50人，其中</w:t>
      </w:r>
      <w:r>
        <w:rPr>
          <w:rFonts w:hint="eastAsia" w:ascii="CESI仿宋-GB2312" w:hAnsi="CESI仿宋-GB2312" w:eastAsia="CESI仿宋-GB2312" w:cs="CESI仿宋-GB2312"/>
          <w:kern w:val="2"/>
          <w:sz w:val="32"/>
          <w:szCs w:val="32"/>
          <w:lang w:val="en-US" w:eastAsia="zh-CN" w:bidi="ar"/>
        </w:rPr>
        <w:t>部机关行政编制23名，老干部服务专项事业编制5名，机关后勤服务全额拨款事业编制1名（人员只出不进，编制出一减一），党员教育中心核定事业编制12名（参公单位）、事业编制9名</w:t>
      </w:r>
      <w:r>
        <w:rPr>
          <w:rFonts w:hint="eastAsia" w:ascii="CESI仿宋-GB2312" w:hAnsi="CESI仿宋-GB2312" w:eastAsia="CESI仿宋-GB2312" w:cs="CESI仿宋-GB2312"/>
          <w:b w:val="0"/>
          <w:bCs w:val="0"/>
          <w:i w:val="0"/>
          <w:iCs w:val="0"/>
          <w:caps w:val="0"/>
          <w:color w:val="000000"/>
          <w:spacing w:val="0"/>
          <w:sz w:val="32"/>
          <w:szCs w:val="32"/>
          <w:shd w:val="clear" w:fill="FFFFFF"/>
          <w:lang w:val="en-US" w:eastAsia="zh-CN"/>
        </w:rPr>
        <w:t>。</w:t>
      </w:r>
      <w:r>
        <w:rPr>
          <w:rFonts w:hint="eastAsia" w:ascii="CESI仿宋-GB2312" w:hAnsi="CESI仿宋-GB2312" w:eastAsia="CESI仿宋-GB2312" w:cs="CESI仿宋-GB2312"/>
          <w:b w:val="0"/>
          <w:bCs w:val="0"/>
          <w:i w:val="0"/>
          <w:iCs w:val="0"/>
          <w:caps w:val="0"/>
          <w:color w:val="000000"/>
          <w:spacing w:val="0"/>
          <w:sz w:val="32"/>
          <w:szCs w:val="32"/>
          <w:highlight w:val="none"/>
          <w:shd w:val="clear" w:fill="FFFFFF"/>
          <w:lang w:val="en-US" w:eastAsia="zh-CN"/>
        </w:rPr>
        <w:t>年末实有在职人员42人，退休人员11人，</w:t>
      </w:r>
      <w:r>
        <w:rPr>
          <w:rFonts w:hint="eastAsia" w:ascii="CESI仿宋-GB2312" w:hAnsi="CESI仿宋-GB2312" w:eastAsia="CESI仿宋-GB2312" w:cs="CESI仿宋-GB2312"/>
          <w:color w:val="000000"/>
          <w:kern w:val="2"/>
          <w:sz w:val="32"/>
          <w:szCs w:val="32"/>
          <w:highlight w:val="none"/>
          <w:shd w:val="clear" w:fill="FFFFFF"/>
          <w:lang w:val="en-US" w:eastAsia="zh-CN" w:bidi="ar"/>
        </w:rPr>
        <w:t>离休人员0</w:t>
      </w:r>
      <w:r>
        <w:rPr>
          <w:rFonts w:hint="eastAsia" w:ascii="CESI仿宋-GB2312" w:hAnsi="CESI仿宋-GB2312" w:eastAsia="CESI仿宋-GB2312" w:cs="CESI仿宋-GB2312"/>
          <w:color w:val="000000"/>
          <w:kern w:val="2"/>
          <w:sz w:val="32"/>
          <w:szCs w:val="32"/>
          <w:shd w:val="clear" w:fill="FFFFFF"/>
          <w:lang w:val="en-US" w:eastAsia="zh-CN" w:bidi="ar"/>
        </w:rPr>
        <w:t>人</w:t>
      </w:r>
      <w:r>
        <w:rPr>
          <w:rFonts w:hint="eastAsia" w:ascii="CESI仿宋-GB2312" w:hAnsi="CESI仿宋-GB2312" w:eastAsia="CESI仿宋-GB2312" w:cs="CESI仿宋-GB2312"/>
          <w:b w:val="0"/>
          <w:bCs w:val="0"/>
          <w:i w:val="0"/>
          <w:iCs w:val="0"/>
          <w:caps w:val="0"/>
          <w:color w:val="000000"/>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二、一般公共预算支出情况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jc w:val="left"/>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20" w:lineRule="exact"/>
        <w:ind w:firstLine="640" w:firstLineChars="200"/>
        <w:jc w:val="both"/>
        <w:textAlignment w:val="auto"/>
        <w:outlineLvl w:val="9"/>
        <w:rPr>
          <w:rFonts w:hint="eastAsia" w:ascii="CESI仿宋-GB2312" w:hAnsi="CESI仿宋-GB2312" w:eastAsia="CESI仿宋-GB2312" w:cs="CESI仿宋-GB2312"/>
          <w:color w:val="0C0C0C"/>
          <w:sz w:val="32"/>
          <w:szCs w:val="32"/>
          <w:lang w:val="en-US" w:eastAsia="zh-CN"/>
        </w:rPr>
      </w:pPr>
      <w:r>
        <w:rPr>
          <w:rFonts w:hint="eastAsia" w:ascii="CESI仿宋-GB2312" w:hAnsi="CESI仿宋-GB2312" w:eastAsia="CESI仿宋-GB2312" w:cs="CESI仿宋-GB2312"/>
          <w:color w:val="0C0C0C"/>
          <w:sz w:val="32"/>
          <w:szCs w:val="32"/>
          <w:lang w:eastAsia="zh-CN"/>
        </w:rPr>
        <w:t>2024</w:t>
      </w:r>
      <w:r>
        <w:rPr>
          <w:rFonts w:hint="eastAsia" w:ascii="CESI仿宋-GB2312" w:hAnsi="CESI仿宋-GB2312" w:eastAsia="CESI仿宋-GB2312" w:cs="CESI仿宋-GB2312"/>
          <w:color w:val="0C0C0C"/>
          <w:sz w:val="32"/>
          <w:szCs w:val="32"/>
        </w:rPr>
        <w:t>年基本支出共计</w:t>
      </w:r>
      <w:r>
        <w:rPr>
          <w:rFonts w:hint="eastAsia" w:ascii="CESI仿宋-GB2312" w:hAnsi="CESI仿宋-GB2312" w:eastAsia="CESI仿宋-GB2312" w:cs="CESI仿宋-GB2312"/>
          <w:color w:val="000000"/>
          <w:kern w:val="0"/>
          <w:sz w:val="32"/>
          <w:szCs w:val="32"/>
          <w:lang w:val="en-US" w:eastAsia="zh-CN" w:bidi="ar"/>
        </w:rPr>
        <w:t>1811.98</w:t>
      </w:r>
      <w:bookmarkStart w:id="0" w:name="_GoBack"/>
      <w:bookmarkEnd w:id="0"/>
      <w:r>
        <w:rPr>
          <w:rFonts w:hint="eastAsia" w:ascii="CESI仿宋-GB2312" w:hAnsi="CESI仿宋-GB2312" w:eastAsia="CESI仿宋-GB2312" w:cs="CESI仿宋-GB2312"/>
          <w:color w:val="0C0C0C"/>
          <w:sz w:val="32"/>
          <w:szCs w:val="32"/>
        </w:rPr>
        <w:t>万元</w:t>
      </w:r>
      <w:r>
        <w:rPr>
          <w:rFonts w:hint="eastAsia" w:ascii="CESI仿宋-GB2312" w:hAnsi="CESI仿宋-GB2312" w:eastAsia="CESI仿宋-GB2312" w:cs="CESI仿宋-GB2312"/>
          <w:color w:val="0C0C0C"/>
          <w:sz w:val="32"/>
          <w:szCs w:val="32"/>
          <w:lang w:eastAsia="zh-CN"/>
        </w:rPr>
        <w:t>，</w:t>
      </w:r>
      <w:r>
        <w:rPr>
          <w:rFonts w:hint="eastAsia" w:ascii="CESI仿宋-GB2312" w:hAnsi="CESI仿宋-GB2312" w:eastAsia="CESI仿宋-GB2312" w:cs="CESI仿宋-GB2312"/>
          <w:color w:val="0C0C0C"/>
          <w:sz w:val="32"/>
          <w:szCs w:val="32"/>
          <w:lang w:val="en-US" w:eastAsia="zh-CN"/>
        </w:rPr>
        <w:t>其中人员经费581.72万元，公用经费1230.26万元。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20" w:lineRule="exact"/>
        <w:ind w:firstLine="640" w:firstLineChars="200"/>
        <w:jc w:val="both"/>
        <w:textAlignment w:val="auto"/>
        <w:outlineLvl w:val="9"/>
        <w:rPr>
          <w:rFonts w:hint="default" w:ascii="Times New Roman" w:hAnsi="Times New Roman" w:eastAsia="仿宋_GB2312" w:cs="Times New Roman"/>
          <w:color w:val="0C0C0C"/>
          <w:sz w:val="32"/>
          <w:szCs w:val="32"/>
        </w:rPr>
      </w:pPr>
      <w:r>
        <w:rPr>
          <w:rFonts w:hint="eastAsia" w:ascii="CESI仿宋-GB2312" w:hAnsi="CESI仿宋-GB2312" w:eastAsia="CESI仿宋-GB2312" w:cs="CESI仿宋-GB2312"/>
          <w:b/>
          <w:bCs/>
          <w:color w:val="0C0C0C"/>
          <w:sz w:val="32"/>
          <w:szCs w:val="32"/>
          <w:lang w:val="en-US" w:eastAsia="zh-CN"/>
        </w:rPr>
        <w:t>1.人员经费581.72万元。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20" w:lineRule="exact"/>
        <w:ind w:firstLine="640" w:firstLineChars="200"/>
        <w:jc w:val="both"/>
        <w:textAlignment w:val="auto"/>
        <w:outlineLvl w:val="9"/>
        <w:rPr>
          <w:rFonts w:hint="default" w:ascii="Times New Roman" w:hAnsi="Times New Roman" w:eastAsia="仿宋_GB2312" w:cs="Times New Roman"/>
          <w:color w:val="0C0C0C"/>
          <w:sz w:val="32"/>
          <w:szCs w:val="32"/>
        </w:rPr>
      </w:pPr>
      <w:r>
        <w:rPr>
          <w:rFonts w:hint="eastAsia" w:ascii="CESI仿宋-GB2312" w:hAnsi="CESI仿宋-GB2312" w:eastAsia="CESI仿宋-GB2312" w:cs="CESI仿宋-GB2312"/>
          <w:b/>
          <w:bCs/>
          <w:color w:val="0C0C0C"/>
          <w:sz w:val="32"/>
          <w:szCs w:val="32"/>
          <w:lang w:val="en-US" w:eastAsia="zh-CN"/>
        </w:rPr>
        <w:t>2.公用经费1230.26万元。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jc w:val="both"/>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20"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lang w:eastAsia="zh-CN"/>
        </w:rPr>
        <w:t>2024</w:t>
      </w:r>
      <w:r>
        <w:rPr>
          <w:rFonts w:hint="eastAsia" w:ascii="仿宋" w:hAnsi="仿宋" w:eastAsia="仿宋" w:cs="仿宋"/>
          <w:color w:val="0C0C0C"/>
          <w:sz w:val="32"/>
          <w:szCs w:val="32"/>
        </w:rPr>
        <w:t>年项目支出共计</w:t>
      </w:r>
      <w:r>
        <w:rPr>
          <w:rFonts w:hint="eastAsia" w:ascii="仿宋" w:hAnsi="仿宋" w:eastAsia="仿宋" w:cs="仿宋"/>
          <w:color w:val="000000"/>
          <w:kern w:val="0"/>
          <w:sz w:val="32"/>
          <w:szCs w:val="32"/>
          <w:lang w:val="en-US" w:eastAsia="zh-CN" w:bidi="ar"/>
        </w:rPr>
        <w:t>3763.29</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bidi="ar"/>
        </w:rPr>
        <w:t>3763.29</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专项资金0</w:t>
      </w:r>
      <w:r>
        <w:rPr>
          <w:rFonts w:hint="eastAsia" w:ascii="仿宋" w:hAnsi="仿宋" w:eastAsia="仿宋" w:cs="仿宋"/>
          <w:color w:val="0C0C0C"/>
          <w:sz w:val="32"/>
          <w:szCs w:val="32"/>
        </w:rPr>
        <w:t>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20" w:lineRule="exact"/>
        <w:ind w:firstLine="642" w:firstLineChars="200"/>
        <w:jc w:val="both"/>
        <w:textAlignment w:val="auto"/>
        <w:outlineLvl w:val="9"/>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1</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业务工作经费</w:t>
      </w:r>
      <w:r>
        <w:rPr>
          <w:rFonts w:hint="eastAsia" w:ascii="仿宋" w:hAnsi="仿宋" w:eastAsia="仿宋" w:cs="仿宋"/>
          <w:color w:val="000000"/>
          <w:kern w:val="0"/>
          <w:sz w:val="32"/>
          <w:szCs w:val="32"/>
          <w:lang w:val="en-US" w:eastAsia="zh-CN" w:bidi="ar"/>
        </w:rPr>
        <w:t>3763.29</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r>
        <w:rPr>
          <w:rFonts w:hint="default" w:ascii="仿宋" w:hAnsi="仿宋" w:eastAsia="仿宋" w:cs="仿宋"/>
          <w:color w:val="0C0C0C"/>
          <w:sz w:val="32"/>
          <w:szCs w:val="32"/>
          <w:lang w:val="en-US" w:eastAsia="zh-CN"/>
        </w:rPr>
        <w:t>主要用于</w:t>
      </w:r>
      <w:r>
        <w:rPr>
          <w:rFonts w:hint="eastAsia" w:ascii="仿宋" w:hAnsi="仿宋" w:eastAsia="仿宋" w:cs="仿宋"/>
          <w:color w:val="0C0C0C"/>
          <w:sz w:val="32"/>
          <w:szCs w:val="32"/>
          <w:lang w:val="en-US" w:eastAsia="zh-CN"/>
        </w:rPr>
        <w:t>省科技特派员经费、对村集体经济组织的补助、对村民委员会和村党支部的补助、村级运转经费、干部教育培训</w:t>
      </w:r>
      <w:r>
        <w:rPr>
          <w:rFonts w:hint="default" w:ascii="仿宋" w:hAnsi="仿宋" w:eastAsia="仿宋" w:cs="仿宋"/>
          <w:color w:val="0C0C0C"/>
          <w:sz w:val="32"/>
          <w:szCs w:val="32"/>
          <w:lang w:val="en-US" w:eastAsia="zh-CN"/>
        </w:rPr>
        <w:t>等方面。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20"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2024年度无政府性基金预算支出。</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20"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年度无国有资本经营预算支出。</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leftChars="0" w:right="0" w:firstLine="0" w:firstLineChars="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keepNext w:val="0"/>
        <w:keepLines w:val="0"/>
        <w:pageBreakBefore w:val="0"/>
        <w:widowControl/>
        <w:suppressLineNumbers w:val="0"/>
        <w:kinsoku/>
        <w:wordWrap/>
        <w:overflowPunct/>
        <w:topLinePunct w:val="0"/>
        <w:autoSpaceDN/>
        <w:bidi w:val="0"/>
        <w:adjustRightInd/>
        <w:spacing w:line="520" w:lineRule="exact"/>
        <w:ind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年度无社会保险基金预算支出。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0" w:right="0" w:firstLine="645"/>
        <w:jc w:val="both"/>
        <w:textAlignment w:val="auto"/>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2024年，在县委、县政府的领导下，坚持依法行政、执法为民，稳中求进，改革创新，积极作为，突出抓改革强监管促发展，各方面工作稳步推进。根据部门整体支出绩效自评评分（详见附件2），得分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91</w:t>
      </w:r>
      <w:r>
        <w:rPr>
          <w:rFonts w:hint="eastAsia" w:ascii="仿宋" w:hAnsi="仿宋" w:eastAsia="仿宋" w:cs="仿宋"/>
          <w:color w:val="0C0C0C"/>
          <w:kern w:val="2"/>
          <w:sz w:val="32"/>
          <w:szCs w:val="32"/>
          <w:lang w:val="en-US" w:eastAsia="zh-CN" w:bidi="ar-SA"/>
        </w:rPr>
        <w:t>分，部门整体支出绩效为“优秀”。主要绩效如下：</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0" w:right="0" w:firstLine="645"/>
        <w:textAlignment w:val="auto"/>
        <w:rPr>
          <w:rFonts w:hint="eastAsia" w:ascii="仿宋" w:hAnsi="仿宋" w:eastAsia="仿宋" w:cs="仿宋"/>
          <w:i w:val="0"/>
          <w:iCs w:val="0"/>
          <w:caps w:val="0"/>
          <w:color w:val="000000"/>
          <w:spacing w:val="0"/>
          <w:sz w:val="32"/>
          <w:szCs w:val="32"/>
          <w:shd w:val="clear" w:fill="FFFFFF"/>
        </w:rPr>
      </w:pPr>
      <w:r>
        <w:rPr>
          <w:rFonts w:hint="eastAsia" w:ascii="方正楷体_GBK" w:hAnsi="方正楷体_GBK" w:eastAsia="方正楷体_GBK" w:cs="方正楷体_GBK"/>
          <w:b/>
          <w:bCs/>
          <w:i w:val="0"/>
          <w:iCs w:val="0"/>
          <w:caps w:val="0"/>
          <w:color w:val="000000"/>
          <w:spacing w:val="0"/>
          <w:sz w:val="32"/>
          <w:szCs w:val="32"/>
          <w:shd w:val="clear" w:fill="FFFFFF"/>
          <w:lang w:val="en-US" w:eastAsia="zh-CN"/>
        </w:rPr>
        <w:t>成绩一</w:t>
      </w:r>
      <w:r>
        <w:rPr>
          <w:rFonts w:hint="eastAsia" w:ascii="方正楷体_GBK" w:hAnsi="方正楷体_GBK" w:eastAsia="方正楷体_GBK" w:cs="方正楷体_GBK"/>
          <w:i w:val="0"/>
          <w:iCs w:val="0"/>
          <w:caps w:val="0"/>
          <w:color w:val="000000"/>
          <w:spacing w:val="0"/>
          <w:sz w:val="32"/>
          <w:szCs w:val="32"/>
          <w:shd w:val="clear" w:fill="FFFFFF"/>
        </w:rPr>
        <w:t>。</w:t>
      </w:r>
      <w:r>
        <w:rPr>
          <w:rFonts w:hint="eastAsia" w:ascii="仿宋_GB2312" w:hAnsi="仿宋_GB2312" w:eastAsia="仿宋_GB2312" w:cs="仿宋_GB2312"/>
          <w:spacing w:val="0"/>
          <w:kern w:val="0"/>
          <w:sz w:val="32"/>
          <w:szCs w:val="32"/>
          <w:lang w:val="en-US" w:eastAsia="zh-CN"/>
        </w:rPr>
        <w:t>组织工作经费：完成了大组工网安全防护设施维护；绿洲红星微信公众号的编辑管理发送，绿洲红星微信平台、远程教育站点标准化建设及维护，省市委组织部政治建设调研工作及调研信息网宣工作。完成了人才引进工作、公务员信息系统维护，领导干部年度考核，党内年报、干部年报统计工作；干部档案清理，干训工作，新录用公务员考录、培训、年度考核，公务员工资系统维护等工作，乡镇党建工作、非公有制经济组织和社会组织党建指导、督查工作，全县机关和乡党建工作常态化建设，党内关怀基金的审批及发放，党代表活动工作</w:t>
      </w:r>
      <w:r>
        <w:rPr>
          <w:rFonts w:hint="eastAsia" w:ascii="仿宋" w:hAnsi="仿宋" w:eastAsia="仿宋" w:cs="仿宋"/>
          <w:color w:val="0C0C0C"/>
          <w:sz w:val="32"/>
          <w:szCs w:val="32"/>
          <w:lang w:val="en-US" w:eastAsia="zh-CN"/>
        </w:rPr>
        <w:t>。</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0" w:right="0" w:firstLine="645"/>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成绩二。</w:t>
      </w:r>
      <w:r>
        <w:rPr>
          <w:rFonts w:hint="eastAsia" w:ascii="仿宋_GB2312" w:hAnsi="仿宋_GB2312" w:eastAsia="仿宋_GB2312" w:cs="仿宋_GB2312"/>
          <w:spacing w:val="0"/>
          <w:kern w:val="0"/>
          <w:sz w:val="32"/>
          <w:szCs w:val="32"/>
          <w:lang w:val="en-US" w:eastAsia="zh-CN"/>
        </w:rPr>
        <w:t>老干经费：保障了老年教育含老年大学工作，关工委工作，离退休党工委工经费，离退休党员活动，老干部重阳节、春节慰问，召开老干部节日座谈会，对老干部进行走访慰问，按时支付离休干部医药费、行政单位离退休支出、离休干部配偶遗孀生活费及医保费；关心下一代工作专项经费及时拨付到位</w:t>
      </w:r>
      <w:r>
        <w:rPr>
          <w:rFonts w:hint="eastAsia" w:ascii="仿宋" w:hAnsi="仿宋" w:eastAsia="仿宋" w:cs="仿宋"/>
          <w:color w:val="0C0C0C"/>
          <w:sz w:val="32"/>
          <w:szCs w:val="32"/>
          <w:lang w:val="en-US" w:eastAsia="zh-CN"/>
        </w:rPr>
        <w:t>。</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0" w:right="0" w:firstLine="645"/>
        <w:textAlignment w:val="auto"/>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成绩三。</w:t>
      </w:r>
      <w:r>
        <w:rPr>
          <w:rFonts w:hint="eastAsia" w:ascii="仿宋_GB2312" w:hAnsi="仿宋_GB2312" w:eastAsia="仿宋_GB2312" w:cs="仿宋_GB2312"/>
          <w:spacing w:val="0"/>
          <w:kern w:val="0"/>
          <w:sz w:val="32"/>
          <w:szCs w:val="32"/>
          <w:lang w:val="en-US" w:eastAsia="zh-CN"/>
        </w:rPr>
        <w:t>行政运行方面，加强财务监督，严格按发票管理办法、审批流程等规定审核发票，完善日常事务管理制度，健全干部考核及奖惩激励制度，加强内控内审，厉行节约</w:t>
      </w:r>
      <w:r>
        <w:rPr>
          <w:rFonts w:hint="eastAsia" w:ascii="仿宋" w:hAnsi="仿宋" w:eastAsia="仿宋" w:cs="仿宋"/>
          <w:color w:val="0C0C0C"/>
          <w:sz w:val="32"/>
          <w:szCs w:val="32"/>
          <w:lang w:val="en-US" w:eastAsia="zh-CN"/>
        </w:rPr>
        <w:t>。</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0" w:right="0" w:firstLine="645"/>
        <w:textAlignment w:val="auto"/>
        <w:rPr>
          <w:rFonts w:hint="eastAsia" w:ascii="仿宋_GB2312" w:hAnsi="仿宋_GB2312" w:eastAsia="仿宋_GB2312" w:cs="仿宋_GB2312"/>
          <w:spacing w:val="0"/>
          <w:kern w:val="0"/>
          <w:sz w:val="32"/>
          <w:szCs w:val="32"/>
          <w:lang w:val="en-US" w:eastAsia="zh-CN"/>
        </w:rPr>
      </w:pPr>
      <w:r>
        <w:rPr>
          <w:rFonts w:hint="eastAsia" w:ascii="楷体_GB2312" w:hAnsi="楷体_GB2312" w:eastAsia="楷体_GB2312" w:cs="楷体_GB2312"/>
          <w:b/>
          <w:bCs/>
          <w:spacing w:val="0"/>
          <w:kern w:val="0"/>
          <w:sz w:val="32"/>
          <w:szCs w:val="32"/>
          <w:lang w:val="en-US" w:eastAsia="zh-CN"/>
        </w:rPr>
        <w:t>成绩四。</w:t>
      </w:r>
      <w:r>
        <w:rPr>
          <w:rFonts w:hint="eastAsia" w:ascii="仿宋_GB2312" w:hAnsi="仿宋_GB2312" w:eastAsia="仿宋_GB2312" w:cs="仿宋_GB2312"/>
          <w:spacing w:val="0"/>
          <w:kern w:val="0"/>
          <w:sz w:val="32"/>
          <w:szCs w:val="32"/>
          <w:lang w:val="en-US" w:eastAsia="zh-CN"/>
        </w:rPr>
        <w:t>经济发展方面，抓乡村振兴驻村帮扶工作，围绕考核指标抓落实，全力抓好驻村帮扶和结对帮扶工作，对驻村办的工作经费支出严格审核严格把关；抓党建工作，从严管理党员，两新组织工作进一步加强；深化干部人事制度改革，加大超职数消化整治力度；深化人才发展体制机制改革，推进党管人才工作规范化、科学化、制度化；抓老干部工作，按要求做好了老干部活动办公室相关工作，推进了我县离退休干部党组织五化建设。党务建设方面：抓基层组织和干部管理，加强组织部门信息技术和信息资源建设，规范了干部档案工作和统计工作的制度化、规范化和信息化；做好了工资审批和干部退休审批工作；对全县公务员信息管理系统进行定期维护更新，并加强了管理人员的培训；利用党费和党内关怀基金共慰问帮扶老党员、困难党员和受灾党员、困难群众。完成干部人事档案专项整治及新进人员干部人事档案审核管理。</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_GB2312" w:hAnsi="楷体_GB2312" w:eastAsia="楷体_GB2312" w:cs="楷体_GB2312"/>
          <w:b/>
          <w:bCs/>
          <w:spacing w:val="0"/>
          <w:kern w:val="0"/>
          <w:sz w:val="32"/>
          <w:szCs w:val="32"/>
          <w:lang w:val="en-US" w:eastAsia="zh-CN"/>
        </w:rPr>
        <w:t>（五）成绩五。</w:t>
      </w:r>
      <w:r>
        <w:rPr>
          <w:rFonts w:hint="eastAsia" w:ascii="仿宋_GB2312" w:hAnsi="仿宋_GB2312" w:eastAsia="仿宋_GB2312" w:cs="仿宋_GB2312"/>
          <w:spacing w:val="0"/>
          <w:kern w:val="0"/>
          <w:sz w:val="32"/>
          <w:szCs w:val="32"/>
          <w:lang w:val="en-US" w:eastAsia="zh-CN"/>
        </w:rPr>
        <w:t>农村党员远程教育方面，党员教育：远程教育站点标准化建设及站点网络维护；农民大学生培养，按计划招收新生，每届学员正常毕业。</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20" w:lineRule="exact"/>
        <w:ind w:left="0" w:right="0" w:firstLine="642" w:firstLineChars="200"/>
        <w:jc w:val="both"/>
        <w:textAlignment w:val="auto"/>
        <w:rPr>
          <w:rFonts w:hint="eastAsia" w:ascii="仿宋" w:hAnsi="仿宋" w:eastAsia="仿宋" w:cs="仿宋"/>
          <w:kern w:val="2"/>
          <w:sz w:val="32"/>
          <w:szCs w:val="32"/>
          <w:lang w:val="en-US" w:eastAsia="zh-CN" w:bidi="ar"/>
        </w:rPr>
      </w:pPr>
      <w:r>
        <w:rPr>
          <w:rFonts w:hint="eastAsia" w:ascii="楷体_GB2312" w:hAnsi="楷体_GB2312" w:eastAsia="楷体_GB2312" w:cs="楷体_GB2312"/>
          <w:b/>
          <w:bCs/>
          <w:spacing w:val="0"/>
          <w:kern w:val="0"/>
          <w:sz w:val="32"/>
          <w:szCs w:val="32"/>
          <w:lang w:val="en-US" w:eastAsia="zh-CN"/>
        </w:rPr>
        <w:t>（六）成绩六。</w:t>
      </w:r>
      <w:r>
        <w:rPr>
          <w:rFonts w:hint="eastAsia" w:ascii="仿宋_GB2312" w:hAnsi="仿宋_GB2312" w:eastAsia="仿宋_GB2312" w:cs="仿宋_GB2312"/>
          <w:spacing w:val="0"/>
          <w:kern w:val="0"/>
          <w:sz w:val="32"/>
          <w:szCs w:val="32"/>
          <w:lang w:val="en-US" w:eastAsia="zh-CN"/>
        </w:rPr>
        <w:t>驻村办工作经费:对驻村干部绩效考核，乡村振兴巩固工作到位，驻村工作人员人身意外保险、体检费用到位,保障省市驻村乡村振兴专项工作经费到位</w:t>
      </w:r>
      <w:r>
        <w:rPr>
          <w:rFonts w:hint="eastAsia" w:ascii="仿宋" w:hAnsi="仿宋" w:eastAsia="仿宋" w:cs="仿宋"/>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20" w:lineRule="exact"/>
        <w:ind w:left="0" w:right="0" w:firstLine="642" w:firstLineChars="200"/>
        <w:jc w:val="both"/>
        <w:textAlignment w:val="auto"/>
        <w:rPr>
          <w:rFonts w:hint="eastAsia" w:ascii="仿宋" w:hAnsi="仿宋" w:eastAsia="仿宋" w:cs="仿宋"/>
          <w:kern w:val="2"/>
          <w:sz w:val="32"/>
          <w:szCs w:val="32"/>
          <w:lang w:val="en-US" w:eastAsia="zh-CN" w:bidi="ar"/>
        </w:rPr>
      </w:pPr>
      <w:r>
        <w:rPr>
          <w:rFonts w:hint="eastAsia" w:ascii="楷体_GB2312" w:hAnsi="楷体_GB2312" w:eastAsia="楷体_GB2312" w:cs="楷体_GB2312"/>
          <w:b/>
          <w:bCs/>
          <w:spacing w:val="0"/>
          <w:kern w:val="0"/>
          <w:sz w:val="32"/>
          <w:szCs w:val="32"/>
          <w:lang w:val="en-US" w:eastAsia="zh-CN"/>
        </w:rPr>
        <w:t>（七）成绩七。</w:t>
      </w:r>
      <w:r>
        <w:rPr>
          <w:rFonts w:hint="eastAsia" w:ascii="仿宋_GB2312" w:hAnsi="仿宋_GB2312" w:eastAsia="仿宋_GB2312" w:cs="仿宋_GB2312"/>
          <w:color w:val="auto"/>
          <w:sz w:val="32"/>
          <w:szCs w:val="32"/>
          <w:u w:val="none"/>
          <w:lang w:val="en-US" w:eastAsia="zh-CN"/>
        </w:rPr>
        <w:t>落实《关于进一步加强村（社区）干部管理的实施意见》，严格规范村干部外出请销假、谈心谈话等制度，每年按要求落实村级运转经费、村主职干部基本养老保险和村干部体检，保障村干部基本报酬正常增长，切实稳定村干部队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20" w:lineRule="exact"/>
        <w:ind w:left="0" w:right="0" w:firstLine="642" w:firstLineChars="200"/>
        <w:jc w:val="both"/>
        <w:textAlignment w:val="auto"/>
        <w:rPr>
          <w:rFonts w:hint="eastAsia" w:ascii="仿宋" w:hAnsi="仿宋" w:eastAsia="仿宋" w:cs="仿宋"/>
          <w:kern w:val="2"/>
          <w:sz w:val="32"/>
          <w:szCs w:val="32"/>
          <w:lang w:val="en-US" w:eastAsia="zh-CN" w:bidi="ar"/>
        </w:rPr>
      </w:pPr>
      <w:r>
        <w:rPr>
          <w:rFonts w:hint="eastAsia" w:ascii="楷体" w:hAnsi="楷体" w:eastAsia="楷体" w:cs="楷体"/>
          <w:b/>
          <w:bCs/>
          <w:i w:val="0"/>
          <w:iCs w:val="0"/>
          <w:caps w:val="0"/>
          <w:color w:val="000000"/>
          <w:spacing w:val="0"/>
          <w:sz w:val="32"/>
          <w:szCs w:val="32"/>
          <w:shd w:val="clear" w:fill="FFFFFF"/>
          <w:lang w:val="en-US" w:eastAsia="zh-CN"/>
        </w:rPr>
        <w:t>（一）问题一</w:t>
      </w:r>
      <w:r>
        <w:rPr>
          <w:rFonts w:hint="eastAsia" w:ascii="仿宋" w:hAnsi="仿宋" w:eastAsia="仿宋" w:cs="仿宋"/>
          <w:i w:val="0"/>
          <w:iCs w:val="0"/>
          <w:caps w:val="0"/>
          <w:color w:val="000000"/>
          <w:spacing w:val="0"/>
          <w:sz w:val="32"/>
          <w:szCs w:val="32"/>
          <w:shd w:val="clear" w:fill="FFFFFF"/>
        </w:rPr>
        <w:t>。</w:t>
      </w:r>
      <w:r>
        <w:rPr>
          <w:rFonts w:hint="eastAsia" w:ascii="楷体_GB2312" w:hAnsi="楷体_GB2312" w:eastAsia="楷体_GB2312" w:cs="楷体_GB2312"/>
          <w:b/>
          <w:bCs/>
          <w:spacing w:val="0"/>
          <w:kern w:val="0"/>
          <w:sz w:val="32"/>
          <w:szCs w:val="32"/>
          <w:lang w:val="en-US" w:eastAsia="zh-CN"/>
        </w:rPr>
        <w:t>预算执行：</w:t>
      </w:r>
      <w:r>
        <w:rPr>
          <w:rFonts w:hint="eastAsia" w:ascii="仿宋" w:hAnsi="仿宋" w:eastAsia="仿宋" w:cs="仿宋"/>
          <w:kern w:val="2"/>
          <w:sz w:val="32"/>
          <w:szCs w:val="32"/>
          <w:lang w:val="en-US" w:eastAsia="zh-CN" w:bidi="ar"/>
        </w:rPr>
        <w:t>年初预算主要是基本预算，</w:t>
      </w:r>
      <w:r>
        <w:rPr>
          <w:rFonts w:hint="eastAsia" w:ascii="仿宋" w:hAnsi="仿宋" w:eastAsia="仿宋" w:cs="仿宋"/>
          <w:kern w:val="2"/>
          <w:sz w:val="32"/>
          <w:szCs w:val="22"/>
          <w:lang w:val="en-US" w:eastAsia="zh-CN" w:bidi="ar"/>
        </w:rPr>
        <w:t>年度执行中为保证全县各项组织工作、驻村办工作正常有序开展，预算跟随调整情况，</w:t>
      </w:r>
      <w:r>
        <w:rPr>
          <w:rFonts w:hint="eastAsia" w:ascii="仿宋" w:hAnsi="仿宋" w:eastAsia="仿宋" w:cs="仿宋"/>
          <w:kern w:val="2"/>
          <w:sz w:val="32"/>
          <w:szCs w:val="32"/>
          <w:lang w:val="en-US" w:eastAsia="zh-CN" w:bidi="ar"/>
        </w:rPr>
        <w:t>由此导致预算调整比例增大。</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20" w:lineRule="exact"/>
        <w:ind w:left="0" w:right="0" w:firstLine="642"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（二）问题二。资产管理：</w:t>
      </w:r>
      <w:r>
        <w:rPr>
          <w:rFonts w:hint="eastAsia" w:ascii="仿宋_GB2312" w:hAnsi="仿宋_GB2312" w:eastAsia="仿宋_GB2312" w:cs="仿宋_GB2312"/>
          <w:spacing w:val="0"/>
          <w:kern w:val="0"/>
          <w:sz w:val="32"/>
          <w:szCs w:val="32"/>
          <w:lang w:val="en-US" w:eastAsia="zh-CN"/>
        </w:rPr>
        <w:t>干部在资产管理理念及管理制度方面还是有欠缺，资产得不到有效使用和控制。</w:t>
      </w:r>
      <w:r>
        <w:rPr>
          <w:rFonts w:hint="eastAsia" w:ascii="仿宋" w:hAnsi="仿宋" w:eastAsia="仿宋" w:cs="仿宋"/>
          <w:color w:val="0C0C0C"/>
          <w:sz w:val="32"/>
          <w:szCs w:val="32"/>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5" w:leftChars="0" w:right="0" w:rightChars="0"/>
        <w:textAlignment w:val="auto"/>
        <w:rPr>
          <w:rFonts w:hint="eastAsia" w:ascii="仿宋" w:hAnsi="仿宋" w:eastAsia="仿宋" w:cs="仿宋"/>
          <w:color w:val="0C0C0C"/>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（三）问题三。</w:t>
      </w:r>
      <w:r>
        <w:rPr>
          <w:rFonts w:hint="eastAsia" w:ascii="楷体_GB2312" w:hAnsi="楷体_GB2312" w:eastAsia="楷体_GB2312" w:cs="楷体_GB2312"/>
          <w:b/>
          <w:bCs/>
          <w:color w:val="010101"/>
          <w:sz w:val="32"/>
          <w:szCs w:val="32"/>
          <w:lang w:val="en-US" w:eastAsia="zh-CN"/>
        </w:rPr>
        <w:t>内部管理：</w:t>
      </w:r>
      <w:r>
        <w:rPr>
          <w:rFonts w:hint="eastAsia" w:ascii="仿宋_GB2312" w:hAnsi="仿宋_GB2312" w:eastAsia="仿宋_GB2312" w:cs="仿宋_GB2312"/>
          <w:spacing w:val="0"/>
          <w:kern w:val="0"/>
          <w:sz w:val="32"/>
          <w:szCs w:val="32"/>
          <w:lang w:val="en-US" w:eastAsia="zh-CN"/>
        </w:rPr>
        <w:t>虽已建立了内部控制制度，而在实际管理过程中并未得到有效控制，执行不到位</w:t>
      </w:r>
      <w:r>
        <w:rPr>
          <w:rFonts w:hint="eastAsia" w:ascii="仿宋" w:hAnsi="仿宋" w:eastAsia="仿宋" w:cs="仿宋"/>
          <w:color w:val="0C0C0C"/>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640" w:right="0" w:firstLine="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（一）建议一 ：</w:t>
      </w:r>
      <w:r>
        <w:rPr>
          <w:rFonts w:hint="eastAsia" w:ascii="仿宋_GB2312" w:hAnsi="仿宋_GB2312" w:eastAsia="仿宋_GB2312" w:cs="仿宋_GB2312"/>
          <w:spacing w:val="0"/>
          <w:kern w:val="0"/>
          <w:sz w:val="32"/>
          <w:szCs w:val="32"/>
          <w:lang w:val="en-US" w:eastAsia="zh-CN"/>
        </w:rPr>
        <w:t>部门预算到位执行及时，健全预算收支机制，加强内部预算执行分析；加强专项资金监管，专款专用；严格执行政府采购规定。</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（二）建议二：</w:t>
      </w:r>
      <w:r>
        <w:rPr>
          <w:rFonts w:hint="eastAsia" w:ascii="仿宋_GB2312" w:hAnsi="仿宋_GB2312" w:eastAsia="仿宋_GB2312" w:cs="仿宋_GB2312"/>
          <w:spacing w:val="0"/>
          <w:kern w:val="0"/>
          <w:sz w:val="32"/>
          <w:szCs w:val="32"/>
          <w:lang w:val="en-US" w:eastAsia="zh-CN"/>
        </w:rPr>
        <w:t>对资产核算管理，加强相关制度法规学习，提高认识转变观念；严格资产登记、盘点、使用制度，建立约束管理和激励机制，将资产管理与干部绩效挂钩，提高资产有效使用率。</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2" w:firstLineChars="20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（三）建议三：</w:t>
      </w:r>
      <w:r>
        <w:rPr>
          <w:rFonts w:hint="eastAsia" w:ascii="仿宋_GB2312" w:hAnsi="仿宋_GB2312" w:eastAsia="仿宋_GB2312" w:cs="仿宋_GB2312"/>
          <w:spacing w:val="0"/>
          <w:kern w:val="0"/>
          <w:sz w:val="32"/>
          <w:szCs w:val="32"/>
          <w:lang w:val="en-US" w:eastAsia="zh-CN"/>
        </w:rPr>
        <w:t>增强内部控制意识，加强学习培训，提高领导干部对加强单位内部管理控制的重要性认识；梳理制度“短板”结合单位实际，修订完善内控制度，使之更有效的提升内部治理水平，规范内部权力运行。</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2" w:firstLineChars="200"/>
        <w:jc w:val="both"/>
        <w:textAlignment w:val="auto"/>
        <w:outlineLvl w:val="9"/>
        <w:rPr>
          <w:rFonts w:hint="eastAsia" w:ascii="宋体" w:hAnsi="宋体" w:eastAsia="仿宋_GB2312" w:cs="仿宋_GB2312"/>
          <w:spacing w:val="0"/>
          <w:kern w:val="0"/>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（四）建议四：</w:t>
      </w:r>
      <w:r>
        <w:rPr>
          <w:rFonts w:hint="eastAsia" w:ascii="仿宋_GB2312" w:hAnsi="仿宋_GB2312" w:eastAsia="仿宋_GB2312" w:cs="仿宋_GB2312"/>
          <w:spacing w:val="0"/>
          <w:kern w:val="0"/>
          <w:sz w:val="32"/>
          <w:szCs w:val="32"/>
          <w:lang w:val="en-US" w:eastAsia="zh-CN"/>
        </w:rPr>
        <w:t>加强资金监督管理，对项目及专项资金使用建立预算方案，建好支出台账，严格资金使用。</w:t>
      </w:r>
      <w:r>
        <w:rPr>
          <w:rFonts w:hint="eastAsia" w:ascii="宋体" w:hAnsi="宋体" w:eastAsia="仿宋_GB2312" w:cs="仿宋_GB2312"/>
          <w:spacing w:val="0"/>
          <w:kern w:val="0"/>
          <w:sz w:val="32"/>
          <w:szCs w:val="32"/>
          <w:lang w:val="en-US" w:eastAsia="zh-CN"/>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0" w:right="0" w:firstLine="645"/>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pacing w:before="0" w:beforeAutospacing="0" w:after="0" w:afterAutospacing="0" w:line="520" w:lineRule="exact"/>
        <w:ind w:left="0" w:right="0" w:firstLine="1609" w:firstLineChars="503"/>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r>
        <w:rPr>
          <w:rFonts w:hint="eastAsia" w:ascii="黑体" w:hAnsi="黑体" w:eastAsia="黑体" w:cs="黑体"/>
          <w:i w:val="0"/>
          <w:iCs w:val="0"/>
          <w:caps w:val="0"/>
          <w:color w:val="000000"/>
          <w:spacing w:val="0"/>
          <w:sz w:val="32"/>
          <w:szCs w:val="32"/>
          <w:shd w:val="clear" w:fill="FFFFFF"/>
        </w:rPr>
        <w:t>1</w:t>
      </w:r>
    </w:p>
    <w:p>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2024</w:t>
      </w:r>
      <w:r>
        <w:rPr>
          <w:rFonts w:hint="eastAsia" w:ascii="黑体" w:hAnsi="黑体" w:eastAsia="黑体" w:cs="黑体"/>
          <w:spacing w:val="-20"/>
          <w:sz w:val="44"/>
          <w:szCs w:val="44"/>
        </w:rPr>
        <w:t>年度部门整体支出绩效评价基础数据表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7"/>
        <w:tblW w:w="10038" w:type="dxa"/>
        <w:jc w:val="center"/>
        <w:tblLayout w:type="fixed"/>
        <w:tblCellMar>
          <w:top w:w="0" w:type="dxa"/>
          <w:left w:w="108" w:type="dxa"/>
          <w:bottom w:w="0" w:type="dxa"/>
          <w:right w:w="108" w:type="dxa"/>
        </w:tblCellMar>
      </w:tblPr>
      <w:tblGrid>
        <w:gridCol w:w="3541"/>
        <w:gridCol w:w="1206"/>
        <w:gridCol w:w="929"/>
        <w:gridCol w:w="944"/>
        <w:gridCol w:w="1109"/>
        <w:gridCol w:w="1153"/>
        <w:gridCol w:w="1156"/>
      </w:tblGrid>
      <w:tr>
        <w:tblPrEx>
          <w:tblCellMar>
            <w:top w:w="0" w:type="dxa"/>
            <w:left w:w="108" w:type="dxa"/>
            <w:bottom w:w="0" w:type="dxa"/>
            <w:right w:w="108" w:type="dxa"/>
          </w:tblCellMar>
        </w:tblPrEx>
        <w:trPr>
          <w:trHeight w:val="265" w:hRule="atLeast"/>
          <w:jc w:val="center"/>
        </w:trPr>
        <w:tc>
          <w:tcPr>
            <w:tcW w:w="35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5"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3"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年实际在职人数</w:t>
            </w:r>
          </w:p>
        </w:tc>
        <w:tc>
          <w:tcPr>
            <w:tcW w:w="230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tblPrEx>
          <w:tblCellMar>
            <w:top w:w="0" w:type="dxa"/>
            <w:left w:w="108" w:type="dxa"/>
            <w:bottom w:w="0" w:type="dxa"/>
            <w:right w:w="108" w:type="dxa"/>
          </w:tblCellMar>
        </w:tblPrEx>
        <w:trPr>
          <w:trHeight w:val="136" w:hRule="atLeast"/>
          <w:jc w:val="center"/>
        </w:trPr>
        <w:tc>
          <w:tcPr>
            <w:tcW w:w="35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kern w:val="0"/>
                <w:sz w:val="32"/>
                <w:szCs w:val="21"/>
              </w:rPr>
            </w:pPr>
          </w:p>
        </w:tc>
        <w:tc>
          <w:tcPr>
            <w:tcW w:w="2135"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50</w:t>
            </w:r>
          </w:p>
        </w:tc>
        <w:tc>
          <w:tcPr>
            <w:tcW w:w="2053"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42</w:t>
            </w:r>
          </w:p>
        </w:tc>
        <w:tc>
          <w:tcPr>
            <w:tcW w:w="230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84</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3</w:t>
            </w:r>
            <w:r>
              <w:rPr>
                <w:rFonts w:hint="eastAsia" w:ascii="仿宋" w:hAnsi="仿宋" w:eastAsia="仿宋" w:cs="仿宋"/>
                <w:b/>
                <w:bCs/>
                <w:kern w:val="0"/>
                <w:sz w:val="21"/>
                <w:szCs w:val="21"/>
              </w:rPr>
              <w:t>年决算数</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年预算数</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年决算数</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1.3</w:t>
            </w:r>
            <w:r>
              <w:rPr>
                <w:rFonts w:hint="eastAsia" w:ascii="仿宋" w:hAnsi="仿宋" w:eastAsia="仿宋" w:cs="仿宋"/>
                <w:kern w:val="0"/>
                <w:sz w:val="21"/>
                <w:szCs w:val="21"/>
              </w:rPr>
              <w:t>　</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1.2</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1.3</w:t>
            </w:r>
            <w:r>
              <w:rPr>
                <w:rFonts w:hint="eastAsia" w:ascii="仿宋" w:hAnsi="仿宋" w:eastAsia="仿宋" w:cs="仿宋"/>
                <w:kern w:val="0"/>
                <w:sz w:val="21"/>
                <w:szCs w:val="21"/>
              </w:rPr>
              <w:t>　</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1.2</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178.92</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1011.9</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3763.29</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118.5</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1011.9</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3763.29</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60.42　</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其中：××专项资金</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××专项资金</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highlight w:val="none"/>
                <w:lang w:val="en-US" w:eastAsia="zh-CN"/>
              </w:rPr>
              <w:t>909.7</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84.94</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highlight w:val="none"/>
                <w:lang w:val="en-US" w:eastAsia="zh-CN"/>
              </w:rPr>
            </w:pPr>
            <w:r>
              <w:rPr>
                <w:rFonts w:hint="eastAsia"/>
                <w:highlight w:val="none"/>
                <w:lang w:val="en-US" w:eastAsia="zh-CN"/>
              </w:rPr>
              <w:t>1231.03</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19.52</w:t>
            </w:r>
            <w:r>
              <w:rPr>
                <w:rFonts w:hint="eastAsia" w:ascii="仿宋" w:hAnsi="仿宋" w:eastAsia="仿宋" w:cs="仿宋"/>
                <w:kern w:val="0"/>
                <w:sz w:val="21"/>
                <w:szCs w:val="21"/>
              </w:rPr>
              <w:t>　</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63.94</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38.92</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90.27</w:t>
            </w:r>
            <w:r>
              <w:rPr>
                <w:rFonts w:hint="eastAsia" w:ascii="仿宋" w:hAnsi="仿宋" w:eastAsia="仿宋" w:cs="仿宋"/>
                <w:kern w:val="0"/>
                <w:sz w:val="21"/>
                <w:szCs w:val="21"/>
              </w:rPr>
              <w:t>　</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11</w:t>
            </w:r>
            <w:r>
              <w:rPr>
                <w:rFonts w:hint="eastAsia" w:ascii="仿宋" w:hAnsi="仿宋" w:eastAsia="仿宋" w:cs="仿宋"/>
                <w:kern w:val="0"/>
                <w:sz w:val="21"/>
                <w:szCs w:val="21"/>
              </w:rPr>
              <w:t>　</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94.48</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168.78</w:t>
            </w:r>
            <w:r>
              <w:rPr>
                <w:rFonts w:hint="eastAsia" w:ascii="仿宋" w:hAnsi="仿宋" w:eastAsia="仿宋" w:cs="仿宋"/>
                <w:kern w:val="0"/>
                <w:sz w:val="21"/>
                <w:szCs w:val="21"/>
              </w:rPr>
              <w:t>　</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　</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171.58</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115</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91</w:t>
            </w: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38.92</w:t>
            </w:r>
          </w:p>
        </w:tc>
      </w:tr>
      <w:tr>
        <w:tblPrEx>
          <w:tblCellMar>
            <w:top w:w="0" w:type="dxa"/>
            <w:left w:w="108" w:type="dxa"/>
            <w:bottom w:w="0" w:type="dxa"/>
            <w:right w:w="108" w:type="dxa"/>
          </w:tblCellMar>
        </w:tblPrEx>
        <w:trPr>
          <w:trHeight w:val="136"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5"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053"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230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265" w:hRule="atLeast"/>
          <w:jc w:val="center"/>
        </w:trPr>
        <w:tc>
          <w:tcPr>
            <w:tcW w:w="3541"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楼堂馆所控制情况</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年完工项目）</w:t>
            </w:r>
          </w:p>
        </w:tc>
        <w:tc>
          <w:tcPr>
            <w:tcW w:w="120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批复规模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t>
            </w:r>
          </w:p>
        </w:tc>
        <w:tc>
          <w:tcPr>
            <w:tcW w:w="92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4"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0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3"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tblPrEx>
          <w:tblCellMar>
            <w:top w:w="0" w:type="dxa"/>
            <w:left w:w="108" w:type="dxa"/>
            <w:bottom w:w="0" w:type="dxa"/>
            <w:right w:w="108" w:type="dxa"/>
          </w:tblCellMar>
        </w:tblPrEx>
        <w:trPr>
          <w:trHeight w:val="136" w:hRule="atLeast"/>
          <w:jc w:val="center"/>
        </w:trPr>
        <w:tc>
          <w:tcPr>
            <w:tcW w:w="3541"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p>
        </w:tc>
        <w:tc>
          <w:tcPr>
            <w:tcW w:w="120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2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4"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0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3"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6"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799" w:hRule="atLeast"/>
          <w:jc w:val="center"/>
        </w:trPr>
        <w:tc>
          <w:tcPr>
            <w:tcW w:w="3541"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497" w:type="dxa"/>
            <w:gridSpan w:val="6"/>
            <w:tcBorders>
              <w:top w:val="single" w:color="auto" w:sz="4" w:space="0"/>
              <w:left w:val="nil"/>
              <w:bottom w:val="single" w:color="auto" w:sz="4" w:space="0"/>
              <w:right w:val="single" w:color="000000" w:sz="4" w:space="0"/>
            </w:tcBorders>
            <w:noWrap w:val="0"/>
            <w:vAlign w:val="center"/>
          </w:tcPr>
          <w:p>
            <w:pPr>
              <w:spacing w:line="240" w:lineRule="exact"/>
              <w:ind w:firstLine="315" w:firstLineChars="150"/>
              <w:rPr>
                <w:rFonts w:hint="eastAsia" w:ascii="仿宋" w:hAnsi="仿宋" w:eastAsia="仿宋" w:cs="仿宋"/>
                <w:kern w:val="0"/>
                <w:sz w:val="21"/>
                <w:szCs w:val="21"/>
              </w:rPr>
            </w:pPr>
          </w:p>
          <w:p>
            <w:pPr>
              <w:tabs>
                <w:tab w:val="left" w:pos="1942"/>
              </w:tabs>
              <w:bidi w:val="0"/>
              <w:jc w:val="left"/>
              <w:rPr>
                <w:rFonts w:hint="eastAsia"/>
                <w:lang w:val="en-US" w:eastAsia="zh-CN"/>
              </w:rPr>
            </w:pPr>
            <w:r>
              <w:rPr>
                <w:rFonts w:hint="eastAsia" w:ascii="仿宋" w:hAnsi="仿宋" w:eastAsia="仿宋" w:cs="仿宋"/>
                <w:sz w:val="21"/>
                <w:szCs w:val="21"/>
                <w:lang w:val="en-US" w:eastAsia="zh-CN" w:bidi="ar"/>
              </w:rPr>
              <w:t>1.建立健全财务内控管理制度，梳理内部管理流程，强化财务规范化管理；2.严格控制一般性支出，尤其是对“三公”经费的预算控制。严格招待费用审批。</w:t>
            </w:r>
          </w:p>
        </w:tc>
      </w:tr>
      <w:tr>
        <w:tblPrEx>
          <w:tblCellMar>
            <w:top w:w="0" w:type="dxa"/>
            <w:left w:w="108" w:type="dxa"/>
            <w:bottom w:w="0" w:type="dxa"/>
            <w:right w:w="108" w:type="dxa"/>
          </w:tblCellMar>
        </w:tblPrEx>
        <w:trPr>
          <w:trHeight w:val="304" w:hRule="atLeast"/>
          <w:jc w:val="center"/>
        </w:trPr>
        <w:tc>
          <w:tcPr>
            <w:tcW w:w="10038"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pPr>
              <w:spacing w:line="240" w:lineRule="exact"/>
              <w:ind w:firstLine="315" w:firstLineChars="150"/>
              <w:rPr>
                <w:rFonts w:hint="eastAsia" w:ascii="仿宋" w:hAnsi="仿宋" w:eastAsia="仿宋" w:cs="仿宋"/>
                <w:kern w:val="0"/>
                <w:sz w:val="21"/>
                <w:szCs w:val="21"/>
              </w:rPr>
            </w:pPr>
          </w:p>
        </w:tc>
      </w:tr>
    </w:tbl>
    <w:p>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pPr>
        <w:spacing w:line="740" w:lineRule="exact"/>
        <w:jc w:val="center"/>
        <w:rPr>
          <w:rFonts w:hint="eastAsia" w:ascii="黑体" w:hAnsi="黑体" w:eastAsia="黑体" w:cs="黑体"/>
          <w:sz w:val="44"/>
        </w:rPr>
      </w:pPr>
      <w:r>
        <w:rPr>
          <w:rFonts w:hint="eastAsia" w:ascii="黑体" w:hAnsi="黑体" w:eastAsia="黑体" w:cs="黑体"/>
          <w:sz w:val="44"/>
          <w:lang w:eastAsia="zh-CN"/>
        </w:rPr>
        <w:t>2024</w:t>
      </w:r>
      <w:r>
        <w:rPr>
          <w:rFonts w:hint="eastAsia" w:ascii="黑体" w:hAnsi="黑体" w:eastAsia="黑体" w:cs="黑体"/>
          <w:sz w:val="44"/>
        </w:rPr>
        <w:t>年度部门整体支出绩效自评表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7"/>
        <w:tblW w:w="10559" w:type="dxa"/>
        <w:jc w:val="center"/>
        <w:tblLayout w:type="fixed"/>
        <w:tblCellMar>
          <w:top w:w="0" w:type="dxa"/>
          <w:left w:w="108" w:type="dxa"/>
          <w:bottom w:w="0" w:type="dxa"/>
          <w:right w:w="108" w:type="dxa"/>
        </w:tblCellMar>
      </w:tblPr>
      <w:tblGrid>
        <w:gridCol w:w="725"/>
        <w:gridCol w:w="862"/>
        <w:gridCol w:w="781"/>
        <w:gridCol w:w="1368"/>
        <w:gridCol w:w="256"/>
        <w:gridCol w:w="1507"/>
        <w:gridCol w:w="1657"/>
        <w:gridCol w:w="835"/>
        <w:gridCol w:w="1474"/>
        <w:gridCol w:w="1094"/>
      </w:tblGrid>
      <w:tr>
        <w:tblPrEx>
          <w:tblCellMar>
            <w:top w:w="0" w:type="dxa"/>
            <w:left w:w="108" w:type="dxa"/>
            <w:bottom w:w="0" w:type="dxa"/>
            <w:right w:w="108" w:type="dxa"/>
          </w:tblCellMar>
        </w:tblPrEx>
        <w:trPr>
          <w:trHeight w:val="491"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834" w:type="dxa"/>
            <w:gridSpan w:val="9"/>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中共绥宁县委组织部</w:t>
            </w:r>
            <w:r>
              <w:rPr>
                <w:rFonts w:hint="eastAsia" w:ascii="仿宋" w:hAnsi="仿宋" w:eastAsia="仿宋" w:cs="仿宋"/>
                <w:color w:val="000000"/>
                <w:kern w:val="0"/>
                <w:sz w:val="21"/>
                <w:szCs w:val="21"/>
              </w:rPr>
              <w:t>　</w:t>
            </w:r>
          </w:p>
        </w:tc>
      </w:tr>
      <w:tr>
        <w:tblPrEx>
          <w:tblCellMar>
            <w:top w:w="0" w:type="dxa"/>
            <w:left w:w="108" w:type="dxa"/>
            <w:bottom w:w="0" w:type="dxa"/>
            <w:right w:w="108" w:type="dxa"/>
          </w:tblCellMar>
        </w:tblPrEx>
        <w:trPr>
          <w:trHeight w:val="251" w:hRule="atLeast"/>
          <w:jc w:val="center"/>
        </w:trPr>
        <w:tc>
          <w:tcPr>
            <w:tcW w:w="725"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43"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36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63"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5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3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74"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94"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tblPrEx>
          <w:tblCellMar>
            <w:top w:w="0" w:type="dxa"/>
            <w:left w:w="108" w:type="dxa"/>
            <w:bottom w:w="0" w:type="dxa"/>
            <w:right w:w="108" w:type="dxa"/>
          </w:tblCellMar>
        </w:tblPrEx>
        <w:trPr>
          <w:trHeight w:val="251" w:hRule="atLeast"/>
          <w:jc w:val="center"/>
        </w:trPr>
        <w:tc>
          <w:tcPr>
            <w:tcW w:w="725" w:type="dxa"/>
            <w:vMerge w:val="continue"/>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1643"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6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1541.21</w:t>
            </w:r>
          </w:p>
        </w:tc>
        <w:tc>
          <w:tcPr>
            <w:tcW w:w="1763"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5577.04</w:t>
            </w:r>
          </w:p>
        </w:tc>
        <w:tc>
          <w:tcPr>
            <w:tcW w:w="165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5576.04</w:t>
            </w:r>
          </w:p>
        </w:tc>
        <w:tc>
          <w:tcPr>
            <w:tcW w:w="83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74"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default" w:ascii="仿宋" w:hAnsi="仿宋" w:eastAsia="仿宋" w:cs="仿宋"/>
                <w:color w:val="000000"/>
                <w:kern w:val="0"/>
                <w:sz w:val="21"/>
                <w:szCs w:val="21"/>
                <w:lang w:val="en-US"/>
              </w:rPr>
              <w:t>100%</w:t>
            </w:r>
          </w:p>
        </w:tc>
        <w:tc>
          <w:tcPr>
            <w:tcW w:w="1094"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default" w:ascii="仿宋" w:hAnsi="仿宋" w:eastAsia="仿宋" w:cs="仿宋"/>
                <w:color w:val="000000"/>
                <w:kern w:val="0"/>
                <w:sz w:val="21"/>
                <w:szCs w:val="21"/>
                <w:lang w:val="en-US"/>
              </w:rPr>
              <w:t>10</w:t>
            </w:r>
          </w:p>
        </w:tc>
      </w:tr>
      <w:tr>
        <w:tblPrEx>
          <w:tblCellMar>
            <w:top w:w="0" w:type="dxa"/>
            <w:left w:w="108" w:type="dxa"/>
            <w:bottom w:w="0" w:type="dxa"/>
            <w:right w:w="108" w:type="dxa"/>
          </w:tblCellMar>
        </w:tblPrEx>
        <w:trPr>
          <w:trHeight w:val="251" w:hRule="atLeast"/>
          <w:jc w:val="center"/>
        </w:trPr>
        <w:tc>
          <w:tcPr>
            <w:tcW w:w="72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4774" w:type="dxa"/>
            <w:gridSpan w:val="5"/>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5060" w:type="dxa"/>
            <w:gridSpan w:val="4"/>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tblPrEx>
          <w:tblCellMar>
            <w:top w:w="0" w:type="dxa"/>
            <w:left w:w="108" w:type="dxa"/>
            <w:bottom w:w="0" w:type="dxa"/>
            <w:right w:w="108" w:type="dxa"/>
          </w:tblCellMar>
        </w:tblPrEx>
        <w:trPr>
          <w:trHeight w:val="251" w:hRule="atLeast"/>
          <w:jc w:val="center"/>
        </w:trPr>
        <w:tc>
          <w:tcPr>
            <w:tcW w:w="72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4774" w:type="dxa"/>
            <w:gridSpan w:val="5"/>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5575.27</w:t>
            </w:r>
          </w:p>
        </w:tc>
        <w:tc>
          <w:tcPr>
            <w:tcW w:w="5060" w:type="dxa"/>
            <w:gridSpan w:val="4"/>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1812.75</w:t>
            </w:r>
          </w:p>
        </w:tc>
      </w:tr>
      <w:tr>
        <w:tblPrEx>
          <w:tblCellMar>
            <w:top w:w="0" w:type="dxa"/>
            <w:left w:w="108" w:type="dxa"/>
            <w:bottom w:w="0" w:type="dxa"/>
            <w:right w:w="108" w:type="dxa"/>
          </w:tblCellMar>
        </w:tblPrEx>
        <w:trPr>
          <w:trHeight w:val="251" w:hRule="atLeast"/>
          <w:jc w:val="center"/>
        </w:trPr>
        <w:tc>
          <w:tcPr>
            <w:tcW w:w="72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4774" w:type="dxa"/>
            <w:gridSpan w:val="5"/>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政府性基金拨款：</w:t>
            </w:r>
          </w:p>
        </w:tc>
        <w:tc>
          <w:tcPr>
            <w:tcW w:w="5060" w:type="dxa"/>
            <w:gridSpan w:val="4"/>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3763.29</w:t>
            </w:r>
          </w:p>
        </w:tc>
      </w:tr>
      <w:tr>
        <w:tblPrEx>
          <w:tblCellMar>
            <w:top w:w="0" w:type="dxa"/>
            <w:left w:w="108" w:type="dxa"/>
            <w:bottom w:w="0" w:type="dxa"/>
            <w:right w:w="108" w:type="dxa"/>
          </w:tblCellMar>
        </w:tblPrEx>
        <w:trPr>
          <w:trHeight w:val="251" w:hRule="atLeast"/>
          <w:jc w:val="center"/>
        </w:trPr>
        <w:tc>
          <w:tcPr>
            <w:tcW w:w="72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4774" w:type="dxa"/>
            <w:gridSpan w:val="5"/>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5060" w:type="dxa"/>
            <w:gridSpan w:val="4"/>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251" w:hRule="atLeast"/>
          <w:jc w:val="center"/>
        </w:trPr>
        <w:tc>
          <w:tcPr>
            <w:tcW w:w="725" w:type="dxa"/>
            <w:vMerge w:val="continue"/>
            <w:tcBorders>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4774" w:type="dxa"/>
            <w:gridSpan w:val="5"/>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0.77</w:t>
            </w:r>
          </w:p>
        </w:tc>
        <w:tc>
          <w:tcPr>
            <w:tcW w:w="5060" w:type="dxa"/>
            <w:gridSpan w:val="4"/>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251" w:hRule="atLeast"/>
          <w:jc w:val="center"/>
        </w:trPr>
        <w:tc>
          <w:tcPr>
            <w:tcW w:w="725"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74"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5060"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tblPrEx>
          <w:tblCellMar>
            <w:top w:w="0" w:type="dxa"/>
            <w:left w:w="108" w:type="dxa"/>
            <w:bottom w:w="0" w:type="dxa"/>
            <w:right w:w="108" w:type="dxa"/>
          </w:tblCellMar>
        </w:tblPrEx>
        <w:trPr>
          <w:trHeight w:val="4469" w:hRule="atLeast"/>
          <w:jc w:val="center"/>
        </w:trPr>
        <w:tc>
          <w:tcPr>
            <w:tcW w:w="72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4774"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Cs w:val="21"/>
              </w:rPr>
              <w:t>做好</w:t>
            </w:r>
            <w:r>
              <w:rPr>
                <w:rFonts w:hint="eastAsia" w:ascii="仿宋" w:hAnsi="仿宋" w:eastAsia="仿宋" w:cs="仿宋"/>
                <w:color w:val="000000"/>
                <w:kern w:val="0"/>
                <w:szCs w:val="21"/>
                <w:lang w:eastAsia="zh-CN"/>
              </w:rPr>
              <w:t>干部工作、人才培育工作、党建工作、</w:t>
            </w:r>
            <w:r>
              <w:rPr>
                <w:rFonts w:hint="eastAsia" w:ascii="仿宋" w:hAnsi="仿宋" w:eastAsia="仿宋" w:cs="仿宋"/>
                <w:color w:val="000000"/>
                <w:kern w:val="0"/>
                <w:szCs w:val="21"/>
                <w:lang w:val="en-US" w:eastAsia="zh-CN"/>
              </w:rPr>
              <w:t>干部教育</w:t>
            </w:r>
            <w:r>
              <w:rPr>
                <w:rFonts w:hint="eastAsia" w:ascii="仿宋" w:hAnsi="仿宋" w:eastAsia="仿宋" w:cs="仿宋"/>
                <w:color w:val="000000"/>
                <w:kern w:val="0"/>
                <w:szCs w:val="21"/>
              </w:rPr>
              <w:t>培训</w:t>
            </w:r>
            <w:r>
              <w:rPr>
                <w:rFonts w:hint="eastAsia" w:ascii="仿宋" w:hAnsi="仿宋" w:eastAsia="仿宋" w:cs="仿宋"/>
                <w:color w:val="000000"/>
                <w:kern w:val="0"/>
                <w:szCs w:val="21"/>
                <w:lang w:eastAsia="zh-CN"/>
              </w:rPr>
              <w:t>、公务员管理、干部档案信息管理、老干部等组织</w:t>
            </w:r>
            <w:r>
              <w:rPr>
                <w:rFonts w:hint="eastAsia" w:ascii="仿宋" w:hAnsi="仿宋" w:eastAsia="仿宋" w:cs="仿宋"/>
                <w:color w:val="000000"/>
                <w:kern w:val="0"/>
                <w:szCs w:val="21"/>
              </w:rPr>
              <w:t>工作</w:t>
            </w:r>
            <w:r>
              <w:rPr>
                <w:rFonts w:hint="eastAsia" w:ascii="仿宋" w:hAnsi="仿宋" w:eastAsia="仿宋" w:cs="仿宋"/>
                <w:color w:val="000000"/>
                <w:kern w:val="0"/>
                <w:szCs w:val="21"/>
                <w:lang w:val="en-US" w:eastAsia="zh-CN"/>
              </w:rPr>
              <w:t>，确保单位各项工作正常运转。</w:t>
            </w:r>
          </w:p>
        </w:tc>
        <w:tc>
          <w:tcPr>
            <w:tcW w:w="5060"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一）完成了大组工网安全防护设施维护；绿洲红星微信公众号的编辑管理发送，绿洲红星微信平台、远程教育站点标准化建设及维护，省市委组织部政治建设调研工作及调研信息网宣工作。完成了人才引进工作、公务员信息系统维护，领导干部年度考核，党内年报、干部年报统计工作；干部档案清理，干训工作，新录用公务员考录、培训、年度考核，公务员工资系统维护等工作，乡镇党建工作、非公有制经济组织和社会组织党建指导、督查工作，全县机关和乡党建工作常态化建设，党内关怀基金的审批及发放，党代表活动工作</w:t>
            </w:r>
            <w:r>
              <w:rPr>
                <w:rFonts w:hint="eastAsia" w:ascii="仿宋" w:hAnsi="仿宋" w:eastAsia="仿宋" w:cs="仿宋"/>
                <w:color w:val="000000"/>
                <w:kern w:val="0"/>
                <w:sz w:val="21"/>
                <w:szCs w:val="21"/>
              </w:rPr>
              <w:t>。（二）保障了老年教育含老年大学工作，关工委工作，离退休党工委工经费，离退休党员活动，老干部重阳节、春节慰问，召开老干部节日座谈会，对老干部进行走访慰问，按时支付离休干部医药费、行政单位离退休支出、离休干部配偶遗孀生活费及医保费；关心下一代工作专项经费及时拨付到位。</w:t>
            </w:r>
          </w:p>
        </w:tc>
      </w:tr>
      <w:tr>
        <w:tblPrEx>
          <w:tblCellMar>
            <w:top w:w="0" w:type="dxa"/>
            <w:left w:w="108" w:type="dxa"/>
            <w:bottom w:w="0" w:type="dxa"/>
            <w:right w:w="108" w:type="dxa"/>
          </w:tblCellMar>
        </w:tblPrEx>
        <w:trPr>
          <w:trHeight w:val="732"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pPr>
              <w:keepNext w:val="0"/>
              <w:keepLines w:val="0"/>
              <w:widowControl/>
              <w:suppressLineNumbers w:val="0"/>
              <w:spacing w:before="0" w:beforeAutospacing="0" w:after="0" w:afterAutospacing="0" w:line="220" w:lineRule="exact"/>
              <w:ind w:left="0" w:right="0"/>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6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50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tblPrEx>
          <w:tblCellMar>
            <w:top w:w="0" w:type="dxa"/>
            <w:left w:w="108" w:type="dxa"/>
            <w:bottom w:w="0" w:type="dxa"/>
            <w:right w:w="108" w:type="dxa"/>
          </w:tblCellMar>
        </w:tblPrEx>
        <w:trPr>
          <w:trHeight w:val="535"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81"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auto"/>
                <w:sz w:val="20"/>
                <w:szCs w:val="20"/>
              </w:rPr>
            </w:pPr>
            <w:r>
              <w:rPr>
                <w:rFonts w:hint="eastAsia" w:ascii="仿宋" w:hAnsi="仿宋" w:eastAsia="仿宋" w:cs="仿宋"/>
                <w:color w:val="auto"/>
                <w:sz w:val="20"/>
                <w:szCs w:val="20"/>
              </w:rPr>
              <w:t>干部教育</w:t>
            </w:r>
            <w:r>
              <w:rPr>
                <w:rFonts w:hint="eastAsia" w:ascii="仿宋" w:hAnsi="仿宋" w:eastAsia="仿宋" w:cs="仿宋"/>
                <w:color w:val="auto"/>
                <w:sz w:val="20"/>
                <w:szCs w:val="20"/>
                <w:lang w:eastAsia="zh-CN"/>
              </w:rPr>
              <w:t>培训、党员教育</w:t>
            </w:r>
            <w:r>
              <w:rPr>
                <w:rFonts w:hint="eastAsia" w:ascii="仿宋" w:hAnsi="仿宋" w:eastAsia="仿宋" w:cs="仿宋"/>
                <w:color w:val="auto"/>
                <w:sz w:val="20"/>
                <w:szCs w:val="20"/>
              </w:rPr>
              <w:t>培训</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color w:val="auto"/>
                <w:sz w:val="20"/>
                <w:szCs w:val="20"/>
              </w:rPr>
            </w:pPr>
            <w:r>
              <w:rPr>
                <w:rFonts w:hint="eastAsia" w:ascii="仿宋" w:hAnsi="仿宋" w:eastAsia="仿宋" w:cs="仿宋"/>
                <w:color w:val="auto"/>
                <w:kern w:val="0"/>
                <w:szCs w:val="21"/>
              </w:rPr>
              <w:t>≥</w:t>
            </w:r>
            <w:r>
              <w:rPr>
                <w:rFonts w:hint="eastAsia" w:ascii="仿宋" w:hAnsi="仿宋" w:eastAsia="仿宋" w:cs="仿宋"/>
                <w:color w:val="auto"/>
                <w:kern w:val="0"/>
                <w:szCs w:val="21"/>
                <w:lang w:val="en-US" w:eastAsia="zh-CN"/>
              </w:rPr>
              <w:t>20期</w:t>
            </w:r>
          </w:p>
        </w:tc>
        <w:tc>
          <w:tcPr>
            <w:tcW w:w="16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19</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p>
        </w:tc>
      </w:tr>
      <w:tr>
        <w:tblPrEx>
          <w:tblCellMar>
            <w:top w:w="0" w:type="dxa"/>
            <w:left w:w="108" w:type="dxa"/>
            <w:bottom w:w="0" w:type="dxa"/>
            <w:right w:w="108" w:type="dxa"/>
          </w:tblCellMar>
        </w:tblPrEx>
        <w:trPr>
          <w:trHeight w:val="273"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781"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color w:val="auto"/>
                <w:sz w:val="20"/>
                <w:szCs w:val="20"/>
              </w:rPr>
            </w:pPr>
            <w:r>
              <w:rPr>
                <w:rFonts w:hint="eastAsia" w:ascii="仿宋" w:hAnsi="仿宋" w:eastAsia="仿宋" w:cs="仿宋"/>
                <w:color w:val="auto"/>
                <w:sz w:val="20"/>
                <w:szCs w:val="20"/>
                <w:lang w:eastAsia="zh-CN"/>
              </w:rPr>
              <w:t>培训人次</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eastAsia" w:ascii="仿宋" w:hAnsi="仿宋" w:eastAsia="仿宋" w:cs="仿宋"/>
                <w:color w:val="auto"/>
                <w:kern w:val="0"/>
                <w:szCs w:val="21"/>
              </w:rPr>
            </w:pPr>
            <w:r>
              <w:rPr>
                <w:rFonts w:hint="eastAsia" w:ascii="仿宋" w:hAnsi="仿宋" w:eastAsia="仿宋" w:cs="仿宋"/>
                <w:color w:val="auto"/>
                <w:kern w:val="0"/>
                <w:szCs w:val="21"/>
              </w:rPr>
              <w:t>≥</w:t>
            </w:r>
            <w:r>
              <w:rPr>
                <w:rFonts w:hint="eastAsia" w:ascii="仿宋" w:hAnsi="仿宋" w:eastAsia="仿宋" w:cs="仿宋"/>
                <w:color w:val="auto"/>
                <w:kern w:val="0"/>
                <w:szCs w:val="21"/>
                <w:lang w:val="en-US" w:eastAsia="zh-CN"/>
              </w:rPr>
              <w:t>2000</w:t>
            </w:r>
            <w:r>
              <w:rPr>
                <w:rFonts w:hint="eastAsia" w:ascii="仿宋" w:hAnsi="仿宋" w:eastAsia="仿宋" w:cs="仿宋"/>
                <w:color w:val="auto"/>
                <w:kern w:val="0"/>
                <w:szCs w:val="21"/>
              </w:rPr>
              <w:t>人</w:t>
            </w:r>
          </w:p>
        </w:tc>
        <w:tc>
          <w:tcPr>
            <w:tcW w:w="16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leftChars="0" w:right="0" w:rightChars="0"/>
              <w:jc w:val="left"/>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2926</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273"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781"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干部选配人批次</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eastAsia" w:ascii="仿宋" w:hAnsi="仿宋" w:eastAsia="仿宋" w:cs="仿宋"/>
                <w:color w:val="auto"/>
                <w:kern w:val="0"/>
                <w:szCs w:val="21"/>
              </w:rPr>
            </w:pPr>
            <w:r>
              <w:rPr>
                <w:rFonts w:hint="eastAsia" w:ascii="仿宋" w:hAnsi="仿宋" w:eastAsia="仿宋" w:cs="仿宋"/>
                <w:color w:val="auto"/>
                <w:kern w:val="0"/>
                <w:szCs w:val="21"/>
              </w:rPr>
              <w:t>≥</w:t>
            </w:r>
            <w:r>
              <w:rPr>
                <w:rFonts w:hint="eastAsia" w:ascii="仿宋" w:hAnsi="仿宋" w:eastAsia="仿宋" w:cs="仿宋"/>
                <w:color w:val="auto"/>
                <w:kern w:val="0"/>
                <w:szCs w:val="21"/>
                <w:lang w:val="en-US" w:eastAsia="zh-CN"/>
              </w:rPr>
              <w:t>80人次</w:t>
            </w:r>
          </w:p>
        </w:tc>
        <w:tc>
          <w:tcPr>
            <w:tcW w:w="16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leftChars="0" w:right="0" w:rightChars="0"/>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90人次</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273"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781"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人才引进人数</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eastAsia" w:ascii="仿宋" w:hAnsi="仿宋" w:eastAsia="仿宋" w:cs="仿宋"/>
                <w:color w:val="000000"/>
                <w:kern w:val="0"/>
                <w:szCs w:val="21"/>
              </w:rPr>
            </w:pP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200人</w:t>
            </w:r>
          </w:p>
        </w:tc>
        <w:tc>
          <w:tcPr>
            <w:tcW w:w="16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leftChars="0" w:right="0" w:rightChars="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338人</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972"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781"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打造乡镇干部“安心工程”</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default" w:ascii="仿宋" w:hAnsi="仿宋" w:eastAsia="仿宋" w:cs="仿宋"/>
                <w:color w:val="000000"/>
                <w:kern w:val="0"/>
                <w:szCs w:val="21"/>
                <w:lang w:val="en-US"/>
              </w:rPr>
            </w:pP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17个乡镇</w:t>
            </w:r>
          </w:p>
        </w:tc>
        <w:tc>
          <w:tcPr>
            <w:tcW w:w="16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leftChars="0" w:right="0" w:rightChars="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配备完善17个乡镇“五小设施”和1093套干部周转房</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535"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781" w:type="dxa"/>
            <w:vMerge w:val="continue"/>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 w:hAnsi="仿宋" w:eastAsia="仿宋" w:cs="仿宋"/>
                <w:sz w:val="20"/>
                <w:szCs w:val="20"/>
                <w:lang w:eastAsia="zh-CN"/>
              </w:rPr>
            </w:pPr>
            <w:r>
              <w:rPr>
                <w:rFonts w:hint="eastAsia" w:ascii="仿宋" w:hAnsi="仿宋" w:eastAsia="仿宋" w:cs="仿宋"/>
                <w:color w:val="000000"/>
                <w:kern w:val="0"/>
                <w:sz w:val="21"/>
                <w:szCs w:val="21"/>
                <w:lang w:val="en-US" w:eastAsia="zh-CN"/>
              </w:rPr>
              <w:t>走访慰问老干部人次</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eastAsia" w:ascii="仿宋" w:hAnsi="仿宋" w:eastAsia="仿宋" w:cs="仿宋"/>
                <w:color w:val="000000"/>
                <w:kern w:val="0"/>
                <w:szCs w:val="21"/>
              </w:rPr>
            </w:pP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90人次</w:t>
            </w:r>
          </w:p>
        </w:tc>
        <w:tc>
          <w:tcPr>
            <w:tcW w:w="16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leftChars="0" w:right="0" w:rightChars="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走访慰问老干部93人次</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273"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78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干部档案清理</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sz w:val="20"/>
                <w:szCs w:val="20"/>
                <w:lang w:val="en-US" w:eastAsia="zh-CN"/>
              </w:rPr>
            </w:pP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4000份</w:t>
            </w:r>
          </w:p>
        </w:tc>
        <w:tc>
          <w:tcPr>
            <w:tcW w:w="16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4300余次</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p>
        </w:tc>
      </w:tr>
      <w:tr>
        <w:tblPrEx>
          <w:tblCellMar>
            <w:top w:w="0" w:type="dxa"/>
            <w:left w:w="108" w:type="dxa"/>
            <w:bottom w:w="0" w:type="dxa"/>
            <w:right w:w="108" w:type="dxa"/>
          </w:tblCellMar>
        </w:tblPrEx>
        <w:trPr>
          <w:trHeight w:val="535"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781"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党员干部参与率</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color w:val="000000"/>
                <w:kern w:val="0"/>
                <w:sz w:val="21"/>
                <w:szCs w:val="21"/>
              </w:rPr>
            </w:pP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100%</w:t>
            </w:r>
          </w:p>
        </w:tc>
        <w:tc>
          <w:tcPr>
            <w:tcW w:w="16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100%</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273" w:hRule="atLeast"/>
          <w:jc w:val="center"/>
        </w:trPr>
        <w:tc>
          <w:tcPr>
            <w:tcW w:w="7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78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引进紧缺人才增长率</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持续增长</w:t>
            </w:r>
          </w:p>
        </w:tc>
        <w:tc>
          <w:tcPr>
            <w:tcW w:w="16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持续增长</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p>
        </w:tc>
      </w:tr>
      <w:tr>
        <w:tblPrEx>
          <w:tblCellMar>
            <w:top w:w="0" w:type="dxa"/>
            <w:left w:w="108" w:type="dxa"/>
            <w:bottom w:w="0" w:type="dxa"/>
            <w:right w:w="108" w:type="dxa"/>
          </w:tblCellMar>
        </w:tblPrEx>
        <w:trPr>
          <w:trHeight w:val="535" w:hRule="atLeast"/>
          <w:jc w:val="center"/>
        </w:trPr>
        <w:tc>
          <w:tcPr>
            <w:tcW w:w="725" w:type="dxa"/>
            <w:vMerge w:val="continue"/>
            <w:tcBorders>
              <w:top w:val="single" w:color="000000"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781"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24"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eastAsia" w:ascii="仿宋" w:hAnsi="仿宋" w:eastAsia="仿宋" w:cs="仿宋"/>
                <w:color w:val="000000"/>
                <w:kern w:val="0"/>
                <w:szCs w:val="21"/>
              </w:rPr>
            </w:pPr>
          </w:p>
          <w:p>
            <w:pPr>
              <w:keepNext w:val="0"/>
              <w:keepLines w:val="0"/>
              <w:suppressLineNumbers w:val="0"/>
              <w:spacing w:before="0" w:beforeAutospacing="0" w:after="0" w:afterAutospacing="0" w:line="240" w:lineRule="exact"/>
              <w:ind w:left="0" w:right="0"/>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完成及时率</w:t>
            </w:r>
          </w:p>
        </w:tc>
        <w:tc>
          <w:tcPr>
            <w:tcW w:w="150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9</w:t>
            </w:r>
            <w:r>
              <w:rPr>
                <w:rFonts w:hint="default" w:ascii="仿宋" w:hAnsi="仿宋" w:eastAsia="仿宋" w:cs="仿宋"/>
                <w:color w:val="000000"/>
                <w:kern w:val="0"/>
                <w:szCs w:val="21"/>
                <w:lang w:val="en-US" w:eastAsia="zh-CN"/>
              </w:rPr>
              <w:t>5</w:t>
            </w:r>
            <w:r>
              <w:rPr>
                <w:rFonts w:hint="eastAsia" w:ascii="仿宋" w:hAnsi="仿宋" w:eastAsia="仿宋" w:cs="仿宋"/>
                <w:color w:val="000000"/>
                <w:kern w:val="0"/>
                <w:szCs w:val="21"/>
                <w:lang w:val="en-US" w:eastAsia="zh-CN"/>
              </w:rPr>
              <w:t>%</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bidi="ar-SA"/>
              </w:rPr>
            </w:pPr>
            <w:r>
              <w:rPr>
                <w:rFonts w:hint="default" w:ascii="仿宋" w:hAnsi="仿宋" w:eastAsia="仿宋" w:cs="仿宋"/>
                <w:color w:val="000000"/>
                <w:kern w:val="0"/>
                <w:szCs w:val="21"/>
                <w:lang w:val="en-US" w:eastAsia="zh-CN"/>
              </w:rPr>
              <w:t>100</w:t>
            </w:r>
            <w:r>
              <w:rPr>
                <w:rFonts w:hint="eastAsia" w:ascii="仿宋" w:hAnsi="仿宋" w:eastAsia="仿宋" w:cs="仿宋"/>
                <w:color w:val="000000"/>
                <w:kern w:val="0"/>
                <w:szCs w:val="21"/>
                <w:lang w:val="en-US" w:eastAsia="zh-CN"/>
              </w:rPr>
              <w:t>%</w:t>
            </w:r>
          </w:p>
        </w:tc>
        <w:tc>
          <w:tcPr>
            <w:tcW w:w="8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w:t>
            </w:r>
          </w:p>
        </w:tc>
        <w:tc>
          <w:tcPr>
            <w:tcW w:w="14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w:t>
            </w:r>
          </w:p>
        </w:tc>
        <w:tc>
          <w:tcPr>
            <w:tcW w:w="10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bidi="ar-SA"/>
              </w:rPr>
            </w:pPr>
          </w:p>
        </w:tc>
      </w:tr>
      <w:tr>
        <w:tblPrEx>
          <w:tblCellMar>
            <w:top w:w="0" w:type="dxa"/>
            <w:left w:w="108" w:type="dxa"/>
            <w:bottom w:w="0" w:type="dxa"/>
            <w:right w:w="108" w:type="dxa"/>
          </w:tblCellMar>
        </w:tblPrEx>
        <w:trPr>
          <w:trHeight w:val="797" w:hRule="atLeast"/>
          <w:jc w:val="center"/>
        </w:trPr>
        <w:tc>
          <w:tcPr>
            <w:tcW w:w="725" w:type="dxa"/>
            <w:vMerge w:val="continue"/>
            <w:tcBorders>
              <w:top w:val="single" w:color="000000"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78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624"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eastAsia" w:ascii="仿宋" w:hAnsi="仿宋" w:eastAsia="仿宋" w:cs="仿宋"/>
                <w:color w:val="000000"/>
                <w:kern w:val="0"/>
                <w:sz w:val="21"/>
                <w:szCs w:val="21"/>
                <w:lang w:val="en-US" w:eastAsia="zh-CN" w:bidi="ar-SA"/>
              </w:rPr>
            </w:pPr>
            <w:r>
              <w:rPr>
                <w:rFonts w:hint="eastAsia" w:ascii="仿宋" w:hAnsi="仿宋" w:eastAsia="仿宋" w:cs="仿宋"/>
                <w:szCs w:val="21"/>
              </w:rPr>
              <w:t>完成</w:t>
            </w:r>
            <w:r>
              <w:rPr>
                <w:rFonts w:hint="eastAsia" w:ascii="仿宋" w:hAnsi="仿宋" w:eastAsia="仿宋" w:cs="仿宋"/>
                <w:szCs w:val="21"/>
                <w:lang w:eastAsia="zh-CN"/>
              </w:rPr>
              <w:t>工作</w:t>
            </w:r>
            <w:r>
              <w:rPr>
                <w:rFonts w:hint="eastAsia" w:ascii="仿宋" w:hAnsi="仿宋" w:eastAsia="仿宋" w:cs="仿宋"/>
                <w:szCs w:val="21"/>
              </w:rPr>
              <w:t>时间</w:t>
            </w:r>
          </w:p>
        </w:tc>
        <w:tc>
          <w:tcPr>
            <w:tcW w:w="150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eastAsia" w:ascii="仿宋" w:hAnsi="仿宋" w:eastAsia="仿宋" w:cs="仿宋"/>
                <w:sz w:val="18"/>
                <w:szCs w:val="18"/>
              </w:rPr>
            </w:pPr>
          </w:p>
          <w:p>
            <w:pPr>
              <w:keepNext w:val="0"/>
              <w:keepLines w:val="0"/>
              <w:suppressLineNumbers w:val="0"/>
              <w:spacing w:before="0" w:beforeAutospacing="0" w:after="0" w:afterAutospacing="0" w:line="240" w:lineRule="exact"/>
              <w:ind w:left="0" w:right="0"/>
              <w:jc w:val="left"/>
              <w:rPr>
                <w:rFonts w:hint="eastAsia" w:ascii="仿宋" w:hAnsi="仿宋" w:eastAsia="仿宋" w:cs="仿宋"/>
                <w:color w:val="000000"/>
                <w:kern w:val="0"/>
                <w:sz w:val="21"/>
                <w:szCs w:val="21"/>
                <w:lang w:val="en-US" w:eastAsia="zh-CN" w:bidi="ar-SA"/>
              </w:rPr>
            </w:pPr>
            <w:r>
              <w:rPr>
                <w:rFonts w:hint="eastAsia" w:ascii="仿宋" w:hAnsi="仿宋" w:eastAsia="仿宋" w:cs="仿宋"/>
                <w:sz w:val="18"/>
                <w:szCs w:val="18"/>
                <w:lang w:eastAsia="zh-CN"/>
              </w:rPr>
              <w:t>2024年</w:t>
            </w:r>
            <w:r>
              <w:rPr>
                <w:rFonts w:hint="eastAsia" w:ascii="仿宋" w:hAnsi="仿宋" w:eastAsia="仿宋" w:cs="仿宋"/>
                <w:sz w:val="18"/>
                <w:szCs w:val="18"/>
              </w:rPr>
              <w:t>1</w:t>
            </w:r>
            <w:r>
              <w:rPr>
                <w:rFonts w:hint="default" w:ascii="仿宋" w:hAnsi="仿宋" w:eastAsia="仿宋" w:cs="仿宋"/>
                <w:sz w:val="18"/>
                <w:szCs w:val="18"/>
              </w:rPr>
              <w:t>2</w:t>
            </w:r>
            <w:r>
              <w:rPr>
                <w:rFonts w:hint="eastAsia" w:ascii="仿宋" w:hAnsi="仿宋" w:eastAsia="仿宋" w:cs="仿宋"/>
                <w:sz w:val="18"/>
                <w:szCs w:val="18"/>
                <w:lang w:eastAsia="zh-CN"/>
              </w:rPr>
              <w:t>月底前</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sz w:val="18"/>
                <w:szCs w:val="18"/>
                <w:lang w:eastAsia="zh-CN"/>
              </w:rPr>
              <w:t>2024年</w:t>
            </w:r>
            <w:r>
              <w:rPr>
                <w:rFonts w:hint="eastAsia" w:ascii="仿宋" w:hAnsi="仿宋" w:eastAsia="仿宋" w:cs="仿宋"/>
                <w:sz w:val="18"/>
                <w:szCs w:val="18"/>
                <w:lang w:val="en-US" w:eastAsia="zh-CN"/>
              </w:rPr>
              <w:t>12月底前</w:t>
            </w:r>
          </w:p>
        </w:tc>
        <w:tc>
          <w:tcPr>
            <w:tcW w:w="8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w:t>
            </w:r>
          </w:p>
        </w:tc>
        <w:tc>
          <w:tcPr>
            <w:tcW w:w="14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w:t>
            </w:r>
          </w:p>
        </w:tc>
        <w:tc>
          <w:tcPr>
            <w:tcW w:w="10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bidi="ar-SA"/>
              </w:rPr>
            </w:pPr>
          </w:p>
        </w:tc>
      </w:tr>
      <w:tr>
        <w:tblPrEx>
          <w:tblCellMar>
            <w:top w:w="0" w:type="dxa"/>
            <w:left w:w="108" w:type="dxa"/>
            <w:bottom w:w="0" w:type="dxa"/>
            <w:right w:w="108" w:type="dxa"/>
          </w:tblCellMar>
        </w:tblPrEx>
        <w:trPr>
          <w:trHeight w:val="535" w:hRule="atLeast"/>
          <w:jc w:val="center"/>
        </w:trPr>
        <w:tc>
          <w:tcPr>
            <w:tcW w:w="72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7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1624"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left"/>
              <w:rPr>
                <w:rFonts w:hint="eastAsia" w:ascii="仿宋" w:hAnsi="仿宋" w:eastAsia="仿宋" w:cs="仿宋"/>
                <w:sz w:val="20"/>
                <w:szCs w:val="20"/>
              </w:rPr>
            </w:pPr>
            <w:r>
              <w:rPr>
                <w:rFonts w:hint="eastAsia" w:ascii="仿宋" w:hAnsi="仿宋" w:eastAsia="仿宋" w:cs="仿宋"/>
                <w:sz w:val="20"/>
                <w:szCs w:val="20"/>
              </w:rPr>
              <w:t>所用费用使用额度</w:t>
            </w:r>
          </w:p>
        </w:tc>
        <w:tc>
          <w:tcPr>
            <w:tcW w:w="150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sz w:val="20"/>
                <w:szCs w:val="20"/>
              </w:rPr>
            </w:pPr>
            <w:r>
              <w:rPr>
                <w:rFonts w:hint="eastAsia" w:ascii="仿宋" w:hAnsi="仿宋" w:eastAsia="仿宋" w:cs="仿宋"/>
                <w:sz w:val="20"/>
                <w:szCs w:val="20"/>
                <w:lang w:val="en-US" w:eastAsia="zh-CN"/>
              </w:rPr>
              <w:t>不超过预算数</w:t>
            </w:r>
          </w:p>
        </w:tc>
        <w:tc>
          <w:tcPr>
            <w:tcW w:w="165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Cs w:val="21"/>
                <w:lang w:val="en-US" w:eastAsia="zh-CN"/>
              </w:rPr>
              <w:t>不超过预算数</w:t>
            </w:r>
          </w:p>
        </w:tc>
        <w:tc>
          <w:tcPr>
            <w:tcW w:w="8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4</w:t>
            </w:r>
          </w:p>
        </w:tc>
        <w:tc>
          <w:tcPr>
            <w:tcW w:w="14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2</w:t>
            </w:r>
          </w:p>
        </w:tc>
        <w:tc>
          <w:tcPr>
            <w:tcW w:w="10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p>
        </w:tc>
      </w:tr>
      <w:tr>
        <w:tblPrEx>
          <w:tblCellMar>
            <w:top w:w="0" w:type="dxa"/>
            <w:left w:w="108" w:type="dxa"/>
            <w:bottom w:w="0" w:type="dxa"/>
            <w:right w:w="108" w:type="dxa"/>
          </w:tblCellMar>
        </w:tblPrEx>
        <w:trPr>
          <w:trHeight w:val="535" w:hRule="atLeast"/>
          <w:jc w:val="center"/>
        </w:trPr>
        <w:tc>
          <w:tcPr>
            <w:tcW w:w="725" w:type="dxa"/>
            <w:vMerge w:val="continue"/>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restart"/>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p>
            <w:pPr>
              <w:keepNext w:val="0"/>
              <w:keepLines w:val="0"/>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781" w:type="dxa"/>
            <w:vMerge w:val="restart"/>
            <w:tcBorders>
              <w:top w:val="single" w:color="000000"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24"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抓实村级集体经济发展</w:t>
            </w:r>
          </w:p>
        </w:tc>
        <w:tc>
          <w:tcPr>
            <w:tcW w:w="1507" w:type="dxa"/>
            <w:tcBorders>
              <w:top w:val="single" w:color="000000" w:sz="4" w:space="0"/>
              <w:left w:val="nil"/>
              <w:bottom w:val="single" w:color="000000"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sz w:val="20"/>
                <w:szCs w:val="20"/>
                <w:lang w:eastAsia="zh-CN"/>
              </w:rPr>
            </w:pPr>
            <w:r>
              <w:rPr>
                <w:rFonts w:hint="eastAsia" w:ascii="仿宋" w:hAnsi="仿宋" w:eastAsia="仿宋" w:cs="仿宋"/>
                <w:sz w:val="20"/>
                <w:szCs w:val="20"/>
                <w:lang w:eastAsia="zh-CN"/>
              </w:rPr>
              <w:t>长期发展</w:t>
            </w:r>
          </w:p>
        </w:tc>
        <w:tc>
          <w:tcPr>
            <w:tcW w:w="1657" w:type="dxa"/>
            <w:tcBorders>
              <w:top w:val="single" w:color="000000" w:sz="4" w:space="0"/>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sz w:val="20"/>
                <w:szCs w:val="20"/>
                <w:lang w:eastAsia="zh-CN"/>
              </w:rPr>
              <w:t>长期发展</w:t>
            </w:r>
          </w:p>
        </w:tc>
        <w:tc>
          <w:tcPr>
            <w:tcW w:w="835" w:type="dxa"/>
            <w:tcBorders>
              <w:top w:val="single" w:color="000000" w:sz="4" w:space="0"/>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474" w:type="dxa"/>
            <w:tcBorders>
              <w:top w:val="single" w:color="000000" w:sz="4" w:space="0"/>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1094" w:type="dxa"/>
            <w:tcBorders>
              <w:top w:val="single" w:color="000000" w:sz="4" w:space="0"/>
              <w:left w:val="nil"/>
              <w:bottom w:val="single" w:color="000000"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p>
        </w:tc>
      </w:tr>
      <w:tr>
        <w:tblPrEx>
          <w:tblCellMar>
            <w:top w:w="0" w:type="dxa"/>
            <w:left w:w="108" w:type="dxa"/>
            <w:bottom w:w="0" w:type="dxa"/>
            <w:right w:w="108" w:type="dxa"/>
          </w:tblCellMar>
        </w:tblPrEx>
        <w:trPr>
          <w:trHeight w:val="535" w:hRule="atLeast"/>
          <w:jc w:val="center"/>
        </w:trPr>
        <w:tc>
          <w:tcPr>
            <w:tcW w:w="725" w:type="dxa"/>
            <w:vMerge w:val="continue"/>
            <w:tcBorders>
              <w:top w:val="single" w:color="000000"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000000"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781" w:type="dxa"/>
            <w:vMerge w:val="continue"/>
            <w:tcBorders>
              <w:top w:val="single" w:color="000000"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624" w:type="dxa"/>
            <w:gridSpan w:val="2"/>
            <w:tcBorders>
              <w:top w:val="single" w:color="000000"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引进人才，发展绥宁经济</w:t>
            </w:r>
          </w:p>
        </w:tc>
        <w:tc>
          <w:tcPr>
            <w:tcW w:w="1507" w:type="dxa"/>
            <w:tcBorders>
              <w:top w:val="single" w:color="000000"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color w:val="000000"/>
                <w:kern w:val="0"/>
                <w:sz w:val="21"/>
                <w:szCs w:val="21"/>
              </w:rPr>
            </w:pPr>
            <w:r>
              <w:rPr>
                <w:rFonts w:hint="eastAsia" w:ascii="仿宋" w:hAnsi="仿宋" w:eastAsia="仿宋" w:cs="仿宋"/>
                <w:sz w:val="20"/>
                <w:szCs w:val="20"/>
                <w:lang w:eastAsia="zh-CN"/>
              </w:rPr>
              <w:t>长期发展</w:t>
            </w:r>
          </w:p>
        </w:tc>
        <w:tc>
          <w:tcPr>
            <w:tcW w:w="1657"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sz w:val="20"/>
                <w:szCs w:val="20"/>
                <w:lang w:eastAsia="zh-CN"/>
              </w:rPr>
              <w:t>长期发展</w:t>
            </w:r>
          </w:p>
        </w:tc>
        <w:tc>
          <w:tcPr>
            <w:tcW w:w="835"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474"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94"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p>
        </w:tc>
      </w:tr>
      <w:tr>
        <w:tblPrEx>
          <w:tblCellMar>
            <w:top w:w="0" w:type="dxa"/>
            <w:left w:w="108" w:type="dxa"/>
            <w:bottom w:w="0" w:type="dxa"/>
            <w:right w:w="108" w:type="dxa"/>
          </w:tblCellMar>
        </w:tblPrEx>
        <w:trPr>
          <w:trHeight w:val="732" w:hRule="atLeast"/>
          <w:jc w:val="center"/>
        </w:trPr>
        <w:tc>
          <w:tcPr>
            <w:tcW w:w="725" w:type="dxa"/>
            <w:vMerge w:val="continue"/>
            <w:tcBorders>
              <w:top w:val="single" w:color="000000"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000000"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781" w:type="dxa"/>
            <w:tcBorders>
              <w:top w:val="single" w:color="000000"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社会效益指标</w:t>
            </w:r>
          </w:p>
        </w:tc>
        <w:tc>
          <w:tcPr>
            <w:tcW w:w="1624" w:type="dxa"/>
            <w:gridSpan w:val="2"/>
            <w:tcBorders>
              <w:top w:val="single" w:color="000000"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组织工作宣传覆盖率</w:t>
            </w:r>
          </w:p>
        </w:tc>
        <w:tc>
          <w:tcPr>
            <w:tcW w:w="1507" w:type="dxa"/>
            <w:tcBorders>
              <w:top w:val="single" w:color="000000"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color w:val="000000"/>
                <w:kern w:val="0"/>
                <w:sz w:val="21"/>
                <w:szCs w:val="21"/>
              </w:rPr>
            </w:pP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9</w:t>
            </w:r>
            <w:r>
              <w:rPr>
                <w:rFonts w:hint="default" w:ascii="仿宋" w:hAnsi="仿宋" w:eastAsia="仿宋" w:cs="仿宋"/>
                <w:color w:val="000000"/>
                <w:kern w:val="0"/>
                <w:szCs w:val="21"/>
                <w:lang w:val="en-US" w:eastAsia="zh-CN"/>
              </w:rPr>
              <w:t>5</w:t>
            </w:r>
            <w:r>
              <w:rPr>
                <w:rFonts w:hint="eastAsia" w:ascii="仿宋" w:hAnsi="仿宋" w:eastAsia="仿宋" w:cs="仿宋"/>
                <w:color w:val="000000"/>
                <w:kern w:val="0"/>
                <w:szCs w:val="21"/>
                <w:lang w:val="en-US" w:eastAsia="zh-CN"/>
              </w:rPr>
              <w:t>%</w:t>
            </w:r>
          </w:p>
        </w:tc>
        <w:tc>
          <w:tcPr>
            <w:tcW w:w="1657"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default" w:ascii="仿宋" w:hAnsi="仿宋" w:eastAsia="仿宋" w:cs="仿宋"/>
                <w:color w:val="000000"/>
                <w:kern w:val="0"/>
                <w:szCs w:val="21"/>
                <w:lang w:val="en-US" w:eastAsia="zh-CN"/>
              </w:rPr>
              <w:t>100</w:t>
            </w:r>
            <w:r>
              <w:rPr>
                <w:rFonts w:hint="eastAsia" w:ascii="仿宋" w:hAnsi="仿宋" w:eastAsia="仿宋" w:cs="仿宋"/>
                <w:color w:val="000000"/>
                <w:kern w:val="0"/>
                <w:szCs w:val="21"/>
                <w:lang w:val="en-US" w:eastAsia="zh-CN"/>
              </w:rPr>
              <w:t>%</w:t>
            </w:r>
          </w:p>
        </w:tc>
        <w:tc>
          <w:tcPr>
            <w:tcW w:w="835"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474"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094"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p>
        </w:tc>
      </w:tr>
      <w:tr>
        <w:tblPrEx>
          <w:tblCellMar>
            <w:top w:w="0" w:type="dxa"/>
            <w:left w:w="108" w:type="dxa"/>
            <w:bottom w:w="0" w:type="dxa"/>
            <w:right w:w="108" w:type="dxa"/>
          </w:tblCellMar>
        </w:tblPrEx>
        <w:trPr>
          <w:trHeight w:val="732" w:hRule="atLeast"/>
          <w:jc w:val="center"/>
        </w:trPr>
        <w:tc>
          <w:tcPr>
            <w:tcW w:w="725" w:type="dxa"/>
            <w:vMerge w:val="continue"/>
            <w:tcBorders>
              <w:top w:val="single" w:color="000000"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000000"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781" w:type="dxa"/>
            <w:tcBorders>
              <w:top w:val="single" w:color="000000"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生态效益指标</w:t>
            </w:r>
          </w:p>
        </w:tc>
        <w:tc>
          <w:tcPr>
            <w:tcW w:w="1624" w:type="dxa"/>
            <w:gridSpan w:val="2"/>
            <w:tcBorders>
              <w:top w:val="single" w:color="000000"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促乡村振兴</w:t>
            </w:r>
            <w:r>
              <w:rPr>
                <w:rFonts w:hint="eastAsia" w:ascii="仿宋" w:hAnsi="仿宋" w:eastAsia="仿宋" w:cs="仿宋"/>
                <w:color w:val="000000"/>
                <w:kern w:val="0"/>
                <w:sz w:val="21"/>
                <w:szCs w:val="21"/>
                <w:lang w:eastAsia="zh-CN"/>
              </w:rPr>
              <w:t>，助美丽乡村建设</w:t>
            </w:r>
          </w:p>
        </w:tc>
        <w:tc>
          <w:tcPr>
            <w:tcW w:w="1507" w:type="dxa"/>
            <w:tcBorders>
              <w:top w:val="single" w:color="000000"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长期</w:t>
            </w:r>
          </w:p>
        </w:tc>
        <w:tc>
          <w:tcPr>
            <w:tcW w:w="1657"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节约资源、保护环境</w:t>
            </w:r>
          </w:p>
        </w:tc>
        <w:tc>
          <w:tcPr>
            <w:tcW w:w="835"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474"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094"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p>
        </w:tc>
      </w:tr>
      <w:tr>
        <w:tblPrEx>
          <w:tblCellMar>
            <w:top w:w="0" w:type="dxa"/>
            <w:left w:w="108" w:type="dxa"/>
            <w:bottom w:w="0" w:type="dxa"/>
            <w:right w:w="108" w:type="dxa"/>
          </w:tblCellMar>
        </w:tblPrEx>
        <w:trPr>
          <w:trHeight w:val="2109" w:hRule="atLeast"/>
          <w:jc w:val="center"/>
        </w:trPr>
        <w:tc>
          <w:tcPr>
            <w:tcW w:w="725" w:type="dxa"/>
            <w:vMerge w:val="continue"/>
            <w:tcBorders>
              <w:top w:val="single" w:color="000000"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top w:val="single" w:color="000000"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781" w:type="dxa"/>
            <w:tcBorders>
              <w:top w:val="single" w:color="000000"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可持续影响指标</w:t>
            </w:r>
          </w:p>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1624" w:type="dxa"/>
            <w:gridSpan w:val="2"/>
            <w:tcBorders>
              <w:top w:val="single" w:color="000000"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both"/>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持续推进政治建部、从严治部，努力建设让县委放心、让党员干部人才信赖、让广大群众满意的模范部门</w:t>
            </w:r>
            <w:r>
              <w:rPr>
                <w:rFonts w:hint="eastAsia" w:ascii="仿宋" w:hAnsi="仿宋" w:eastAsia="仿宋" w:cs="仿宋"/>
                <w:color w:val="000000"/>
                <w:kern w:val="0"/>
                <w:sz w:val="21"/>
                <w:szCs w:val="21"/>
                <w:lang w:eastAsia="zh-CN"/>
              </w:rPr>
              <w:t>。</w:t>
            </w:r>
          </w:p>
        </w:tc>
        <w:tc>
          <w:tcPr>
            <w:tcW w:w="1507" w:type="dxa"/>
            <w:tcBorders>
              <w:top w:val="single" w:color="000000"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leftChars="0" w:right="0" w:rightChars="0"/>
              <w:rPr>
                <w:rFonts w:hint="eastAsia" w:ascii="仿宋" w:hAnsi="仿宋" w:eastAsia="仿宋" w:cs="仿宋"/>
                <w:color w:val="000000"/>
                <w:kern w:val="0"/>
                <w:sz w:val="21"/>
                <w:szCs w:val="21"/>
              </w:rPr>
            </w:pP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9</w:t>
            </w:r>
            <w:r>
              <w:rPr>
                <w:rFonts w:hint="default" w:ascii="仿宋" w:hAnsi="仿宋" w:eastAsia="仿宋" w:cs="仿宋"/>
                <w:color w:val="000000"/>
                <w:kern w:val="0"/>
                <w:szCs w:val="21"/>
                <w:lang w:val="en-US" w:eastAsia="zh-CN"/>
              </w:rPr>
              <w:t>5</w:t>
            </w:r>
            <w:r>
              <w:rPr>
                <w:rFonts w:hint="eastAsia" w:ascii="仿宋" w:hAnsi="仿宋" w:eastAsia="仿宋" w:cs="仿宋"/>
                <w:color w:val="000000"/>
                <w:kern w:val="0"/>
                <w:szCs w:val="21"/>
                <w:lang w:val="en-US" w:eastAsia="zh-CN"/>
              </w:rPr>
              <w:t>%</w:t>
            </w:r>
          </w:p>
        </w:tc>
        <w:tc>
          <w:tcPr>
            <w:tcW w:w="1657"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leftChars="0" w:right="0" w:rightChars="0"/>
              <w:jc w:val="left"/>
              <w:rPr>
                <w:rFonts w:hint="eastAsia" w:ascii="仿宋" w:hAnsi="仿宋" w:eastAsia="仿宋" w:cs="仿宋"/>
                <w:color w:val="000000"/>
                <w:kern w:val="0"/>
                <w:sz w:val="21"/>
                <w:szCs w:val="21"/>
              </w:rPr>
            </w:pPr>
            <w:r>
              <w:rPr>
                <w:rFonts w:hint="default" w:ascii="仿宋" w:hAnsi="仿宋" w:eastAsia="仿宋" w:cs="仿宋"/>
                <w:color w:val="000000"/>
                <w:kern w:val="0"/>
                <w:szCs w:val="21"/>
                <w:lang w:val="en-US" w:eastAsia="zh-CN"/>
              </w:rPr>
              <w:t>100</w:t>
            </w:r>
            <w:r>
              <w:rPr>
                <w:rFonts w:hint="eastAsia" w:ascii="仿宋" w:hAnsi="仿宋" w:eastAsia="仿宋" w:cs="仿宋"/>
                <w:color w:val="000000"/>
                <w:kern w:val="0"/>
                <w:szCs w:val="21"/>
                <w:lang w:val="en-US" w:eastAsia="zh-CN"/>
              </w:rPr>
              <w:t>%</w:t>
            </w:r>
          </w:p>
        </w:tc>
        <w:tc>
          <w:tcPr>
            <w:tcW w:w="835"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474"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094" w:type="dxa"/>
            <w:tcBorders>
              <w:top w:val="single" w:color="000000"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p>
        </w:tc>
      </w:tr>
      <w:tr>
        <w:tblPrEx>
          <w:tblCellMar>
            <w:top w:w="0" w:type="dxa"/>
            <w:left w:w="108" w:type="dxa"/>
            <w:bottom w:w="0" w:type="dxa"/>
            <w:right w:w="108" w:type="dxa"/>
          </w:tblCellMar>
        </w:tblPrEx>
        <w:trPr>
          <w:trHeight w:val="803" w:hRule="atLeast"/>
          <w:jc w:val="center"/>
        </w:trPr>
        <w:tc>
          <w:tcPr>
            <w:tcW w:w="72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81" w:type="dxa"/>
            <w:vMerge w:val="restart"/>
            <w:tcBorders>
              <w:top w:val="single" w:color="000000" w:sz="6"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sz w:val="20"/>
                <w:szCs w:val="20"/>
              </w:rPr>
            </w:pPr>
            <w:r>
              <w:rPr>
                <w:rFonts w:hint="eastAsia" w:ascii="仿宋" w:hAnsi="仿宋" w:eastAsia="仿宋" w:cs="仿宋"/>
                <w:sz w:val="20"/>
                <w:szCs w:val="20"/>
              </w:rPr>
              <w:t>全县各单位干部满意度</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sz w:val="20"/>
                <w:szCs w:val="20"/>
              </w:rPr>
            </w:pPr>
            <w:r>
              <w:rPr>
                <w:rFonts w:hint="eastAsia" w:ascii="仿宋" w:hAnsi="仿宋" w:eastAsia="仿宋" w:cs="仿宋"/>
                <w:sz w:val="20"/>
                <w:szCs w:val="20"/>
              </w:rPr>
              <w:t>加强干部队伍素质提高，干部满意</w:t>
            </w:r>
          </w:p>
        </w:tc>
        <w:tc>
          <w:tcPr>
            <w:tcW w:w="165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000000"/>
                <w:kern w:val="0"/>
                <w:sz w:val="21"/>
                <w:szCs w:val="21"/>
              </w:rPr>
            </w:pPr>
            <w:r>
              <w:rPr>
                <w:rFonts w:hint="eastAsia" w:eastAsia="仿宋_GB2312"/>
                <w:color w:val="000000"/>
                <w:kern w:val="0"/>
                <w:szCs w:val="21"/>
              </w:rPr>
              <w:t>≥95%</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2.5</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leftChars="0" w:right="0" w:right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2.5</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1322" w:hRule="atLeast"/>
          <w:jc w:val="center"/>
        </w:trPr>
        <w:tc>
          <w:tcPr>
            <w:tcW w:w="725"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78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sz w:val="20"/>
                <w:szCs w:val="20"/>
              </w:rPr>
            </w:pP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sz w:val="20"/>
                <w:szCs w:val="20"/>
              </w:rPr>
            </w:pPr>
            <w:r>
              <w:rPr>
                <w:rFonts w:hint="eastAsia" w:ascii="仿宋" w:hAnsi="仿宋" w:eastAsia="仿宋" w:cs="仿宋"/>
                <w:sz w:val="20"/>
                <w:szCs w:val="20"/>
              </w:rPr>
              <w:t>基层组织，村干部满意度</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sz w:val="20"/>
                <w:szCs w:val="20"/>
              </w:rPr>
            </w:pPr>
            <w:r>
              <w:rPr>
                <w:rFonts w:hint="eastAsia" w:ascii="仿宋" w:hAnsi="仿宋" w:eastAsia="仿宋" w:cs="仿宋"/>
                <w:sz w:val="20"/>
                <w:szCs w:val="20"/>
              </w:rPr>
              <w:t>完善基层党组织建设，提高村干部待遇，村干部及群众 满意度</w:t>
            </w:r>
          </w:p>
        </w:tc>
        <w:tc>
          <w:tcPr>
            <w:tcW w:w="165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000000"/>
                <w:kern w:val="0"/>
                <w:sz w:val="21"/>
                <w:szCs w:val="21"/>
              </w:rPr>
            </w:pPr>
            <w:r>
              <w:rPr>
                <w:rFonts w:hint="eastAsia" w:eastAsia="仿宋_GB2312"/>
                <w:color w:val="000000"/>
                <w:kern w:val="0"/>
                <w:szCs w:val="21"/>
              </w:rPr>
              <w:t>≥95%</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2.5</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leftChars="0" w:right="0" w:right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2.5</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797" w:hRule="atLeast"/>
          <w:jc w:val="center"/>
        </w:trPr>
        <w:tc>
          <w:tcPr>
            <w:tcW w:w="725"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78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sz w:val="20"/>
                <w:szCs w:val="20"/>
              </w:rPr>
            </w:pP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sz w:val="20"/>
                <w:szCs w:val="20"/>
              </w:rPr>
            </w:pPr>
            <w:r>
              <w:rPr>
                <w:rFonts w:hint="eastAsia" w:ascii="仿宋" w:hAnsi="仿宋" w:eastAsia="仿宋" w:cs="仿宋"/>
                <w:sz w:val="20"/>
                <w:szCs w:val="20"/>
              </w:rPr>
              <w:t>老干部满意度</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sz w:val="20"/>
                <w:szCs w:val="20"/>
              </w:rPr>
            </w:pPr>
            <w:r>
              <w:rPr>
                <w:rFonts w:hint="eastAsia" w:ascii="仿宋" w:hAnsi="仿宋" w:eastAsia="仿宋" w:cs="仿宋"/>
                <w:sz w:val="20"/>
                <w:szCs w:val="20"/>
              </w:rPr>
              <w:t>老干部对政治经济待遇等方面满意</w:t>
            </w:r>
          </w:p>
        </w:tc>
        <w:tc>
          <w:tcPr>
            <w:tcW w:w="165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000000"/>
                <w:kern w:val="0"/>
                <w:sz w:val="21"/>
                <w:szCs w:val="21"/>
              </w:rPr>
            </w:pPr>
            <w:r>
              <w:rPr>
                <w:rFonts w:hint="eastAsia" w:eastAsia="仿宋_GB2312"/>
                <w:color w:val="000000"/>
                <w:kern w:val="0"/>
                <w:szCs w:val="21"/>
              </w:rPr>
              <w:t>≥95%</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2.5</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leftChars="0" w:right="0" w:right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2.5</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797" w:hRule="atLeast"/>
          <w:jc w:val="center"/>
        </w:trPr>
        <w:tc>
          <w:tcPr>
            <w:tcW w:w="725"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color w:val="000000"/>
                <w:kern w:val="0"/>
                <w:sz w:val="21"/>
                <w:szCs w:val="21"/>
              </w:rPr>
            </w:pPr>
          </w:p>
        </w:tc>
        <w:tc>
          <w:tcPr>
            <w:tcW w:w="86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c>
          <w:tcPr>
            <w:tcW w:w="78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left"/>
              <w:rPr>
                <w:rFonts w:hint="eastAsia" w:ascii="仿宋" w:hAnsi="仿宋" w:eastAsia="仿宋" w:cs="仿宋"/>
                <w:sz w:val="20"/>
                <w:szCs w:val="20"/>
              </w:rPr>
            </w:pPr>
          </w:p>
        </w:tc>
        <w:tc>
          <w:tcPr>
            <w:tcW w:w="162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sz w:val="20"/>
                <w:szCs w:val="20"/>
              </w:rPr>
            </w:pPr>
            <w:r>
              <w:rPr>
                <w:rFonts w:hint="eastAsia" w:ascii="仿宋" w:hAnsi="仿宋" w:eastAsia="仿宋" w:cs="仿宋"/>
                <w:sz w:val="20"/>
                <w:szCs w:val="20"/>
              </w:rPr>
              <w:t>党员满意度</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仿宋" w:hAnsi="仿宋" w:eastAsia="仿宋" w:cs="仿宋"/>
                <w:sz w:val="20"/>
                <w:szCs w:val="20"/>
              </w:rPr>
            </w:pPr>
            <w:r>
              <w:rPr>
                <w:rFonts w:hint="eastAsia" w:ascii="仿宋" w:hAnsi="仿宋" w:eastAsia="仿宋" w:cs="仿宋"/>
                <w:sz w:val="20"/>
                <w:szCs w:val="20"/>
              </w:rPr>
              <w:t>党员队伍建设加强，党员满意度提高</w:t>
            </w:r>
          </w:p>
        </w:tc>
        <w:tc>
          <w:tcPr>
            <w:tcW w:w="165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color w:val="000000"/>
                <w:kern w:val="0"/>
                <w:sz w:val="21"/>
                <w:szCs w:val="21"/>
              </w:rPr>
            </w:pPr>
            <w:r>
              <w:rPr>
                <w:rFonts w:hint="eastAsia" w:eastAsia="仿宋_GB2312"/>
                <w:color w:val="000000"/>
                <w:kern w:val="0"/>
                <w:szCs w:val="21"/>
              </w:rPr>
              <w:t>≥95%</w:t>
            </w:r>
          </w:p>
        </w:tc>
        <w:tc>
          <w:tcPr>
            <w:tcW w:w="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2.5</w:t>
            </w:r>
          </w:p>
        </w:tc>
        <w:tc>
          <w:tcPr>
            <w:tcW w:w="14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leftChars="0" w:right="0" w:right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2.5</w:t>
            </w:r>
          </w:p>
        </w:tc>
        <w:tc>
          <w:tcPr>
            <w:tcW w:w="10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262" w:hRule="atLeast"/>
          <w:jc w:val="center"/>
        </w:trPr>
        <w:tc>
          <w:tcPr>
            <w:tcW w:w="7156" w:type="dxa"/>
            <w:gridSpan w:val="7"/>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3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7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91</w:t>
            </w:r>
          </w:p>
        </w:tc>
        <w:tc>
          <w:tcPr>
            <w:tcW w:w="10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20" w:lineRule="exact"/>
              <w:ind w:left="0" w:right="0"/>
              <w:jc w:val="center"/>
              <w:rPr>
                <w:rFonts w:hint="eastAsia" w:ascii="仿宋" w:hAnsi="仿宋" w:eastAsia="仿宋" w:cs="仿宋"/>
                <w:color w:val="000000"/>
                <w:kern w:val="0"/>
                <w:sz w:val="21"/>
                <w:szCs w:val="21"/>
              </w:rPr>
            </w:pPr>
          </w:p>
        </w:tc>
      </w:tr>
    </w:tbl>
    <w:p>
      <w:pPr>
        <w:spacing w:line="300" w:lineRule="exact"/>
        <w:jc w:val="center"/>
        <w:rPr>
          <w:rFonts w:hint="eastAsia" w:ascii="仿宋" w:hAnsi="仿宋" w:eastAsia="仿宋" w:cs="仿宋"/>
          <w:sz w:val="4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Times New Roman" w:hAnsi="Times New Roman" w:cs="Times New Roman"/>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sectPr>
      <w:footerReference r:id="rId3" w:type="default"/>
      <w:pgSz w:w="11906" w:h="16838"/>
      <w:pgMar w:top="2098" w:right="1474" w:bottom="1984" w:left="1587" w:header="851" w:footer="1417"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D4A05"/>
    <w:multiLevelType w:val="singleLevel"/>
    <w:tmpl w:val="D99D4A05"/>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6DD6DCE7"/>
    <w:multiLevelType w:val="singleLevel"/>
    <w:tmpl w:val="6DD6DCE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zIzYWZhMjZjZDJkMmExNWQ2YjIzZjg4YWY0N2QifQ=="/>
  </w:docVars>
  <w:rsids>
    <w:rsidRoot w:val="00000000"/>
    <w:rsid w:val="00BF1F7E"/>
    <w:rsid w:val="07740BAF"/>
    <w:rsid w:val="08CE1392"/>
    <w:rsid w:val="0A30013D"/>
    <w:rsid w:val="0B0577DC"/>
    <w:rsid w:val="0BEB340A"/>
    <w:rsid w:val="0E544E57"/>
    <w:rsid w:val="10EF574B"/>
    <w:rsid w:val="12AA1814"/>
    <w:rsid w:val="16C8035E"/>
    <w:rsid w:val="16DC3E4F"/>
    <w:rsid w:val="16EE1BB5"/>
    <w:rsid w:val="17BF8044"/>
    <w:rsid w:val="17EB6307"/>
    <w:rsid w:val="1D3F35B6"/>
    <w:rsid w:val="1EE86877"/>
    <w:rsid w:val="1FEF6DF1"/>
    <w:rsid w:val="23B02B18"/>
    <w:rsid w:val="23C969CE"/>
    <w:rsid w:val="25F82554"/>
    <w:rsid w:val="268070C2"/>
    <w:rsid w:val="281025A5"/>
    <w:rsid w:val="285E30F8"/>
    <w:rsid w:val="2A6F4508"/>
    <w:rsid w:val="2DD445FD"/>
    <w:rsid w:val="2DF19F89"/>
    <w:rsid w:val="2EDD3879"/>
    <w:rsid w:val="3041038A"/>
    <w:rsid w:val="36FB9C50"/>
    <w:rsid w:val="39B0341A"/>
    <w:rsid w:val="3A7FCCE5"/>
    <w:rsid w:val="3CE27966"/>
    <w:rsid w:val="3E373D77"/>
    <w:rsid w:val="3E5C593D"/>
    <w:rsid w:val="41A03D74"/>
    <w:rsid w:val="423D5A66"/>
    <w:rsid w:val="47564A3F"/>
    <w:rsid w:val="48410841"/>
    <w:rsid w:val="4AEC7B3E"/>
    <w:rsid w:val="4DE764A5"/>
    <w:rsid w:val="50E13F2A"/>
    <w:rsid w:val="518912A0"/>
    <w:rsid w:val="51EA20C4"/>
    <w:rsid w:val="53C2277C"/>
    <w:rsid w:val="53D55AFF"/>
    <w:rsid w:val="571E76EE"/>
    <w:rsid w:val="5A2A7623"/>
    <w:rsid w:val="5BC99C66"/>
    <w:rsid w:val="5CF74D74"/>
    <w:rsid w:val="5DB4040F"/>
    <w:rsid w:val="608B60E3"/>
    <w:rsid w:val="62332162"/>
    <w:rsid w:val="62BD432E"/>
    <w:rsid w:val="62BD7466"/>
    <w:rsid w:val="632A3916"/>
    <w:rsid w:val="63473BF7"/>
    <w:rsid w:val="635655AC"/>
    <w:rsid w:val="66833198"/>
    <w:rsid w:val="6ABB2000"/>
    <w:rsid w:val="6BDEBE1A"/>
    <w:rsid w:val="6D62736B"/>
    <w:rsid w:val="6D9565B3"/>
    <w:rsid w:val="6DA560EA"/>
    <w:rsid w:val="721042A2"/>
    <w:rsid w:val="725400DF"/>
    <w:rsid w:val="755A63CE"/>
    <w:rsid w:val="76203748"/>
    <w:rsid w:val="77C704C0"/>
    <w:rsid w:val="78850FF2"/>
    <w:rsid w:val="7A2125C0"/>
    <w:rsid w:val="7BEB87E6"/>
    <w:rsid w:val="7BFFCBF5"/>
    <w:rsid w:val="7C80044E"/>
    <w:rsid w:val="7DDD62F2"/>
    <w:rsid w:val="7E4DE53C"/>
    <w:rsid w:val="7E7933A7"/>
    <w:rsid w:val="7F141322"/>
    <w:rsid w:val="7F61CF44"/>
    <w:rsid w:val="7F6B69A7"/>
    <w:rsid w:val="7F6F8319"/>
    <w:rsid w:val="7FBBDEDE"/>
    <w:rsid w:val="7FFF55DA"/>
    <w:rsid w:val="BDFF917B"/>
    <w:rsid w:val="BF53987E"/>
    <w:rsid w:val="BF7F21DD"/>
    <w:rsid w:val="BFF74EF9"/>
    <w:rsid w:val="CFDFDD3E"/>
    <w:rsid w:val="D67FE873"/>
    <w:rsid w:val="D7F10C79"/>
    <w:rsid w:val="DF762CBC"/>
    <w:rsid w:val="E77F6DA9"/>
    <w:rsid w:val="EBDF42C7"/>
    <w:rsid w:val="ED876619"/>
    <w:rsid w:val="F5E752FC"/>
    <w:rsid w:val="F7BD3FE1"/>
    <w:rsid w:val="F7FF55F8"/>
    <w:rsid w:val="F7FF6009"/>
    <w:rsid w:val="F9C05BEB"/>
    <w:rsid w:val="F9EF3310"/>
    <w:rsid w:val="FAB79177"/>
    <w:rsid w:val="FC7D609D"/>
    <w:rsid w:val="FEBF4683"/>
    <w:rsid w:val="FFAE5DD6"/>
    <w:rsid w:val="FFEF7E56"/>
    <w:rsid w:val="FFF7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华文中宋"/>
      <w:b/>
      <w:bCs/>
      <w:spacing w:val="-6"/>
      <w:sz w:val="44"/>
    </w:rPr>
  </w:style>
  <w:style w:type="paragraph" w:styleId="3">
    <w:name w:val="toc 5"/>
    <w:next w:val="1"/>
    <w:qFormat/>
    <w:uiPriority w:val="0"/>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99"/>
    <w:pPr>
      <w:ind w:firstLine="420" w:firstLineChars="200"/>
    </w:pPr>
    <w:rPr>
      <w:rFonts w:ascii="Calibri" w:hAnsi="Calibri" w:eastAsia="宋体" w:cs="Times New Roman"/>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4960</Words>
  <Characters>5212</Characters>
  <Lines>0</Lines>
  <Paragraphs>0</Paragraphs>
  <TotalTime>88</TotalTime>
  <ScaleCrop>false</ScaleCrop>
  <LinksUpToDate>false</LinksUpToDate>
  <CharactersWithSpaces>5303</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qwe123</cp:lastModifiedBy>
  <cp:lastPrinted>2025-04-03T03:18:00Z</cp:lastPrinted>
  <dcterms:modified xsi:type="dcterms:W3CDTF">2025-09-29T10:07:52Z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7DE30DF729DC44E5AD1F474FB1A88333</vt:lpwstr>
  </property>
</Properties>
</file>