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F5F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交通运输</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27D7A7CB">
      <w:pPr>
        <w:spacing w:line="360" w:lineRule="exact"/>
        <w:jc w:val="center"/>
        <w:rPr>
          <w:rFonts w:hint="default" w:ascii="Times New Roman" w:hAnsi="Times New Roman" w:eastAsia="楷体" w:cs="Times New Roman"/>
          <w:b/>
          <w:bCs/>
          <w:kern w:val="2"/>
          <w:sz w:val="28"/>
          <w:szCs w:val="28"/>
          <w:lang w:val="en-US" w:eastAsia="zh-CN" w:bidi="ar-SA"/>
        </w:rPr>
      </w:pPr>
    </w:p>
    <w:tbl>
      <w:tblPr>
        <w:tblStyle w:val="3"/>
        <w:tblW w:w="4956"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
        <w:gridCol w:w="1253"/>
        <w:gridCol w:w="1194"/>
        <w:gridCol w:w="1795"/>
        <w:gridCol w:w="3483"/>
        <w:gridCol w:w="1096"/>
        <w:gridCol w:w="2855"/>
        <w:gridCol w:w="1532"/>
      </w:tblGrid>
      <w:tr w14:paraId="2FD0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tblHeader/>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34A4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712ED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60F8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E240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4FFDA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2990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53F44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B138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13A0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058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EFE88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EB87A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55E18C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10010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4B825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1A223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01035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安全法规股</w:t>
            </w:r>
          </w:p>
        </w:tc>
      </w:tr>
      <w:tr w14:paraId="03CE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768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E159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022E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ADBB2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069F0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4FAF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77C635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266E6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安全法规股</w:t>
            </w:r>
          </w:p>
        </w:tc>
      </w:tr>
      <w:tr w14:paraId="25C7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ADC2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1FAC0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89CCD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4F8158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230E5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19774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BE64E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A10E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AEE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6A0E3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6226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8FE78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E3B7A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90F2A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23A53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130ABC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6C78E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818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054AF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653E80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4066D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交通运输领域规划计划</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572453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涉及交通运输业务职能的中长期计划、年度工作计划信息、计划执行情况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3C0CC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755D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1A9DE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68B05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工程股、县公路建设养护中心</w:t>
            </w:r>
          </w:p>
        </w:tc>
      </w:tr>
      <w:tr w14:paraId="675E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8"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6E4E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1D59A4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3A1B3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交通运输领域政务服务事项信息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2DED69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交通运输领域办理行政许可和其他对外管理服务事项目录，行使事项的依据、条件、程序以及办理结果</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600C6E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B6FF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C7FE8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43B9D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安全法规股、县道路运输服务中心</w:t>
            </w:r>
          </w:p>
        </w:tc>
      </w:tr>
      <w:tr w14:paraId="6CA0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0EE9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3C1E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BCD3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交通运输领域行政处罚信息</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7FB1B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交通运输领域实施行政处罚的依据、条件、程序以及本行政机关认为具有一定社会影响的行政处罚决定</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16588C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9B38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40E205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B7025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安全法规股、县交通运输综合行政执法大队</w:t>
            </w:r>
          </w:p>
        </w:tc>
      </w:tr>
      <w:tr w14:paraId="3B04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77DCD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9703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76382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87258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48B20F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5F8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627FD3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C529A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6C5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6"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822B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22AD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60DE4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6DFA7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47741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0667A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79EE6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653C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BAB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C56F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109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3D914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41A519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按要求将项目支出绩效评价结果编入预算并公开      </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6E1C5A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DC86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11BE7E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33A2E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808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78C5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FC16A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C3DB0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A6A19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27DE1D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3E2A1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5F04F9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242A07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安全法规股</w:t>
            </w:r>
          </w:p>
        </w:tc>
      </w:tr>
      <w:tr w14:paraId="314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4"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94F3CC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1FE8B4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EB6AD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77FC04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2780DD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51A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2B091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2439C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668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5"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BD95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A8551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D31DB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交通运输领域重大建设项目的批准和实施情况</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5A392D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交通运输领域重大建设项目名称、审批、核准、备案和批准结果信息，实施过程、结果和社会效果等信息</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2C50AE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86F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6EB77F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3DC55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工程股</w:t>
            </w:r>
          </w:p>
        </w:tc>
      </w:tr>
      <w:tr w14:paraId="56B5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81"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4568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E2F31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02C6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7DB670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交通运输领域突发公共事件应急预案，发布的预警信息和事件应对情况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47E129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64AF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6746F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07953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安全法规股</w:t>
            </w:r>
          </w:p>
        </w:tc>
      </w:tr>
      <w:tr w14:paraId="2753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8"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4D7A4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AA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0E3A1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550E6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4570A2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DBAF5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7A2DE5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88B0D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BDC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B6D8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E02C4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6AEC37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A5D2B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74A94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54E7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FA20A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401BF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218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303F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822E7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C903A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38EFF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2604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646A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72114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A788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BD3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0876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2A84C6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745E0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3D1DE8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020114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836F9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539037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54C0D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6A0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4FB2A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56D4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21EC8A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道路运输</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07C12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客运市场供求状况；道路运输举报渠道；道路运输及其相关业务经营者和从业人员的违法行为</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56E8D8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《中华人民共和国道路运输条例》（国务院令第406号）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4DE4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148A09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2C2B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运输股、县道路运输服务中心</w:t>
            </w:r>
          </w:p>
        </w:tc>
      </w:tr>
      <w:tr w14:paraId="52F2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791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BE4F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2A4EF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旅客运输</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27427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客运运力投放、客运线路布局、主要客流流向和流量等情况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1051E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《道路旅客运输及客运站管理规定》（交通运输部令2020年第17号）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E5D87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6572C3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A2A9D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运输股、县道路运输服务中心</w:t>
            </w:r>
          </w:p>
        </w:tc>
      </w:tr>
      <w:tr w14:paraId="13B1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8BB5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7EF1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EDECA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公路水运工程质量检测管理</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3C0F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公路水运工程质量检测机构和检测人员的从业行为信用管理</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DF0D6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《公路水运工程质量检测管理办法》（交通运输部令2023年第9号）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EE35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63DB1B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50355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工程股、县水运事务中心</w:t>
            </w:r>
          </w:p>
        </w:tc>
      </w:tr>
      <w:tr w14:paraId="08DA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843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47E2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541BC1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公路施工企业信用评价</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1F94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高速公路、普通国省道及其他由省交通运输厅明确纳入省级评价对象的项目从业施工企业信用评价结果</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433F8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《湖南省交通运输厅关于印发&lt;湖南省公路施工企业信用评价实施细则&gt;的通知》(湘交基建规〔2020〕10号)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8BB8B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06A633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6C80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工程股</w:t>
            </w:r>
          </w:p>
        </w:tc>
      </w:tr>
      <w:tr w14:paraId="3262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23A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bookmarkStart w:id="0" w:name="_GoBack"/>
            <w:bookmarkEnd w:id="0"/>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B48A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02E8D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3EDB4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涉及交通运输系统牵头的“高效办成一件事”办理标准化工作规程和办事指南</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667810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1FF4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28E1AA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AD10D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安全法规股</w:t>
            </w:r>
          </w:p>
        </w:tc>
      </w:tr>
      <w:tr w14:paraId="23C1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2AAE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45" w:type="pct"/>
            <w:vMerge w:val="restart"/>
            <w:tcBorders>
              <w:top w:val="single" w:color="000000" w:sz="4" w:space="0"/>
              <w:left w:val="nil"/>
              <w:bottom w:val="single" w:color="000000" w:sz="4" w:space="0"/>
              <w:right w:val="single" w:color="000000" w:sz="4" w:space="0"/>
            </w:tcBorders>
            <w:noWrap w:val="0"/>
            <w:vAlign w:val="center"/>
          </w:tcPr>
          <w:p w14:paraId="22F0CF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BACB7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5104AB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2B426A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889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266088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7D111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16E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8C8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14:paraId="50C1A96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4A2282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F1D72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1AB635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B079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524DC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449B65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6BC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72EF4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14:paraId="54D1C37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16272D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1EF4BD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23915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063EC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338881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1165F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2B6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40" w:hRule="atLeast"/>
        </w:trPr>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F7B1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45" w:type="pct"/>
            <w:vMerge w:val="continue"/>
            <w:tcBorders>
              <w:top w:val="single" w:color="000000" w:sz="4" w:space="0"/>
              <w:left w:val="nil"/>
              <w:bottom w:val="single" w:color="000000" w:sz="4" w:space="0"/>
              <w:right w:val="single" w:color="000000" w:sz="4" w:space="0"/>
            </w:tcBorders>
            <w:noWrap w:val="0"/>
            <w:vAlign w:val="center"/>
          </w:tcPr>
          <w:p w14:paraId="3B2639D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096F7B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08784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0AE3D3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8196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1971B4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3960A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D7C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249B0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0B24AF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24" w:type="pct"/>
            <w:tcBorders>
              <w:top w:val="single" w:color="000000" w:sz="4" w:space="0"/>
              <w:left w:val="single" w:color="000000" w:sz="4" w:space="0"/>
              <w:bottom w:val="single" w:color="000000" w:sz="4" w:space="0"/>
              <w:right w:val="single" w:color="000000" w:sz="4" w:space="0"/>
            </w:tcBorders>
            <w:noWrap w:val="0"/>
            <w:vAlign w:val="center"/>
          </w:tcPr>
          <w:p w14:paraId="39B3E9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14:paraId="629D36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14:paraId="37337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5B85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14:paraId="5F3D3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467B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bl>
    <w:p w14:paraId="48B0215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35A82"/>
    <w:rsid w:val="194E9E42"/>
    <w:rsid w:val="1E957D7A"/>
    <w:rsid w:val="285160D4"/>
    <w:rsid w:val="48F80E73"/>
    <w:rsid w:val="7DDF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3928</Words>
  <Characters>4063</Characters>
  <Lines>0</Lines>
  <Paragraphs>0</Paragraphs>
  <TotalTime>9</TotalTime>
  <ScaleCrop>false</ScaleCrop>
  <LinksUpToDate>false</LinksUpToDate>
  <CharactersWithSpaces>4072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Administrator</dc:creator>
  <cp:lastModifiedBy>李柤辛</cp:lastModifiedBy>
  <dcterms:modified xsi:type="dcterms:W3CDTF">2025-12-29T03:43:00Z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B29E06DBC98B49B48FDEF5BE9368BF68_12</vt:lpwstr>
  </property>
</Properties>
</file>