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F1C57">
      <w:pPr>
        <w:ind w:firstLine="600"/>
        <w:rPr>
          <w:rFonts w:ascii="Times New Roman" w:hAnsi="Times New Roman"/>
          <w:shd w:val="clear" w:color="auto" w:fill="FCFDFF"/>
        </w:rPr>
      </w:pPr>
      <w:bookmarkStart w:id="0" w:name="_Toc437078628"/>
      <w:bookmarkEnd w:id="0"/>
      <w:bookmarkStart w:id="1" w:name="_Toc1571"/>
      <w:bookmarkStart w:id="2" w:name="_Toc31547"/>
      <w:bookmarkStart w:id="3" w:name="_Toc24975"/>
    </w:p>
    <w:p w14:paraId="2EF93E28">
      <w:pPr>
        <w:ind w:firstLine="600"/>
        <w:rPr>
          <w:rFonts w:ascii="Times New Roman" w:hAnsi="Times New Roman"/>
          <w:shd w:val="clear" w:color="auto" w:fill="FCFDFF"/>
        </w:rPr>
      </w:pPr>
    </w:p>
    <w:p w14:paraId="303431B5">
      <w:pPr>
        <w:spacing w:line="480" w:lineRule="auto"/>
        <w:ind w:firstLine="600"/>
        <w:rPr>
          <w:rFonts w:ascii="Times New Roman" w:hAnsi="Times New Roman"/>
        </w:rPr>
      </w:pPr>
    </w:p>
    <w:bookmarkEnd w:id="1"/>
    <w:bookmarkEnd w:id="2"/>
    <w:bookmarkEnd w:id="3"/>
    <w:p w14:paraId="7AF40FC0">
      <w:pPr>
        <w:spacing w:line="480" w:lineRule="auto"/>
        <w:ind w:firstLine="0" w:firstLineChars="0"/>
        <w:jc w:val="center"/>
        <w:rPr>
          <w:rFonts w:ascii="黑体" w:hAnsi="黑体" w:eastAsia="黑体" w:cs="黑体"/>
          <w:b/>
          <w:sz w:val="44"/>
          <w:szCs w:val="44"/>
        </w:rPr>
      </w:pPr>
      <w:bookmarkStart w:id="4" w:name="_Toc3449"/>
      <w:bookmarkStart w:id="5" w:name="_Toc18005"/>
      <w:bookmarkStart w:id="6" w:name="_Toc16703"/>
      <w:r>
        <w:rPr>
          <w:rFonts w:hint="eastAsia" w:ascii="方正小标宋简体" w:hAnsi="方正小标宋简体" w:eastAsia="方正小标宋简体" w:cs="方正小标宋简体"/>
          <w:b/>
          <w:sz w:val="44"/>
          <w:szCs w:val="44"/>
        </w:rPr>
        <w:t xml:space="preserve">    </w:t>
      </w:r>
      <w:r>
        <w:rPr>
          <w:rFonts w:hint="eastAsia" w:ascii="黑体" w:hAnsi="黑体" w:eastAsia="黑体" w:cs="黑体"/>
          <w:b/>
          <w:sz w:val="44"/>
          <w:szCs w:val="44"/>
        </w:rPr>
        <w:t>绥宁县“十四五”民政事业发展规划</w:t>
      </w:r>
    </w:p>
    <w:bookmarkEnd w:id="4"/>
    <w:bookmarkEnd w:id="5"/>
    <w:bookmarkEnd w:id="6"/>
    <w:p w14:paraId="3E8687BD">
      <w:pPr>
        <w:spacing w:line="480" w:lineRule="auto"/>
        <w:ind w:firstLine="883"/>
        <w:jc w:val="center"/>
        <w:rPr>
          <w:rFonts w:ascii="黑体" w:hAnsi="黑体" w:eastAsia="黑体" w:cs="黑体"/>
          <w:b/>
          <w:sz w:val="44"/>
          <w:szCs w:val="44"/>
        </w:rPr>
      </w:pPr>
      <w:r>
        <w:rPr>
          <w:rFonts w:hint="eastAsia" w:ascii="黑体" w:hAnsi="黑体" w:eastAsia="黑体" w:cs="黑体"/>
          <w:b/>
          <w:sz w:val="44"/>
          <w:szCs w:val="44"/>
        </w:rPr>
        <w:t>（2021—2025）</w:t>
      </w:r>
    </w:p>
    <w:p w14:paraId="6D797412">
      <w:pPr>
        <w:spacing w:line="480" w:lineRule="auto"/>
        <w:ind w:firstLine="600"/>
        <w:rPr>
          <w:rFonts w:ascii="Times New Roman" w:hAnsi="Times New Roman"/>
        </w:rPr>
      </w:pPr>
    </w:p>
    <w:p w14:paraId="62002545">
      <w:pPr>
        <w:ind w:firstLine="643"/>
        <w:jc w:val="center"/>
        <w:rPr>
          <w:rFonts w:ascii="Times New Roman" w:hAnsi="Times New Roman"/>
          <w:b/>
          <w:sz w:val="32"/>
          <w:szCs w:val="32"/>
        </w:rPr>
      </w:pPr>
    </w:p>
    <w:p w14:paraId="053448BC">
      <w:pPr>
        <w:ind w:firstLine="600"/>
        <w:rPr>
          <w:rFonts w:ascii="Times New Roman" w:hAnsi="Times New Roman"/>
          <w:szCs w:val="28"/>
        </w:rPr>
      </w:pPr>
    </w:p>
    <w:p w14:paraId="73AC1B52">
      <w:pPr>
        <w:ind w:firstLine="600"/>
        <w:rPr>
          <w:rFonts w:ascii="Times New Roman" w:hAnsi="Times New Roman"/>
          <w:szCs w:val="28"/>
        </w:rPr>
      </w:pPr>
    </w:p>
    <w:p w14:paraId="6B9CDFAC">
      <w:pPr>
        <w:ind w:firstLine="600"/>
        <w:rPr>
          <w:rFonts w:ascii="Times New Roman" w:hAnsi="Times New Roman"/>
          <w:szCs w:val="28"/>
        </w:rPr>
      </w:pPr>
    </w:p>
    <w:p w14:paraId="428AA7AD">
      <w:pPr>
        <w:ind w:firstLine="600"/>
        <w:rPr>
          <w:rFonts w:ascii="Times New Roman" w:hAnsi="Times New Roman"/>
          <w:szCs w:val="28"/>
        </w:rPr>
      </w:pPr>
    </w:p>
    <w:p w14:paraId="2C856C9A">
      <w:pPr>
        <w:ind w:firstLine="600"/>
        <w:rPr>
          <w:rFonts w:ascii="Times New Roman" w:hAnsi="Times New Roman"/>
          <w:szCs w:val="28"/>
        </w:rPr>
      </w:pPr>
    </w:p>
    <w:p w14:paraId="3FF3766D">
      <w:pPr>
        <w:ind w:firstLine="600"/>
        <w:rPr>
          <w:rFonts w:ascii="Times New Roman" w:hAnsi="Times New Roman"/>
          <w:szCs w:val="28"/>
        </w:rPr>
      </w:pPr>
    </w:p>
    <w:p w14:paraId="609D3CD5">
      <w:pPr>
        <w:ind w:firstLine="600"/>
        <w:rPr>
          <w:rFonts w:ascii="Times New Roman" w:hAnsi="Times New Roman"/>
          <w:szCs w:val="28"/>
        </w:rPr>
      </w:pPr>
    </w:p>
    <w:p w14:paraId="4E85EEE4">
      <w:pPr>
        <w:ind w:firstLine="600"/>
        <w:rPr>
          <w:rFonts w:ascii="Times New Roman" w:hAnsi="Times New Roman"/>
          <w:szCs w:val="28"/>
        </w:rPr>
      </w:pPr>
    </w:p>
    <w:p w14:paraId="2FD4E371">
      <w:pPr>
        <w:ind w:firstLine="600"/>
        <w:rPr>
          <w:rFonts w:ascii="Times New Roman" w:hAnsi="Times New Roman"/>
          <w:szCs w:val="28"/>
        </w:rPr>
      </w:pPr>
    </w:p>
    <w:p w14:paraId="26B54338">
      <w:pPr>
        <w:ind w:firstLine="600"/>
        <w:rPr>
          <w:rFonts w:ascii="Times New Roman" w:hAnsi="Times New Roman"/>
          <w:szCs w:val="28"/>
        </w:rPr>
      </w:pPr>
    </w:p>
    <w:p w14:paraId="2BD115B9">
      <w:pPr>
        <w:ind w:firstLine="643"/>
        <w:jc w:val="center"/>
        <w:rPr>
          <w:rFonts w:ascii="楷体" w:hAnsi="楷体" w:eastAsia="楷体" w:cs="楷体"/>
          <w:b/>
          <w:sz w:val="32"/>
          <w:szCs w:val="32"/>
        </w:rPr>
      </w:pPr>
      <w:r>
        <w:rPr>
          <w:rFonts w:hint="eastAsia" w:ascii="楷体" w:hAnsi="楷体" w:eastAsia="楷体" w:cs="楷体"/>
          <w:b/>
          <w:sz w:val="32"/>
          <w:szCs w:val="32"/>
        </w:rPr>
        <w:t>绥宁县民政局</w:t>
      </w:r>
    </w:p>
    <w:p w14:paraId="319AD094">
      <w:pPr>
        <w:ind w:firstLine="640"/>
        <w:jc w:val="center"/>
        <w:rPr>
          <w:rFonts w:ascii="楷体" w:hAnsi="楷体" w:eastAsia="楷体" w:cs="楷体"/>
          <w:sz w:val="32"/>
          <w:szCs w:val="32"/>
        </w:rPr>
      </w:pPr>
      <w:r>
        <w:rPr>
          <w:rFonts w:hint="eastAsia" w:ascii="楷体" w:hAnsi="楷体" w:eastAsia="楷体" w:cs="楷体"/>
          <w:sz w:val="32"/>
          <w:szCs w:val="32"/>
        </w:rPr>
        <w:t>2021年2月</w:t>
      </w:r>
    </w:p>
    <w:p w14:paraId="396F7F8F">
      <w:pPr>
        <w:ind w:firstLine="602"/>
        <w:jc w:val="center"/>
        <w:rPr>
          <w:rFonts w:ascii="Times New Roman" w:hAnsi="Times New Roman" w:eastAsia="KaiTi_GB2312"/>
          <w:b/>
          <w:szCs w:val="21"/>
        </w:rPr>
      </w:pPr>
    </w:p>
    <w:p w14:paraId="743F3475">
      <w:pPr>
        <w:ind w:firstLine="723"/>
        <w:jc w:val="center"/>
        <w:rPr>
          <w:rFonts w:ascii="Times New Roman" w:hAnsi="Times New Roman" w:eastAsia="KaiTi_GB2312"/>
          <w:b/>
          <w:sz w:val="36"/>
          <w:szCs w:val="36"/>
        </w:rPr>
      </w:pPr>
    </w:p>
    <w:p w14:paraId="3C175E46">
      <w:pPr>
        <w:ind w:firstLine="0" w:firstLineChars="0"/>
        <w:jc w:val="center"/>
        <w:rPr>
          <w:rFonts w:ascii="Times New Roman" w:hAnsi="Times New Roman" w:eastAsia="KaiTi_GB2312"/>
          <w:b/>
          <w:sz w:val="36"/>
          <w:szCs w:val="36"/>
        </w:rPr>
      </w:pPr>
    </w:p>
    <w:p w14:paraId="6A6CA134">
      <w:pPr>
        <w:ind w:firstLine="0" w:firstLineChars="0"/>
        <w:jc w:val="center"/>
        <w:rPr>
          <w:rFonts w:ascii="Times New Roman" w:hAnsi="Times New Roman" w:eastAsia="KaiTi_GB2312"/>
          <w:b/>
          <w:sz w:val="36"/>
          <w:szCs w:val="36"/>
        </w:rPr>
      </w:pPr>
    </w:p>
    <w:p w14:paraId="0502BDB7">
      <w:pPr>
        <w:ind w:firstLine="0" w:firstLineChars="0"/>
        <w:jc w:val="center"/>
        <w:rPr>
          <w:rFonts w:ascii="Times New Roman" w:hAnsi="Times New Roman" w:eastAsia="KaiTi_GB2312"/>
          <w:b/>
          <w:sz w:val="36"/>
          <w:szCs w:val="36"/>
        </w:rPr>
      </w:pPr>
    </w:p>
    <w:p w14:paraId="071B39AD">
      <w:pPr>
        <w:ind w:firstLine="0" w:firstLineChars="0"/>
        <w:jc w:val="center"/>
        <w:rPr>
          <w:rFonts w:ascii="Times New Roman" w:hAnsi="Times New Roman" w:eastAsia="KaiTi_GB2312"/>
          <w:b/>
          <w:sz w:val="36"/>
          <w:szCs w:val="36"/>
        </w:rPr>
      </w:pPr>
    </w:p>
    <w:p w14:paraId="22FC86DA">
      <w:pPr>
        <w:ind w:firstLine="0" w:firstLineChars="0"/>
        <w:jc w:val="center"/>
        <w:rPr>
          <w:rFonts w:ascii="Times New Roman" w:hAnsi="Times New Roman" w:eastAsia="KaiTi_GB2312"/>
          <w:b/>
          <w:sz w:val="36"/>
          <w:szCs w:val="36"/>
        </w:rPr>
      </w:pPr>
    </w:p>
    <w:p w14:paraId="4749BFF5">
      <w:pPr>
        <w:ind w:firstLine="0" w:firstLineChars="0"/>
        <w:jc w:val="center"/>
        <w:rPr>
          <w:rFonts w:ascii="Times New Roman" w:hAnsi="Times New Roman" w:eastAsia="KaiTi_GB2312"/>
          <w:b/>
          <w:sz w:val="36"/>
          <w:szCs w:val="36"/>
        </w:rPr>
      </w:pPr>
    </w:p>
    <w:p w14:paraId="36DA1C41">
      <w:pPr>
        <w:ind w:firstLine="0" w:firstLineChars="0"/>
        <w:jc w:val="center"/>
        <w:rPr>
          <w:rFonts w:ascii="Times New Roman" w:hAnsi="Times New Roman" w:eastAsia="KaiTi_GB2312"/>
          <w:b/>
          <w:sz w:val="36"/>
          <w:szCs w:val="36"/>
        </w:rPr>
      </w:pPr>
    </w:p>
    <w:p w14:paraId="0C9A6A21">
      <w:pPr>
        <w:ind w:firstLine="0" w:firstLineChars="0"/>
        <w:jc w:val="center"/>
        <w:rPr>
          <w:rFonts w:ascii="Times New Roman" w:hAnsi="Times New Roman" w:eastAsia="KaiTi_GB2312"/>
          <w:b/>
          <w:sz w:val="36"/>
          <w:szCs w:val="36"/>
        </w:rPr>
      </w:pPr>
    </w:p>
    <w:p w14:paraId="120D70BB">
      <w:pPr>
        <w:ind w:firstLine="0" w:firstLineChars="0"/>
        <w:jc w:val="center"/>
        <w:rPr>
          <w:rFonts w:ascii="Times New Roman" w:hAnsi="Times New Roman" w:eastAsia="KaiTi_GB2312"/>
          <w:b/>
          <w:sz w:val="36"/>
          <w:szCs w:val="36"/>
        </w:rPr>
      </w:pPr>
    </w:p>
    <w:p w14:paraId="038E7F87">
      <w:pPr>
        <w:ind w:firstLine="0" w:firstLineChars="0"/>
        <w:jc w:val="center"/>
        <w:rPr>
          <w:rFonts w:ascii="Times New Roman" w:hAnsi="Times New Roman" w:eastAsia="KaiTi_GB2312"/>
          <w:b/>
          <w:sz w:val="36"/>
          <w:szCs w:val="36"/>
        </w:rPr>
      </w:pPr>
    </w:p>
    <w:p w14:paraId="5E284CFD">
      <w:pPr>
        <w:ind w:firstLine="0" w:firstLineChars="0"/>
        <w:jc w:val="center"/>
        <w:rPr>
          <w:rFonts w:ascii="Times New Roman" w:hAnsi="Times New Roman" w:eastAsia="KaiTi_GB2312"/>
          <w:b/>
          <w:sz w:val="36"/>
          <w:szCs w:val="36"/>
        </w:rPr>
      </w:pPr>
    </w:p>
    <w:p w14:paraId="416BC230">
      <w:pPr>
        <w:ind w:firstLine="0" w:firstLineChars="0"/>
        <w:jc w:val="center"/>
        <w:rPr>
          <w:rFonts w:ascii="Times New Roman" w:hAnsi="Times New Roman" w:eastAsia="KaiTi_GB2312"/>
          <w:b/>
          <w:sz w:val="36"/>
          <w:szCs w:val="36"/>
        </w:rPr>
      </w:pPr>
    </w:p>
    <w:p w14:paraId="34444A1A">
      <w:pPr>
        <w:ind w:firstLine="0" w:firstLineChars="0"/>
        <w:jc w:val="center"/>
        <w:rPr>
          <w:rFonts w:ascii="Times New Roman" w:hAnsi="Times New Roman" w:eastAsia="KaiTi_GB2312"/>
          <w:b/>
          <w:sz w:val="36"/>
          <w:szCs w:val="36"/>
        </w:rPr>
      </w:pPr>
    </w:p>
    <w:p w14:paraId="461EDBC1">
      <w:pPr>
        <w:ind w:firstLine="0" w:firstLineChars="0"/>
        <w:jc w:val="center"/>
        <w:rPr>
          <w:rFonts w:ascii="Times New Roman" w:hAnsi="Times New Roman" w:eastAsia="KaiTi_GB2312"/>
          <w:b/>
          <w:sz w:val="36"/>
          <w:szCs w:val="36"/>
        </w:rPr>
      </w:pPr>
    </w:p>
    <w:p w14:paraId="3DFEA6FB">
      <w:pPr>
        <w:ind w:firstLine="0" w:firstLineChars="0"/>
        <w:jc w:val="center"/>
        <w:rPr>
          <w:rFonts w:ascii="Times New Roman" w:hAnsi="Times New Roman" w:eastAsia="KaiTi_GB2312"/>
          <w:b/>
          <w:sz w:val="36"/>
          <w:szCs w:val="36"/>
        </w:rPr>
      </w:pPr>
    </w:p>
    <w:p w14:paraId="5F4033FE">
      <w:pPr>
        <w:ind w:firstLine="0" w:firstLineChars="0"/>
        <w:jc w:val="center"/>
        <w:rPr>
          <w:rFonts w:ascii="Times New Roman" w:hAnsi="Times New Roman" w:eastAsia="KaiTi_GB2312"/>
          <w:b/>
          <w:sz w:val="36"/>
          <w:szCs w:val="36"/>
        </w:rPr>
      </w:pPr>
    </w:p>
    <w:p w14:paraId="4270B2B2">
      <w:pPr>
        <w:ind w:firstLine="0" w:firstLineChars="0"/>
        <w:jc w:val="center"/>
        <w:rPr>
          <w:rFonts w:ascii="Times New Roman" w:hAnsi="Times New Roman" w:eastAsia="KaiTi_GB2312"/>
          <w:b/>
          <w:sz w:val="36"/>
          <w:szCs w:val="36"/>
        </w:rPr>
      </w:pPr>
    </w:p>
    <w:p w14:paraId="03DE3E4E">
      <w:pPr>
        <w:ind w:firstLine="0" w:firstLineChars="0"/>
        <w:jc w:val="center"/>
        <w:rPr>
          <w:rFonts w:ascii="Times New Roman" w:hAnsi="Times New Roman" w:eastAsia="KaiTi_GB2312"/>
          <w:b/>
          <w:sz w:val="36"/>
          <w:szCs w:val="36"/>
        </w:rPr>
      </w:pPr>
    </w:p>
    <w:p w14:paraId="2EB193F9">
      <w:pPr>
        <w:ind w:firstLine="0" w:firstLineChars="0"/>
        <w:jc w:val="center"/>
        <w:rPr>
          <w:rFonts w:ascii="Times New Roman" w:hAnsi="Times New Roman" w:eastAsia="KaiTi_GB2312"/>
          <w:b/>
          <w:sz w:val="36"/>
          <w:szCs w:val="36"/>
        </w:rPr>
      </w:pPr>
    </w:p>
    <w:p w14:paraId="1C6DCF37">
      <w:pPr>
        <w:ind w:firstLine="0" w:firstLineChars="0"/>
        <w:jc w:val="center"/>
        <w:rPr>
          <w:rFonts w:ascii="Times New Roman" w:hAnsi="Times New Roman" w:eastAsia="KaiTi_GB2312"/>
          <w:b/>
          <w:sz w:val="36"/>
          <w:szCs w:val="36"/>
        </w:rPr>
      </w:pPr>
    </w:p>
    <w:p w14:paraId="0CEEFAB4">
      <w:pPr>
        <w:pStyle w:val="2"/>
        <w:ind w:left="600"/>
        <w:rPr>
          <w:rFonts w:hint="eastAsia"/>
        </w:rPr>
      </w:pPr>
    </w:p>
    <w:p w14:paraId="53B3A86D">
      <w:pPr>
        <w:ind w:firstLine="0" w:firstLineChars="0"/>
        <w:jc w:val="center"/>
        <w:rPr>
          <w:rFonts w:ascii="Times New Roman" w:hAnsi="Times New Roman" w:eastAsia="KaiTi_GB2312"/>
          <w:b/>
          <w:sz w:val="36"/>
          <w:szCs w:val="36"/>
        </w:rPr>
      </w:pPr>
    </w:p>
    <w:p w14:paraId="27D028F1">
      <w:pPr>
        <w:ind w:firstLine="0" w:firstLineChars="0"/>
        <w:jc w:val="center"/>
        <w:rPr>
          <w:rFonts w:ascii="Times New Roman" w:hAnsi="Times New Roman" w:eastAsia="KaiTi_GB2312"/>
          <w:b/>
          <w:sz w:val="36"/>
          <w:szCs w:val="36"/>
        </w:rPr>
      </w:pPr>
    </w:p>
    <w:p w14:paraId="4866C58B">
      <w:pPr>
        <w:ind w:firstLine="0" w:firstLineChars="0"/>
        <w:jc w:val="center"/>
        <w:rPr>
          <w:rFonts w:ascii="Times New Roman" w:hAnsi="Times New Roman" w:eastAsia="KaiTi_GB2312"/>
          <w:b/>
          <w:sz w:val="36"/>
          <w:szCs w:val="36"/>
        </w:rPr>
      </w:pPr>
      <w:r>
        <w:rPr>
          <w:rFonts w:ascii="Times New Roman" w:hAnsi="Times New Roman" w:eastAsia="KaiTi_GB2312"/>
          <w:b/>
          <w:sz w:val="36"/>
          <w:szCs w:val="36"/>
        </w:rPr>
        <w:t>目</w:t>
      </w:r>
      <w:r>
        <w:rPr>
          <w:rFonts w:hint="eastAsia" w:ascii="Times New Roman" w:hAnsi="Times New Roman" w:eastAsia="KaiTi_GB2312"/>
          <w:b/>
          <w:sz w:val="36"/>
          <w:szCs w:val="36"/>
        </w:rPr>
        <w:t xml:space="preserve">  </w:t>
      </w:r>
      <w:r>
        <w:rPr>
          <w:rFonts w:ascii="Times New Roman" w:hAnsi="Times New Roman" w:eastAsia="KaiTi_GB2312"/>
          <w:b/>
          <w:sz w:val="36"/>
          <w:szCs w:val="36"/>
        </w:rPr>
        <w:t>录</w:t>
      </w:r>
    </w:p>
    <w:sdt>
      <w:sdtPr>
        <w:rPr>
          <w:rFonts w:ascii="宋体" w:hAnsi="宋体" w:eastAsia="宋体"/>
          <w:sz w:val="21"/>
        </w:rPr>
        <w:id w:val="147472633"/>
        <w:docPartObj>
          <w:docPartGallery w:val="Table of Contents"/>
          <w:docPartUnique/>
        </w:docPartObj>
      </w:sdtPr>
      <w:sdtEndPr>
        <w:rPr>
          <w:rFonts w:ascii="宋体" w:hAnsi="宋体" w:eastAsia="宋体"/>
          <w:sz w:val="21"/>
        </w:rPr>
      </w:sdtEndPr>
      <w:sdtContent>
        <w:p w14:paraId="332E136A">
          <w:pPr>
            <w:ind w:firstLine="0" w:firstLineChars="0"/>
            <w:jc w:val="center"/>
            <w:rPr>
              <w:rFonts w:hint="eastAsia"/>
              <w:sz w:val="28"/>
              <w:szCs w:val="28"/>
            </w:rPr>
          </w:pPr>
        </w:p>
        <w:p w14:paraId="4C60DC4A">
          <w:pPr>
            <w:pStyle w:val="12"/>
            <w:tabs>
              <w:tab w:val="right" w:leader="dot" w:pos="8306"/>
              <w:tab w:val="clear" w:pos="8296"/>
            </w:tabs>
            <w:ind w:left="600"/>
            <w:rPr>
              <w:rFonts w:hint="eastAsia"/>
            </w:rPr>
          </w:pPr>
          <w:r>
            <w:rPr>
              <w:szCs w:val="28"/>
            </w:rPr>
            <w:fldChar w:fldCharType="begin"/>
          </w:r>
          <w:r>
            <w:rPr>
              <w:szCs w:val="28"/>
            </w:rPr>
            <w:instrText xml:space="preserve">TOC \o "1-2" \h \u </w:instrText>
          </w:r>
          <w:r>
            <w:rPr>
              <w:szCs w:val="28"/>
            </w:rPr>
            <w:fldChar w:fldCharType="separate"/>
          </w:r>
          <w:r>
            <w:fldChar w:fldCharType="begin"/>
          </w:r>
          <w:r>
            <w:instrText xml:space="preserve"> HYPERLINK \l "_Toc23133" </w:instrText>
          </w:r>
          <w:r>
            <w:fldChar w:fldCharType="separate"/>
          </w:r>
          <w:r>
            <w:rPr>
              <w:rFonts w:hint="eastAsia" w:ascii="仿宋" w:hAnsi="仿宋" w:eastAsia="仿宋" w:cs="仿宋"/>
              <w:kern w:val="0"/>
              <w:szCs w:val="32"/>
            </w:rPr>
            <w:t>前  言</w:t>
          </w:r>
          <w:r>
            <w:tab/>
          </w:r>
          <w:r>
            <w:fldChar w:fldCharType="begin"/>
          </w:r>
          <w:r>
            <w:instrText xml:space="preserve"> PAGEREF _Toc23133 </w:instrText>
          </w:r>
          <w:r>
            <w:fldChar w:fldCharType="separate"/>
          </w:r>
          <w:r>
            <w:t>4</w:t>
          </w:r>
          <w:r>
            <w:fldChar w:fldCharType="end"/>
          </w:r>
          <w:r>
            <w:fldChar w:fldCharType="end"/>
          </w:r>
        </w:p>
        <w:p w14:paraId="64C462B7">
          <w:pPr>
            <w:pStyle w:val="12"/>
            <w:tabs>
              <w:tab w:val="right" w:leader="dot" w:pos="8306"/>
              <w:tab w:val="clear" w:pos="8296"/>
            </w:tabs>
            <w:ind w:left="600"/>
            <w:rPr>
              <w:rFonts w:hint="eastAsia"/>
            </w:rPr>
          </w:pPr>
          <w:r>
            <w:fldChar w:fldCharType="begin"/>
          </w:r>
          <w:r>
            <w:instrText xml:space="preserve"> HYPERLINK \l "_Toc5058" </w:instrText>
          </w:r>
          <w:r>
            <w:fldChar w:fldCharType="separate"/>
          </w:r>
          <w:r>
            <w:rPr>
              <w:rFonts w:hint="eastAsia" w:ascii="黑体" w:hAnsi="黑体" w:eastAsia="黑体" w:cs="黑体"/>
              <w:kern w:val="0"/>
              <w:szCs w:val="32"/>
            </w:rPr>
            <w:t>第一章 发展基础</w:t>
          </w:r>
          <w:r>
            <w:tab/>
          </w:r>
          <w:r>
            <w:fldChar w:fldCharType="begin"/>
          </w:r>
          <w:r>
            <w:instrText xml:space="preserve"> PAGEREF _Toc5058 </w:instrText>
          </w:r>
          <w:r>
            <w:fldChar w:fldCharType="separate"/>
          </w:r>
          <w:r>
            <w:t>5</w:t>
          </w:r>
          <w:r>
            <w:fldChar w:fldCharType="end"/>
          </w:r>
          <w:r>
            <w:fldChar w:fldCharType="end"/>
          </w:r>
        </w:p>
        <w:p w14:paraId="386F1A12">
          <w:pPr>
            <w:pStyle w:val="12"/>
            <w:tabs>
              <w:tab w:val="right" w:leader="dot" w:pos="8306"/>
              <w:tab w:val="clear" w:pos="8296"/>
            </w:tabs>
            <w:ind w:left="600"/>
            <w:rPr>
              <w:rFonts w:hint="eastAsia"/>
            </w:rPr>
          </w:pPr>
          <w:r>
            <w:fldChar w:fldCharType="begin"/>
          </w:r>
          <w:r>
            <w:instrText xml:space="preserve"> HYPERLINK \l "_Toc29960" </w:instrText>
          </w:r>
          <w:r>
            <w:fldChar w:fldCharType="separate"/>
          </w:r>
          <w:r>
            <w:rPr>
              <w:rFonts w:hint="eastAsia" w:ascii="仿宋" w:hAnsi="仿宋" w:eastAsia="仿宋" w:cs="仿宋"/>
              <w:szCs w:val="28"/>
            </w:rPr>
            <w:t>（一）</w:t>
          </w:r>
          <w:r>
            <w:rPr>
              <w:rFonts w:hint="eastAsia" w:ascii="仿宋" w:hAnsi="仿宋" w:eastAsia="仿宋" w:cs="仿宋"/>
              <w:kern w:val="0"/>
              <w:szCs w:val="32"/>
            </w:rPr>
            <w:t>主要成就</w:t>
          </w:r>
          <w:r>
            <w:tab/>
          </w:r>
          <w:r>
            <w:fldChar w:fldCharType="begin"/>
          </w:r>
          <w:r>
            <w:instrText xml:space="preserve"> PAGEREF _Toc29960 </w:instrText>
          </w:r>
          <w:r>
            <w:fldChar w:fldCharType="separate"/>
          </w:r>
          <w:r>
            <w:t>5</w:t>
          </w:r>
          <w:r>
            <w:fldChar w:fldCharType="end"/>
          </w:r>
          <w:r>
            <w:fldChar w:fldCharType="end"/>
          </w:r>
        </w:p>
        <w:p w14:paraId="579C3C30">
          <w:pPr>
            <w:pStyle w:val="12"/>
            <w:tabs>
              <w:tab w:val="right" w:leader="dot" w:pos="8306"/>
              <w:tab w:val="clear" w:pos="8296"/>
            </w:tabs>
            <w:ind w:left="600"/>
            <w:rPr>
              <w:rFonts w:hint="eastAsia"/>
            </w:rPr>
          </w:pPr>
          <w:r>
            <w:fldChar w:fldCharType="begin"/>
          </w:r>
          <w:r>
            <w:instrText xml:space="preserve"> HYPERLINK \l "_Toc27592" </w:instrText>
          </w:r>
          <w:r>
            <w:fldChar w:fldCharType="separate"/>
          </w:r>
          <w:r>
            <w:rPr>
              <w:rFonts w:hint="eastAsia" w:ascii="仿宋" w:hAnsi="仿宋" w:eastAsia="仿宋" w:cs="仿宋"/>
              <w:kern w:val="0"/>
              <w:szCs w:val="32"/>
            </w:rPr>
            <w:t>（二）主要经验</w:t>
          </w:r>
          <w:r>
            <w:tab/>
          </w:r>
          <w:r>
            <w:fldChar w:fldCharType="begin"/>
          </w:r>
          <w:r>
            <w:instrText xml:space="preserve"> PAGEREF _Toc27592 </w:instrText>
          </w:r>
          <w:r>
            <w:fldChar w:fldCharType="separate"/>
          </w:r>
          <w:r>
            <w:t>14</w:t>
          </w:r>
          <w:r>
            <w:fldChar w:fldCharType="end"/>
          </w:r>
          <w:r>
            <w:fldChar w:fldCharType="end"/>
          </w:r>
        </w:p>
        <w:p w14:paraId="7C328DBC">
          <w:pPr>
            <w:pStyle w:val="12"/>
            <w:tabs>
              <w:tab w:val="right" w:leader="dot" w:pos="8306"/>
              <w:tab w:val="clear" w:pos="8296"/>
            </w:tabs>
            <w:ind w:left="600"/>
            <w:rPr>
              <w:rFonts w:hint="eastAsia"/>
            </w:rPr>
          </w:pPr>
          <w:r>
            <w:fldChar w:fldCharType="begin"/>
          </w:r>
          <w:r>
            <w:instrText xml:space="preserve"> HYPERLINK \l "_Toc12028" </w:instrText>
          </w:r>
          <w:r>
            <w:fldChar w:fldCharType="separate"/>
          </w:r>
          <w:r>
            <w:rPr>
              <w:rFonts w:hint="eastAsia" w:ascii="黑体" w:hAnsi="黑体" w:eastAsia="黑体" w:cs="黑体"/>
              <w:kern w:val="0"/>
              <w:szCs w:val="32"/>
            </w:rPr>
            <w:t>第二章 “十四五”期间面临的形势</w:t>
          </w:r>
          <w:r>
            <w:tab/>
          </w:r>
          <w:r>
            <w:fldChar w:fldCharType="begin"/>
          </w:r>
          <w:r>
            <w:instrText xml:space="preserve"> PAGEREF _Toc12028 </w:instrText>
          </w:r>
          <w:r>
            <w:fldChar w:fldCharType="separate"/>
          </w:r>
          <w:r>
            <w:t>19</w:t>
          </w:r>
          <w:r>
            <w:fldChar w:fldCharType="end"/>
          </w:r>
          <w:r>
            <w:fldChar w:fldCharType="end"/>
          </w:r>
        </w:p>
        <w:p w14:paraId="0B1A1887">
          <w:pPr>
            <w:pStyle w:val="12"/>
            <w:tabs>
              <w:tab w:val="right" w:leader="dot" w:pos="8306"/>
              <w:tab w:val="clear" w:pos="8296"/>
            </w:tabs>
            <w:ind w:left="600"/>
            <w:rPr>
              <w:rFonts w:hint="eastAsia"/>
            </w:rPr>
          </w:pPr>
          <w:r>
            <w:fldChar w:fldCharType="begin"/>
          </w:r>
          <w:r>
            <w:instrText xml:space="preserve"> HYPERLINK \l "_Toc18806" </w:instrText>
          </w:r>
          <w:r>
            <w:fldChar w:fldCharType="separate"/>
          </w:r>
          <w:r>
            <w:rPr>
              <w:rFonts w:hint="eastAsia" w:ascii="仿宋" w:hAnsi="仿宋" w:eastAsia="仿宋" w:cs="仿宋"/>
              <w:kern w:val="0"/>
              <w:szCs w:val="32"/>
            </w:rPr>
            <w:t>（一）发展的机遇</w:t>
          </w:r>
          <w:r>
            <w:tab/>
          </w:r>
          <w:r>
            <w:fldChar w:fldCharType="begin"/>
          </w:r>
          <w:r>
            <w:instrText xml:space="preserve"> PAGEREF _Toc18806 </w:instrText>
          </w:r>
          <w:r>
            <w:fldChar w:fldCharType="separate"/>
          </w:r>
          <w:r>
            <w:t>19</w:t>
          </w:r>
          <w:r>
            <w:fldChar w:fldCharType="end"/>
          </w:r>
          <w:r>
            <w:fldChar w:fldCharType="end"/>
          </w:r>
        </w:p>
        <w:p w14:paraId="689B3F49">
          <w:pPr>
            <w:pStyle w:val="12"/>
            <w:tabs>
              <w:tab w:val="right" w:leader="dot" w:pos="8306"/>
              <w:tab w:val="clear" w:pos="8296"/>
            </w:tabs>
            <w:ind w:left="600"/>
            <w:rPr>
              <w:rFonts w:hint="eastAsia"/>
            </w:rPr>
          </w:pPr>
          <w:r>
            <w:fldChar w:fldCharType="begin"/>
          </w:r>
          <w:r>
            <w:instrText xml:space="preserve"> HYPERLINK \l "_Toc32377" </w:instrText>
          </w:r>
          <w:r>
            <w:fldChar w:fldCharType="separate"/>
          </w:r>
          <w:r>
            <w:rPr>
              <w:rFonts w:hint="eastAsia" w:ascii="仿宋" w:hAnsi="仿宋" w:eastAsia="仿宋" w:cs="仿宋"/>
              <w:kern w:val="0"/>
              <w:szCs w:val="32"/>
            </w:rPr>
            <w:t>（二）面临的挑战</w:t>
          </w:r>
          <w:r>
            <w:tab/>
          </w:r>
          <w:r>
            <w:fldChar w:fldCharType="begin"/>
          </w:r>
          <w:r>
            <w:instrText xml:space="preserve"> PAGEREF _Toc32377 </w:instrText>
          </w:r>
          <w:r>
            <w:fldChar w:fldCharType="separate"/>
          </w:r>
          <w:r>
            <w:t>23</w:t>
          </w:r>
          <w:r>
            <w:fldChar w:fldCharType="end"/>
          </w:r>
          <w:r>
            <w:fldChar w:fldCharType="end"/>
          </w:r>
        </w:p>
        <w:p w14:paraId="0FE7F5E7">
          <w:pPr>
            <w:pStyle w:val="12"/>
            <w:tabs>
              <w:tab w:val="right" w:leader="dot" w:pos="8306"/>
              <w:tab w:val="clear" w:pos="8296"/>
            </w:tabs>
            <w:ind w:left="600"/>
            <w:rPr>
              <w:rFonts w:hint="eastAsia"/>
            </w:rPr>
          </w:pPr>
          <w:r>
            <w:fldChar w:fldCharType="begin"/>
          </w:r>
          <w:r>
            <w:instrText xml:space="preserve"> HYPERLINK \l "_Toc8" </w:instrText>
          </w:r>
          <w:r>
            <w:fldChar w:fldCharType="separate"/>
          </w:r>
          <w:r>
            <w:rPr>
              <w:rFonts w:hint="eastAsia" w:ascii="仿宋" w:hAnsi="仿宋" w:eastAsia="仿宋" w:cs="仿宋"/>
              <w:kern w:val="0"/>
              <w:szCs w:val="32"/>
            </w:rPr>
            <w:t>第三章 “十四五”发展的基本思路和原则</w:t>
          </w:r>
          <w:r>
            <w:tab/>
          </w:r>
          <w:r>
            <w:fldChar w:fldCharType="begin"/>
          </w:r>
          <w:r>
            <w:instrText xml:space="preserve"> PAGEREF _Toc8 </w:instrText>
          </w:r>
          <w:r>
            <w:fldChar w:fldCharType="separate"/>
          </w:r>
          <w:r>
            <w:t>26</w:t>
          </w:r>
          <w:r>
            <w:fldChar w:fldCharType="end"/>
          </w:r>
          <w:r>
            <w:fldChar w:fldCharType="end"/>
          </w:r>
        </w:p>
        <w:p w14:paraId="2D1D6F01">
          <w:pPr>
            <w:pStyle w:val="12"/>
            <w:tabs>
              <w:tab w:val="right" w:leader="dot" w:pos="8306"/>
              <w:tab w:val="clear" w:pos="8296"/>
            </w:tabs>
            <w:ind w:left="600"/>
            <w:rPr>
              <w:rFonts w:hint="eastAsia"/>
            </w:rPr>
          </w:pPr>
          <w:r>
            <w:fldChar w:fldCharType="begin"/>
          </w:r>
          <w:r>
            <w:instrText xml:space="preserve"> HYPERLINK \l "_Toc20419" </w:instrText>
          </w:r>
          <w:r>
            <w:fldChar w:fldCharType="separate"/>
          </w:r>
          <w:r>
            <w:rPr>
              <w:rFonts w:hint="eastAsia" w:ascii="仿宋" w:hAnsi="仿宋" w:eastAsia="仿宋" w:cs="仿宋"/>
              <w:kern w:val="0"/>
              <w:szCs w:val="32"/>
            </w:rPr>
            <w:t>（一）基本思路</w:t>
          </w:r>
          <w:r>
            <w:tab/>
          </w:r>
          <w:r>
            <w:fldChar w:fldCharType="begin"/>
          </w:r>
          <w:r>
            <w:instrText xml:space="preserve"> PAGEREF _Toc20419 </w:instrText>
          </w:r>
          <w:r>
            <w:fldChar w:fldCharType="separate"/>
          </w:r>
          <w:r>
            <w:t>26</w:t>
          </w:r>
          <w:r>
            <w:fldChar w:fldCharType="end"/>
          </w:r>
          <w:r>
            <w:fldChar w:fldCharType="end"/>
          </w:r>
        </w:p>
        <w:p w14:paraId="737366DD">
          <w:pPr>
            <w:pStyle w:val="12"/>
            <w:tabs>
              <w:tab w:val="right" w:leader="dot" w:pos="8306"/>
              <w:tab w:val="clear" w:pos="8296"/>
            </w:tabs>
            <w:ind w:left="600"/>
            <w:rPr>
              <w:rFonts w:hint="eastAsia"/>
            </w:rPr>
          </w:pPr>
          <w:r>
            <w:fldChar w:fldCharType="begin"/>
          </w:r>
          <w:r>
            <w:instrText xml:space="preserve"> HYPERLINK \l "_Toc202" </w:instrText>
          </w:r>
          <w:r>
            <w:fldChar w:fldCharType="separate"/>
          </w:r>
          <w:r>
            <w:rPr>
              <w:rFonts w:hint="eastAsia" w:ascii="仿宋" w:hAnsi="仿宋" w:eastAsia="仿宋" w:cs="仿宋"/>
              <w:kern w:val="0"/>
              <w:szCs w:val="32"/>
            </w:rPr>
            <w:t>（二）基本原则</w:t>
          </w:r>
          <w:r>
            <w:tab/>
          </w:r>
          <w:r>
            <w:fldChar w:fldCharType="begin"/>
          </w:r>
          <w:r>
            <w:instrText xml:space="preserve"> PAGEREF _Toc202 </w:instrText>
          </w:r>
          <w:r>
            <w:fldChar w:fldCharType="separate"/>
          </w:r>
          <w:r>
            <w:t>27</w:t>
          </w:r>
          <w:r>
            <w:fldChar w:fldCharType="end"/>
          </w:r>
          <w:r>
            <w:fldChar w:fldCharType="end"/>
          </w:r>
        </w:p>
        <w:p w14:paraId="23E24A7B">
          <w:pPr>
            <w:pStyle w:val="12"/>
            <w:tabs>
              <w:tab w:val="right" w:leader="dot" w:pos="8306"/>
              <w:tab w:val="clear" w:pos="8296"/>
            </w:tabs>
            <w:ind w:left="600"/>
            <w:rPr>
              <w:rFonts w:hint="eastAsia"/>
            </w:rPr>
          </w:pPr>
          <w:r>
            <w:fldChar w:fldCharType="begin"/>
          </w:r>
          <w:r>
            <w:instrText xml:space="preserve"> HYPERLINK \l "_Toc29890" </w:instrText>
          </w:r>
          <w:r>
            <w:fldChar w:fldCharType="separate"/>
          </w:r>
          <w:r>
            <w:rPr>
              <w:rFonts w:hint="eastAsia" w:ascii="仿宋" w:hAnsi="仿宋" w:eastAsia="仿宋" w:cs="仿宋"/>
              <w:kern w:val="0"/>
              <w:szCs w:val="32"/>
            </w:rPr>
            <w:t>（三）发展重点</w:t>
          </w:r>
          <w:r>
            <w:tab/>
          </w:r>
          <w:r>
            <w:fldChar w:fldCharType="begin"/>
          </w:r>
          <w:r>
            <w:instrText xml:space="preserve"> PAGEREF _Toc29890 </w:instrText>
          </w:r>
          <w:r>
            <w:fldChar w:fldCharType="separate"/>
          </w:r>
          <w:r>
            <w:t>28</w:t>
          </w:r>
          <w:r>
            <w:fldChar w:fldCharType="end"/>
          </w:r>
          <w:r>
            <w:fldChar w:fldCharType="end"/>
          </w:r>
        </w:p>
        <w:p w14:paraId="1EA07CF4">
          <w:pPr>
            <w:pStyle w:val="12"/>
            <w:tabs>
              <w:tab w:val="right" w:leader="dot" w:pos="8306"/>
              <w:tab w:val="clear" w:pos="8296"/>
            </w:tabs>
            <w:ind w:left="600"/>
            <w:rPr>
              <w:rFonts w:hint="eastAsia"/>
            </w:rPr>
          </w:pPr>
          <w:r>
            <w:fldChar w:fldCharType="begin"/>
          </w:r>
          <w:r>
            <w:instrText xml:space="preserve"> HYPERLINK \l "_Toc3233" </w:instrText>
          </w:r>
          <w:r>
            <w:fldChar w:fldCharType="separate"/>
          </w:r>
          <w:r>
            <w:rPr>
              <w:rFonts w:hint="eastAsia" w:ascii="仿宋" w:hAnsi="仿宋" w:eastAsia="仿宋" w:cs="仿宋"/>
              <w:kern w:val="0"/>
              <w:szCs w:val="32"/>
            </w:rPr>
            <w:t>第四章 “十四五”发展的主要任务</w:t>
          </w:r>
          <w:r>
            <w:tab/>
          </w:r>
          <w:r>
            <w:fldChar w:fldCharType="begin"/>
          </w:r>
          <w:r>
            <w:instrText xml:space="preserve"> PAGEREF _Toc3233 </w:instrText>
          </w:r>
          <w:r>
            <w:fldChar w:fldCharType="separate"/>
          </w:r>
          <w:r>
            <w:t>30</w:t>
          </w:r>
          <w:r>
            <w:fldChar w:fldCharType="end"/>
          </w:r>
          <w:r>
            <w:fldChar w:fldCharType="end"/>
          </w:r>
        </w:p>
        <w:p w14:paraId="7DE2D4F7">
          <w:pPr>
            <w:pStyle w:val="12"/>
            <w:tabs>
              <w:tab w:val="right" w:leader="dot" w:pos="8306"/>
              <w:tab w:val="clear" w:pos="8296"/>
            </w:tabs>
            <w:ind w:left="600"/>
            <w:rPr>
              <w:rFonts w:hint="eastAsia"/>
            </w:rPr>
          </w:pPr>
          <w:r>
            <w:fldChar w:fldCharType="begin"/>
          </w:r>
          <w:r>
            <w:instrText xml:space="preserve"> HYPERLINK \l "_Toc3806" </w:instrText>
          </w:r>
          <w:r>
            <w:fldChar w:fldCharType="separate"/>
          </w:r>
          <w:r>
            <w:rPr>
              <w:rFonts w:hint="eastAsia" w:ascii="仿宋" w:hAnsi="仿宋" w:eastAsia="仿宋" w:cs="仿宋"/>
              <w:kern w:val="0"/>
              <w:szCs w:val="32"/>
            </w:rPr>
            <w:t>（一）城乡社会救助体系建设</w:t>
          </w:r>
          <w:r>
            <w:tab/>
          </w:r>
          <w:r>
            <w:fldChar w:fldCharType="begin"/>
          </w:r>
          <w:r>
            <w:instrText xml:space="preserve"> PAGEREF _Toc3806 </w:instrText>
          </w:r>
          <w:r>
            <w:fldChar w:fldCharType="separate"/>
          </w:r>
          <w:r>
            <w:t>31</w:t>
          </w:r>
          <w:r>
            <w:fldChar w:fldCharType="end"/>
          </w:r>
          <w:r>
            <w:fldChar w:fldCharType="end"/>
          </w:r>
        </w:p>
        <w:p w14:paraId="74373DC2">
          <w:pPr>
            <w:pStyle w:val="12"/>
            <w:tabs>
              <w:tab w:val="right" w:leader="dot" w:pos="8306"/>
              <w:tab w:val="clear" w:pos="8296"/>
            </w:tabs>
            <w:ind w:left="600"/>
            <w:rPr>
              <w:rFonts w:hint="eastAsia"/>
            </w:rPr>
          </w:pPr>
          <w:r>
            <w:fldChar w:fldCharType="begin"/>
          </w:r>
          <w:r>
            <w:instrText xml:space="preserve"> HYPERLINK \l "_Toc31497" </w:instrText>
          </w:r>
          <w:r>
            <w:fldChar w:fldCharType="separate"/>
          </w:r>
          <w:r>
            <w:rPr>
              <w:rFonts w:hint="eastAsia" w:ascii="仿宋" w:hAnsi="仿宋" w:eastAsia="仿宋" w:cs="仿宋"/>
              <w:kern w:val="0"/>
              <w:szCs w:val="32"/>
            </w:rPr>
            <w:t>（二）基层社会治理体系建设</w:t>
          </w:r>
          <w:r>
            <w:tab/>
          </w:r>
          <w:r>
            <w:fldChar w:fldCharType="begin"/>
          </w:r>
          <w:r>
            <w:instrText xml:space="preserve"> PAGEREF _Toc31497 </w:instrText>
          </w:r>
          <w:r>
            <w:fldChar w:fldCharType="separate"/>
          </w:r>
          <w:r>
            <w:t>32</w:t>
          </w:r>
          <w:r>
            <w:fldChar w:fldCharType="end"/>
          </w:r>
          <w:r>
            <w:fldChar w:fldCharType="end"/>
          </w:r>
        </w:p>
        <w:p w14:paraId="5339CD3A">
          <w:pPr>
            <w:pStyle w:val="12"/>
            <w:tabs>
              <w:tab w:val="right" w:leader="dot" w:pos="8306"/>
              <w:tab w:val="clear" w:pos="8296"/>
            </w:tabs>
            <w:ind w:left="600"/>
            <w:rPr>
              <w:rFonts w:hint="eastAsia"/>
            </w:rPr>
          </w:pPr>
          <w:r>
            <w:fldChar w:fldCharType="begin"/>
          </w:r>
          <w:r>
            <w:instrText xml:space="preserve"> HYPERLINK \l "_Toc11405" </w:instrText>
          </w:r>
          <w:r>
            <w:fldChar w:fldCharType="separate"/>
          </w:r>
          <w:r>
            <w:rPr>
              <w:rFonts w:hint="eastAsia" w:ascii="仿宋" w:hAnsi="仿宋" w:eastAsia="仿宋" w:cs="仿宋"/>
              <w:kern w:val="0"/>
              <w:szCs w:val="32"/>
            </w:rPr>
            <w:t>（三）社会养老服务体系建设</w:t>
          </w:r>
          <w:r>
            <w:tab/>
          </w:r>
          <w:r>
            <w:fldChar w:fldCharType="begin"/>
          </w:r>
          <w:r>
            <w:instrText xml:space="preserve"> PAGEREF _Toc11405 </w:instrText>
          </w:r>
          <w:r>
            <w:fldChar w:fldCharType="separate"/>
          </w:r>
          <w:r>
            <w:t>35</w:t>
          </w:r>
          <w:r>
            <w:fldChar w:fldCharType="end"/>
          </w:r>
          <w:r>
            <w:fldChar w:fldCharType="end"/>
          </w:r>
        </w:p>
        <w:p w14:paraId="2D65F4E8">
          <w:pPr>
            <w:pStyle w:val="12"/>
            <w:tabs>
              <w:tab w:val="right" w:leader="dot" w:pos="8306"/>
              <w:tab w:val="clear" w:pos="8296"/>
            </w:tabs>
            <w:ind w:left="600"/>
            <w:rPr>
              <w:rFonts w:hint="eastAsia"/>
            </w:rPr>
          </w:pPr>
          <w:r>
            <w:fldChar w:fldCharType="begin"/>
          </w:r>
          <w:r>
            <w:instrText xml:space="preserve"> HYPERLINK \l "_Toc2533" </w:instrText>
          </w:r>
          <w:r>
            <w:fldChar w:fldCharType="separate"/>
          </w:r>
          <w:r>
            <w:rPr>
              <w:rFonts w:hint="eastAsia" w:ascii="仿宋" w:hAnsi="仿宋" w:eastAsia="仿宋" w:cs="仿宋"/>
              <w:kern w:val="0"/>
              <w:szCs w:val="32"/>
            </w:rPr>
            <w:t>（四）社会福利服务体系建设</w:t>
          </w:r>
          <w:r>
            <w:tab/>
          </w:r>
          <w:r>
            <w:fldChar w:fldCharType="begin"/>
          </w:r>
          <w:r>
            <w:instrText xml:space="preserve"> PAGEREF _Toc2533 </w:instrText>
          </w:r>
          <w:r>
            <w:fldChar w:fldCharType="separate"/>
          </w:r>
          <w:r>
            <w:t>36</w:t>
          </w:r>
          <w:r>
            <w:fldChar w:fldCharType="end"/>
          </w:r>
          <w:r>
            <w:fldChar w:fldCharType="end"/>
          </w:r>
        </w:p>
        <w:p w14:paraId="3DCFDF80">
          <w:pPr>
            <w:pStyle w:val="12"/>
            <w:tabs>
              <w:tab w:val="right" w:leader="dot" w:pos="8306"/>
              <w:tab w:val="clear" w:pos="8296"/>
            </w:tabs>
            <w:ind w:left="600"/>
            <w:rPr>
              <w:rFonts w:hint="eastAsia"/>
            </w:rPr>
          </w:pPr>
          <w:r>
            <w:fldChar w:fldCharType="begin"/>
          </w:r>
          <w:r>
            <w:instrText xml:space="preserve"> HYPERLINK \l "_Toc24674" </w:instrText>
          </w:r>
          <w:r>
            <w:fldChar w:fldCharType="separate"/>
          </w:r>
          <w:r>
            <w:rPr>
              <w:rFonts w:hint="eastAsia" w:ascii="仿宋" w:hAnsi="仿宋" w:eastAsia="仿宋" w:cs="仿宋"/>
              <w:kern w:val="0"/>
              <w:szCs w:val="32"/>
            </w:rPr>
            <w:t>第五章 保障措施</w:t>
          </w:r>
          <w:r>
            <w:tab/>
          </w:r>
          <w:r>
            <w:fldChar w:fldCharType="begin"/>
          </w:r>
          <w:r>
            <w:instrText xml:space="preserve"> PAGEREF _Toc24674 </w:instrText>
          </w:r>
          <w:r>
            <w:fldChar w:fldCharType="separate"/>
          </w:r>
          <w:r>
            <w:t>38</w:t>
          </w:r>
          <w:r>
            <w:fldChar w:fldCharType="end"/>
          </w:r>
          <w:r>
            <w:fldChar w:fldCharType="end"/>
          </w:r>
        </w:p>
        <w:p w14:paraId="1B545FE1">
          <w:pPr>
            <w:pStyle w:val="12"/>
            <w:tabs>
              <w:tab w:val="right" w:leader="dot" w:pos="8306"/>
              <w:tab w:val="clear" w:pos="8296"/>
            </w:tabs>
            <w:ind w:left="600"/>
            <w:rPr>
              <w:rFonts w:hint="eastAsia"/>
            </w:rPr>
          </w:pPr>
          <w:r>
            <w:fldChar w:fldCharType="begin"/>
          </w:r>
          <w:r>
            <w:instrText xml:space="preserve"> HYPERLINK \l "_Toc1225" </w:instrText>
          </w:r>
          <w:r>
            <w:fldChar w:fldCharType="separate"/>
          </w:r>
          <w:r>
            <w:rPr>
              <w:rFonts w:hint="eastAsia" w:ascii="仿宋" w:hAnsi="仿宋" w:eastAsia="仿宋" w:cs="仿宋"/>
              <w:kern w:val="0"/>
              <w:szCs w:val="32"/>
            </w:rPr>
            <w:t>（一）乘势而上，突破民政工作发展瓶颈</w:t>
          </w:r>
          <w:r>
            <w:tab/>
          </w:r>
          <w:r>
            <w:fldChar w:fldCharType="begin"/>
          </w:r>
          <w:r>
            <w:instrText xml:space="preserve"> PAGEREF _Toc1225 </w:instrText>
          </w:r>
          <w:r>
            <w:fldChar w:fldCharType="separate"/>
          </w:r>
          <w:r>
            <w:t>38</w:t>
          </w:r>
          <w:r>
            <w:fldChar w:fldCharType="end"/>
          </w:r>
          <w:r>
            <w:fldChar w:fldCharType="end"/>
          </w:r>
        </w:p>
        <w:p w14:paraId="042E0C97">
          <w:pPr>
            <w:pStyle w:val="12"/>
            <w:tabs>
              <w:tab w:val="right" w:leader="dot" w:pos="8306"/>
              <w:tab w:val="clear" w:pos="8296"/>
            </w:tabs>
            <w:ind w:left="600"/>
            <w:rPr>
              <w:rFonts w:hint="eastAsia"/>
            </w:rPr>
          </w:pPr>
          <w:r>
            <w:fldChar w:fldCharType="begin"/>
          </w:r>
          <w:r>
            <w:instrText xml:space="preserve"> HYPERLINK \l "_Toc1453" </w:instrText>
          </w:r>
          <w:r>
            <w:fldChar w:fldCharType="separate"/>
          </w:r>
          <w:r>
            <w:rPr>
              <w:rFonts w:hint="eastAsia" w:ascii="仿宋" w:hAnsi="仿宋" w:eastAsia="仿宋" w:cs="仿宋"/>
              <w:kern w:val="0"/>
              <w:szCs w:val="32"/>
            </w:rPr>
            <w:t>（二）顺势而为，拓展民政事业发展空间</w:t>
          </w:r>
          <w:r>
            <w:tab/>
          </w:r>
          <w:r>
            <w:fldChar w:fldCharType="begin"/>
          </w:r>
          <w:r>
            <w:instrText xml:space="preserve"> PAGEREF _Toc1453 </w:instrText>
          </w:r>
          <w:r>
            <w:fldChar w:fldCharType="separate"/>
          </w:r>
          <w:r>
            <w:t>39</w:t>
          </w:r>
          <w:r>
            <w:fldChar w:fldCharType="end"/>
          </w:r>
          <w:r>
            <w:fldChar w:fldCharType="end"/>
          </w:r>
        </w:p>
        <w:p w14:paraId="770EF5B2">
          <w:pPr>
            <w:pStyle w:val="12"/>
            <w:tabs>
              <w:tab w:val="right" w:leader="dot" w:pos="8306"/>
              <w:tab w:val="clear" w:pos="8296"/>
            </w:tabs>
            <w:ind w:left="600"/>
            <w:rPr>
              <w:rFonts w:hint="eastAsia"/>
            </w:rPr>
          </w:pPr>
          <w:r>
            <w:fldChar w:fldCharType="begin"/>
          </w:r>
          <w:r>
            <w:instrText xml:space="preserve"> HYPERLINK \l "_Toc18347" </w:instrText>
          </w:r>
          <w:r>
            <w:fldChar w:fldCharType="separate"/>
          </w:r>
          <w:r>
            <w:rPr>
              <w:rFonts w:hint="eastAsia" w:ascii="仿宋" w:hAnsi="仿宋" w:eastAsia="仿宋" w:cs="仿宋"/>
              <w:kern w:val="0"/>
              <w:szCs w:val="32"/>
            </w:rPr>
            <w:t>（三）因势利导，夯实民政事业持续发展基础 </w:t>
          </w:r>
          <w:r>
            <w:tab/>
          </w:r>
          <w:r>
            <w:fldChar w:fldCharType="begin"/>
          </w:r>
          <w:r>
            <w:instrText xml:space="preserve"> PAGEREF _Toc18347 </w:instrText>
          </w:r>
          <w:r>
            <w:fldChar w:fldCharType="separate"/>
          </w:r>
          <w:r>
            <w:t>40</w:t>
          </w:r>
          <w:r>
            <w:fldChar w:fldCharType="end"/>
          </w:r>
          <w:r>
            <w:fldChar w:fldCharType="end"/>
          </w:r>
        </w:p>
        <w:p w14:paraId="2D4DA195">
          <w:pPr>
            <w:ind w:firstLine="600"/>
            <w:rPr>
              <w:rFonts w:hint="eastAsia"/>
            </w:rPr>
          </w:pPr>
          <w:r>
            <w:rPr>
              <w:szCs w:val="28"/>
            </w:rPr>
            <w:fldChar w:fldCharType="end"/>
          </w:r>
        </w:p>
      </w:sdtContent>
    </w:sdt>
    <w:p w14:paraId="18CDDD45">
      <w:pPr>
        <w:pStyle w:val="3"/>
        <w:ind w:firstLine="3534" w:firstLineChars="1100"/>
        <w:rPr>
          <w:rFonts w:ascii="仿宋" w:hAnsi="仿宋" w:eastAsia="仿宋" w:cs="仿宋"/>
          <w:kern w:val="0"/>
        </w:rPr>
      </w:pPr>
      <w:bookmarkStart w:id="7" w:name="_Toc23133"/>
      <w:r>
        <w:rPr>
          <w:rFonts w:hint="eastAsia" w:ascii="仿宋" w:hAnsi="仿宋" w:eastAsia="仿宋" w:cs="仿宋"/>
          <w:kern w:val="0"/>
        </w:rPr>
        <w:t>前  言</w:t>
      </w:r>
      <w:bookmarkEnd w:id="7"/>
    </w:p>
    <w:p w14:paraId="2A54D630">
      <w:pPr>
        <w:ind w:firstLine="640"/>
        <w:rPr>
          <w:rFonts w:ascii="仿宋" w:hAnsi="仿宋" w:cs="仿宋"/>
          <w:kern w:val="0"/>
          <w:sz w:val="32"/>
          <w:szCs w:val="32"/>
        </w:rPr>
      </w:pPr>
      <w:r>
        <w:rPr>
          <w:rFonts w:hint="eastAsia" w:ascii="仿宋" w:hAnsi="仿宋" w:cs="仿宋"/>
          <w:kern w:val="0"/>
          <w:sz w:val="32"/>
          <w:szCs w:val="32"/>
        </w:rPr>
        <w:t>“十四五”时期是我国向基本实现社会主义现代化迈进的关键时期，也是开启全面建设社会主义现代化，适应我国社会主要矛盾历史性变化新要求，主动积极应对世界百年未有之大变局新征程的第一个五年规划，民政部门责任重大，使命光荣，同时“十四五”规划也将成为国家、省市制定未来发展战略的重要政策依据，</w:t>
      </w:r>
      <w:r>
        <w:rPr>
          <w:rFonts w:hint="eastAsia" w:ascii="仿宋" w:hAnsi="仿宋" w:cs="仿宋"/>
          <w:color w:val="333333"/>
          <w:spacing w:val="5"/>
          <w:sz w:val="32"/>
          <w:szCs w:val="32"/>
          <w:shd w:val="clear" w:color="auto" w:fill="FFFFFF"/>
        </w:rPr>
        <w:t>县民政局</w:t>
      </w:r>
      <w:r>
        <w:rPr>
          <w:rFonts w:hint="eastAsia" w:ascii="仿宋" w:hAnsi="仿宋" w:cs="仿宋"/>
          <w:sz w:val="32"/>
          <w:szCs w:val="32"/>
        </w:rPr>
        <w:t>坚持以习近平新时代中国特色社会主义思想为指导，</w:t>
      </w:r>
      <w:r>
        <w:rPr>
          <w:rFonts w:hint="eastAsia" w:ascii="仿宋" w:hAnsi="仿宋" w:cs="仿宋"/>
          <w:kern w:val="0"/>
          <w:sz w:val="32"/>
          <w:szCs w:val="32"/>
        </w:rPr>
        <w:t>贯彻落实党的十九届五中全会精神，</w:t>
      </w:r>
      <w:r>
        <w:rPr>
          <w:rFonts w:hint="eastAsia" w:ascii="仿宋" w:hAnsi="仿宋" w:cs="仿宋"/>
          <w:sz w:val="32"/>
          <w:szCs w:val="32"/>
        </w:rPr>
        <w:t>认真落实习近平总书记对民政工作的重要批示精神，更加聚焦最底线的民生保障、最基础的社会治理、最基本的社会服务和民政专项行政工作，认真履行机构改革后民政部门的职责。</w:t>
      </w:r>
      <w:r>
        <w:rPr>
          <w:rFonts w:hint="eastAsia" w:ascii="仿宋" w:hAnsi="仿宋" w:cs="仿宋"/>
          <w:kern w:val="0"/>
          <w:sz w:val="32"/>
          <w:szCs w:val="32"/>
        </w:rPr>
        <w:t>“十四五”时期（2021—2025年）是</w:t>
      </w:r>
      <w:r>
        <w:rPr>
          <w:rFonts w:hint="eastAsia" w:ascii="仿宋" w:hAnsi="仿宋" w:cs="仿宋"/>
          <w:color w:val="333333"/>
          <w:spacing w:val="5"/>
          <w:sz w:val="32"/>
          <w:szCs w:val="32"/>
          <w:shd w:val="clear" w:color="auto" w:fill="FFFFFF"/>
        </w:rPr>
        <w:t>我国“两个一百年”奋斗目标的历史交汇期，是由全面建成小康社会向基本实现社会主义现代化迈进的关键时期，高质量</w:t>
      </w:r>
      <w:r>
        <w:rPr>
          <w:rFonts w:hint="eastAsia" w:ascii="仿宋" w:hAnsi="仿宋" w:cs="仿宋"/>
          <w:kern w:val="0"/>
          <w:sz w:val="32"/>
          <w:szCs w:val="32"/>
        </w:rPr>
        <w:t>编制和有效实施“十四五”民政事业发展规划，对于贯彻落实全县“十四五”总体规划，具有极强的全局性、战略性、前瞻性、科学性、指导性，为科学谋划部署今后一个时期的绥宁县民政工作提供了指南，推进民政事业转型升级发展具有重要意义。</w:t>
      </w:r>
    </w:p>
    <w:p w14:paraId="16235AAB">
      <w:pPr>
        <w:widowControl/>
        <w:ind w:firstLine="0" w:firstLineChars="0"/>
        <w:jc w:val="left"/>
        <w:rPr>
          <w:rFonts w:ascii="仿宋" w:hAnsi="仿宋" w:cs="仿宋"/>
          <w:b/>
          <w:bCs/>
          <w:kern w:val="0"/>
          <w:sz w:val="32"/>
          <w:szCs w:val="32"/>
        </w:rPr>
      </w:pPr>
      <w:r>
        <w:rPr>
          <w:rFonts w:hint="eastAsia" w:ascii="仿宋" w:hAnsi="仿宋" w:cs="仿宋"/>
          <w:kern w:val="0"/>
          <w:sz w:val="32"/>
          <w:szCs w:val="32"/>
        </w:rPr>
        <w:br w:type="page"/>
      </w:r>
    </w:p>
    <w:p w14:paraId="61261AFA">
      <w:pPr>
        <w:pStyle w:val="3"/>
        <w:ind w:firstLine="0" w:firstLineChars="0"/>
        <w:jc w:val="center"/>
        <w:rPr>
          <w:rFonts w:ascii="黑体" w:hAnsi="黑体" w:eastAsia="黑体" w:cs="黑体"/>
          <w:kern w:val="0"/>
        </w:rPr>
      </w:pPr>
      <w:bookmarkStart w:id="8" w:name="_Toc5058"/>
      <w:r>
        <w:rPr>
          <w:rFonts w:hint="eastAsia" w:ascii="黑体" w:hAnsi="黑体" w:eastAsia="黑体" w:cs="黑体"/>
          <w:kern w:val="0"/>
        </w:rPr>
        <w:t>第一章 发展基础</w:t>
      </w:r>
      <w:bookmarkEnd w:id="8"/>
    </w:p>
    <w:p w14:paraId="1BE42341">
      <w:pPr>
        <w:ind w:firstLine="640"/>
        <w:rPr>
          <w:rFonts w:ascii="仿宋" w:hAnsi="仿宋" w:cs="仿宋"/>
          <w:kern w:val="0"/>
          <w:sz w:val="32"/>
          <w:szCs w:val="32"/>
        </w:rPr>
      </w:pPr>
      <w:r>
        <w:rPr>
          <w:rFonts w:hint="eastAsia" w:ascii="仿宋" w:hAnsi="仿宋" w:cs="仿宋"/>
          <w:kern w:val="0"/>
          <w:sz w:val="32"/>
          <w:szCs w:val="32"/>
        </w:rPr>
        <w:t>“十三五”期间，县民政</w:t>
      </w:r>
      <w:r>
        <w:rPr>
          <w:rFonts w:hint="eastAsia" w:ascii="仿宋" w:hAnsi="仿宋" w:cs="仿宋"/>
          <w:sz w:val="32"/>
          <w:szCs w:val="32"/>
        </w:rPr>
        <w:t>局坚持以习近平新时代中国特色社会主义思想</w:t>
      </w:r>
      <w:r>
        <w:rPr>
          <w:rFonts w:hint="eastAsia" w:ascii="仿宋" w:hAnsi="仿宋" w:cs="仿宋"/>
          <w:sz w:val="32"/>
          <w:szCs w:val="32"/>
          <w:lang w:val="en-US" w:eastAsia="zh-CN"/>
        </w:rPr>
        <w:t>和党的十九大精神</w:t>
      </w:r>
      <w:r>
        <w:rPr>
          <w:rFonts w:hint="eastAsia" w:ascii="仿宋" w:hAnsi="仿宋" w:cs="仿宋"/>
          <w:sz w:val="32"/>
          <w:szCs w:val="32"/>
        </w:rPr>
        <w:t>为指导，秉承“民政为民、民政爱民”的服务宗</w:t>
      </w:r>
      <w:r>
        <w:rPr>
          <w:rFonts w:hint="eastAsia" w:ascii="仿宋" w:hAnsi="仿宋" w:cs="仿宋"/>
          <w:kern w:val="0"/>
          <w:sz w:val="32"/>
          <w:szCs w:val="32"/>
        </w:rPr>
        <w:t>旨，在县委、县政府的正确领导和上级民政部门的精心指导下，争先创优，突出重点，全力推进各</w:t>
      </w:r>
      <w:r>
        <w:rPr>
          <w:rFonts w:hint="eastAsia" w:ascii="仿宋" w:hAnsi="仿宋" w:cs="仿宋"/>
          <w:sz w:val="32"/>
          <w:szCs w:val="32"/>
        </w:rPr>
        <w:t>项民政工作。围绕县委、县政府中心工作中的扶贫攻坚、项目建设、疫情防控等重大工作的推进和经济社会发展重大项目，严格履行民政职责，取得了良好的成绩。顺利通过了“湖南省文明单位”的复核，创建了“湖南省标兵单位”。助力县委、县政府“四城同创”工作，县民政局作为先进典型代表参评。“廉洁单位”创建工作得到了市纪委、县纪委的充分肯定。平安建设工作中，县民政局的平安创建、流浪乞讨人员救助、民情走访工作作为县里的典型代表参</w:t>
      </w:r>
      <w:bookmarkStart w:id="27" w:name="_GoBack"/>
      <w:bookmarkEnd w:id="27"/>
      <w:r>
        <w:rPr>
          <w:rFonts w:hint="eastAsia" w:ascii="仿宋" w:hAnsi="仿宋" w:cs="仿宋"/>
          <w:sz w:val="32"/>
          <w:szCs w:val="32"/>
        </w:rPr>
        <w:t>与全市考核顺利通过，全县民政工作取得了新的成就，开创了新的局面，赢得新的发展机遇，为“十四五”的民政工作打下了坚实的基础。</w:t>
      </w:r>
    </w:p>
    <w:p w14:paraId="40A80749">
      <w:pPr>
        <w:pStyle w:val="4"/>
        <w:ind w:firstLine="964" w:firstLineChars="300"/>
        <w:rPr>
          <w:rFonts w:ascii="宋体" w:hAnsi="宋体" w:eastAsia="宋体" w:cs="宋体"/>
          <w:kern w:val="0"/>
        </w:rPr>
      </w:pPr>
      <w:bookmarkStart w:id="9" w:name="_Toc29960"/>
      <w:r>
        <w:rPr>
          <w:rFonts w:hint="eastAsia" w:ascii="宋体" w:hAnsi="宋体" w:eastAsia="宋体" w:cs="宋体"/>
          <w:kern w:val="0"/>
        </w:rPr>
        <w:t>一、主要成就</w:t>
      </w:r>
      <w:bookmarkEnd w:id="9"/>
    </w:p>
    <w:p w14:paraId="6C48E87A">
      <w:pPr>
        <w:ind w:firstLine="640"/>
        <w:rPr>
          <w:rFonts w:ascii="仿宋" w:hAnsi="仿宋" w:cs="仿宋"/>
          <w:kern w:val="0"/>
          <w:sz w:val="32"/>
          <w:szCs w:val="32"/>
        </w:rPr>
      </w:pPr>
      <w:r>
        <w:rPr>
          <w:rFonts w:hint="eastAsia" w:ascii="仿宋" w:hAnsi="仿宋" w:cs="仿宋"/>
          <w:kern w:val="0"/>
          <w:sz w:val="32"/>
          <w:szCs w:val="32"/>
        </w:rPr>
        <w:t>“十三五”期间，在县委、县政府的正确领导和上级民政部门的精心指导下，全县民政系统深入贯彻落实</w:t>
      </w:r>
      <w:r>
        <w:rPr>
          <w:rFonts w:hint="eastAsia" w:ascii="仿宋" w:hAnsi="仿宋" w:cs="仿宋"/>
          <w:kern w:val="0"/>
          <w:sz w:val="32"/>
          <w:szCs w:val="32"/>
          <w:lang w:eastAsia="zh-CN"/>
        </w:rPr>
        <w:t>党的</w:t>
      </w:r>
      <w:r>
        <w:rPr>
          <w:rFonts w:hint="eastAsia" w:ascii="仿宋" w:hAnsi="仿宋" w:cs="仿宋"/>
          <w:kern w:val="0"/>
          <w:sz w:val="32"/>
          <w:szCs w:val="32"/>
        </w:rPr>
        <w:t>十九大精神，始终坚持“以民为本、为民解困、为民服务”的工作宗旨，以保障民生、发展民主、服务社会为基本目标，围绕中心，服务大局，突出“改革、基层、项目、管理”四个重点，全面推进民政事业转型升级发展，进一步完善基本民生兜底保障制度，织密扎牢民生兜底保障安全网，加快推进养老服务发展，完善社区治理和服务体系，加强社会组织管理，推动社会工作和志愿服务加快发展，着力提升基层社会治理现代化水平，科学调整优化行政区划设置，深化殡葬改革，提升婚姻登记和收养工作等管理服务质量，更好发挥慈善事业在第三次分配中的作用。总之，较好地完成了“十三五”规划确定的主要目标和任务。</w:t>
      </w:r>
    </w:p>
    <w:p w14:paraId="3CAD8FE8">
      <w:pPr>
        <w:ind w:firstLine="643"/>
        <w:rPr>
          <w:rFonts w:ascii="仿宋" w:hAnsi="仿宋" w:cs="仿宋"/>
          <w:b/>
          <w:bCs/>
          <w:sz w:val="32"/>
          <w:szCs w:val="32"/>
        </w:rPr>
      </w:pPr>
      <w:r>
        <w:rPr>
          <w:rFonts w:hint="eastAsia" w:ascii="仿宋" w:hAnsi="仿宋" w:cs="仿宋"/>
          <w:b/>
          <w:bCs/>
          <w:sz w:val="32"/>
          <w:szCs w:val="32"/>
        </w:rPr>
        <w:t>（一）扭住机构改革关键，激发活力干劲成效显著</w:t>
      </w:r>
    </w:p>
    <w:p w14:paraId="1CDDC6C8">
      <w:pPr>
        <w:widowControl/>
        <w:adjustRightInd w:val="0"/>
        <w:snapToGrid w:val="0"/>
        <w:spacing w:line="600" w:lineRule="exact"/>
        <w:ind w:firstLine="480" w:firstLineChars="150"/>
        <w:jc w:val="left"/>
        <w:rPr>
          <w:rFonts w:ascii="仿宋" w:hAnsi="仿宋" w:cs="仿宋"/>
          <w:kern w:val="0"/>
          <w:sz w:val="32"/>
          <w:szCs w:val="32"/>
        </w:rPr>
      </w:pPr>
      <w:r>
        <w:rPr>
          <w:rFonts w:hint="eastAsia" w:ascii="仿宋" w:hAnsi="仿宋" w:cs="仿宋"/>
          <w:sz w:val="32"/>
          <w:szCs w:val="32"/>
        </w:rPr>
        <w:t>2019年全县机构改革中，民政局涉改的优抚、救灾、大病救助和老龄等四项职能划出，完成人员转岗15 人；民政部门“三定方案”按照程序已经呈报县委审批。在打好机构改革主动仗的同时，</w:t>
      </w:r>
      <w:r>
        <w:rPr>
          <w:rFonts w:hint="eastAsia" w:ascii="仿宋" w:hAnsi="仿宋" w:cs="仿宋"/>
          <w:kern w:val="0"/>
          <w:sz w:val="32"/>
          <w:szCs w:val="32"/>
        </w:rPr>
        <w:t>局党组以人事调整为突破口，把加强干部职工管理，建全各项管理制度作为工作重点，狠抓干部作风建设，激发干部职工的责任心和积极性。根据干部意愿和工作需要，对各股室、二级机构的干部分工进行重新调整。各股室进行认真分析工作形势，找出薄弱点，实现了各显其能、各尽其能的工作格局，有效激发和调动了干部职工的积极性。</w:t>
      </w:r>
    </w:p>
    <w:p w14:paraId="4C20B930">
      <w:pPr>
        <w:ind w:firstLine="643"/>
        <w:rPr>
          <w:rFonts w:ascii="仿宋" w:hAnsi="仿宋" w:cs="仿宋"/>
          <w:b/>
          <w:bCs/>
          <w:sz w:val="32"/>
          <w:szCs w:val="32"/>
        </w:rPr>
      </w:pPr>
      <w:r>
        <w:rPr>
          <w:rFonts w:hint="eastAsia" w:ascii="仿宋" w:hAnsi="仿宋" w:cs="仿宋"/>
          <w:b/>
          <w:bCs/>
          <w:sz w:val="32"/>
          <w:szCs w:val="32"/>
        </w:rPr>
        <w:t>（二）抓住精准扶贫主线，打赢脱贫攻坚战果丰硕</w:t>
      </w:r>
    </w:p>
    <w:p w14:paraId="590653B5">
      <w:pPr>
        <w:widowControl/>
        <w:adjustRightInd w:val="0"/>
        <w:snapToGrid w:val="0"/>
        <w:spacing w:line="600" w:lineRule="exact"/>
        <w:ind w:firstLine="480" w:firstLineChars="150"/>
        <w:jc w:val="left"/>
        <w:rPr>
          <w:rFonts w:ascii="仿宋" w:hAnsi="仿宋" w:cs="仿宋"/>
          <w:sz w:val="32"/>
          <w:szCs w:val="32"/>
        </w:rPr>
      </w:pPr>
      <w:r>
        <w:rPr>
          <w:rFonts w:hint="eastAsia" w:ascii="仿宋" w:hAnsi="仿宋" w:cs="仿宋"/>
          <w:sz w:val="32"/>
          <w:szCs w:val="32"/>
        </w:rPr>
        <w:t>以精准扶贫社会保障兜底对象认定为契机，坚持标准、规范认定。做到应保尽保，应兜尽兜，救助水平不断提高。虽然我县已经实现“脱贫摘帽”，但作为专项扶贫成员单位，县民政局始终高度重视、周密部署，</w:t>
      </w:r>
      <w:r>
        <w:rPr>
          <w:rFonts w:hint="eastAsia" w:ascii="仿宋" w:hAnsi="仿宋" w:cs="仿宋"/>
          <w:kern w:val="0"/>
          <w:sz w:val="32"/>
          <w:szCs w:val="32"/>
        </w:rPr>
        <w:t>出台了《绥宁县社会保障兜底脱贫对象认定工作方案》和《绥宁县社会保障兜底脱贫工作实施方案》，并组织乡民政办助理进行业务培训，层层了解兜底脱贫政策，熟悉办理业务。为</w:t>
      </w:r>
      <w:r>
        <w:rPr>
          <w:rFonts w:hint="eastAsia" w:ascii="仿宋" w:hAnsi="仿宋" w:cs="仿宋"/>
          <w:sz w:val="32"/>
          <w:szCs w:val="32"/>
        </w:rPr>
        <w:t>防止漏评、错退和“脱贫不脱策”，配优驻村扶贫干部，扎实组织全局干部职工开展贫困户走访、政策落实、收入核实等驻村帮扶和后盾村的结对帮扶工作，民政部门各项指标已全部落实到位，顺利完成了县委县政府交给的脱贫攻坚任务。具体有：</w:t>
      </w:r>
    </w:p>
    <w:p w14:paraId="244836E1">
      <w:pPr>
        <w:widowControl/>
        <w:adjustRightInd w:val="0"/>
        <w:snapToGrid w:val="0"/>
        <w:spacing w:line="600" w:lineRule="exact"/>
        <w:ind w:firstLine="800" w:firstLineChars="250"/>
        <w:jc w:val="left"/>
        <w:rPr>
          <w:rFonts w:ascii="仿宋" w:hAnsi="仿宋" w:cs="仿宋"/>
          <w:sz w:val="32"/>
          <w:szCs w:val="32"/>
        </w:rPr>
      </w:pPr>
      <w:r>
        <w:rPr>
          <w:rFonts w:hint="eastAsia" w:ascii="仿宋" w:hAnsi="仿宋" w:cs="仿宋"/>
          <w:sz w:val="32"/>
          <w:szCs w:val="32"/>
        </w:rPr>
        <w:t>五年来，我局联合县财政局等 9 部门制定出台了相关兜底文件，落实了管理办法，扎实推进相关共走。截止目前，将建档立卡贫困户4690 户9410 人（一类兜底对象769户1900人，二楼兜底对象3576户6426人，三类兜底对象345户1084人）纳入社会救助兜底保障范围。五年来，救助建档立卡贫困户203531 户次 505736 人次，发放资金10113 万元。</w:t>
      </w:r>
    </w:p>
    <w:p w14:paraId="5386BA67">
      <w:pPr>
        <w:widowControl/>
        <w:adjustRightInd w:val="0"/>
        <w:snapToGrid w:val="0"/>
        <w:spacing w:line="600" w:lineRule="exact"/>
        <w:ind w:firstLine="800" w:firstLineChars="250"/>
        <w:jc w:val="left"/>
        <w:rPr>
          <w:rFonts w:ascii="仿宋" w:hAnsi="仿宋" w:cs="仿宋"/>
          <w:sz w:val="32"/>
          <w:szCs w:val="32"/>
        </w:rPr>
      </w:pPr>
      <w:r>
        <w:rPr>
          <w:rFonts w:hint="eastAsia" w:ascii="仿宋" w:hAnsi="仿宋" w:cs="仿宋"/>
          <w:sz w:val="32"/>
          <w:szCs w:val="32"/>
        </w:rPr>
        <w:t>五年来，对申请补贴的 1838 人贫困残疾人进行了及时审批认定，并按月将每人每月 60 元的残疾人补贴资金发放到位。截至目前，全县发放残疾人两项补贴资金3250 万元。确保“应保尽保，应兜尽兜、动态管理”。</w:t>
      </w:r>
    </w:p>
    <w:p w14:paraId="1C38583A">
      <w:pPr>
        <w:ind w:firstLine="643"/>
        <w:rPr>
          <w:rFonts w:ascii="仿宋" w:hAnsi="仿宋" w:cs="仿宋"/>
          <w:b/>
          <w:bCs/>
          <w:sz w:val="32"/>
          <w:szCs w:val="32"/>
        </w:rPr>
      </w:pPr>
      <w:r>
        <w:rPr>
          <w:rFonts w:hint="eastAsia" w:ascii="仿宋" w:hAnsi="仿宋" w:cs="仿宋"/>
          <w:b/>
          <w:bCs/>
          <w:sz w:val="32"/>
          <w:szCs w:val="32"/>
        </w:rPr>
        <w:t>（三）握住社会救助方向，实现福利蛋糕成果共享</w:t>
      </w:r>
    </w:p>
    <w:p w14:paraId="0FD6BCF4">
      <w:pPr>
        <w:ind w:firstLine="640"/>
        <w:rPr>
          <w:rFonts w:ascii="仿宋" w:hAnsi="仿宋" w:cs="仿宋"/>
          <w:sz w:val="32"/>
          <w:szCs w:val="32"/>
        </w:rPr>
      </w:pPr>
      <w:r>
        <w:rPr>
          <w:rFonts w:hint="eastAsia" w:ascii="仿宋" w:hAnsi="仿宋" w:cs="仿宋"/>
          <w:sz w:val="32"/>
          <w:szCs w:val="32"/>
        </w:rPr>
        <w:t>狠抓农村低保的落实。五年来，顺利完成我县省为民办实事项目“农村低保标准和救助水平”的提标发放工作。救助低保对象383584 户次 537421 人次，发放资金 1.3亿元。 截至目前， 通过系统核实和入户实地核实，县民政局共取消农村低保2104户，1821人，节约资金91.23万元。到2020年11月，我县还有农村低保对象共7453户13554人人。五年来，我县共发放农村低保资金18126万元。同时，将符合条件的贫困对象（重度残疾人、重病患者及收入未达到低保标准的等对象）1283 户 2016 人纳入了低保范围，及时清退不符合低保条件及死亡低保对象 1169 户1563 人，保障对象认定精准，做到了“应保尽保、应退尽退”。对农村低保、临时救助等救助政策在全县 219个村（居）委员会村务公开栏进行公示，同时对每月或每季度农村低保、临时救助对象名单，经审查盖公章后在村务公开栏内进行公示。及时处理群众来信来访。五年来，接待群众来信来访516 件，其中对群众举报及领导签署的重点对象 68 件进行了核实答复 。夯实城镇低保基础。五年来，城市低保救助保障对象102182 户次 283612 人次，发放资金 5036.56 万元，月人均补助水平 343 元。清退不符合条件对象536 户 856人，新增对象 147 户 286 人。及时推进临时救助工作。五年来，发放临时救助资金4620万元5360人次。出台了《绥宁县人民政府办公室关于印发&lt;进一步加强和改进临时救助工作&gt;的通知》（绥政办发[2019]22 号）文件，进一步规范明确了临时救助对象范围和类别，规范了审核、审批程序。健全了救助对象的工作档案。</w:t>
      </w:r>
    </w:p>
    <w:p w14:paraId="088A291B">
      <w:pPr>
        <w:ind w:firstLine="643"/>
        <w:rPr>
          <w:rFonts w:ascii="仿宋" w:hAnsi="仿宋" w:cs="仿宋"/>
          <w:b/>
          <w:bCs/>
          <w:sz w:val="32"/>
          <w:szCs w:val="32"/>
        </w:rPr>
      </w:pPr>
      <w:r>
        <w:rPr>
          <w:rFonts w:hint="eastAsia" w:ascii="仿宋" w:hAnsi="仿宋" w:cs="仿宋"/>
          <w:b/>
          <w:bCs/>
          <w:sz w:val="32"/>
          <w:szCs w:val="32"/>
        </w:rPr>
        <w:t>（四）管住社会治理主业，形成共建共治共享态势</w:t>
      </w:r>
    </w:p>
    <w:p w14:paraId="6BB4E9C8">
      <w:pPr>
        <w:ind w:firstLine="640"/>
        <w:rPr>
          <w:rFonts w:ascii="仿宋" w:hAnsi="仿宋" w:cs="仿宋"/>
          <w:sz w:val="32"/>
          <w:szCs w:val="32"/>
        </w:rPr>
      </w:pPr>
      <w:r>
        <w:rPr>
          <w:rFonts w:hint="eastAsia" w:ascii="仿宋" w:hAnsi="仿宋" w:cs="仿宋"/>
          <w:sz w:val="32"/>
          <w:szCs w:val="32"/>
        </w:rPr>
        <w:t>按县“四城同创”具体要求，启动城区道、路、街、巷的标识标牌建设工作。抓好村（居）务公开栏的规范化建设和管理。完成村（居）务公开栏验收，现大部分已投入使用。完成绥宁县标准地名录、绥宁县地名图集审核、绥宁县国家地名志词目释文和词典行政区划部分编纂修改。本级典志编纂基本完成。目前正在编纂国家地名词典 2-8 部分的释文。圆满完成与洞口县、武冈市、城步县的联合勘界任务。对与武冈市、洞口县交界的43052527810 号界碑进行了检查，认真核对了界桩标志物，与洞口、武冈、城步签订了创建平安和谐边界协议书。实现了边界区域大局稳定。部署新一轮村规民约（居民公约）的修订。严格社会组织登记管理。截止目前，全县登记社会组织登记92家，其中法人社团38 家，民办非企业单位4 家。社团注销5家，民非机构注销3家。2020年，需要年检的社会组织有74家，已有63家参加了年检。已有单独党建的社会组织有3家，联合成立党支部的有8家。积极促进社会组织的党建引领和健康发展。</w:t>
      </w:r>
    </w:p>
    <w:p w14:paraId="69D8F5B8">
      <w:pPr>
        <w:ind w:firstLine="643"/>
        <w:rPr>
          <w:rFonts w:ascii="仿宋" w:hAnsi="仿宋" w:cs="仿宋"/>
          <w:b/>
          <w:bCs/>
          <w:sz w:val="32"/>
          <w:szCs w:val="32"/>
        </w:rPr>
      </w:pPr>
      <w:r>
        <w:rPr>
          <w:rFonts w:hint="eastAsia" w:ascii="仿宋" w:hAnsi="仿宋" w:cs="仿宋"/>
          <w:b/>
          <w:bCs/>
          <w:sz w:val="32"/>
          <w:szCs w:val="32"/>
        </w:rPr>
        <w:t>（五）把住养老服务脉络，老有所依均衡普惠</w:t>
      </w:r>
    </w:p>
    <w:p w14:paraId="45FF9F3A">
      <w:pPr>
        <w:ind w:firstLine="640"/>
        <w:rPr>
          <w:rFonts w:ascii="仿宋" w:hAnsi="仿宋" w:cs="仿宋"/>
          <w:sz w:val="32"/>
          <w:szCs w:val="32"/>
        </w:rPr>
      </w:pPr>
      <w:r>
        <w:rPr>
          <w:rFonts w:hint="eastAsia" w:ascii="仿宋" w:hAnsi="仿宋" w:cs="仿宋"/>
          <w:sz w:val="32"/>
          <w:szCs w:val="32"/>
        </w:rPr>
        <w:t>特困供养保障服务工作扎实开展。截止2020年，全县共有特困供养人员1337人，其中农村特困供养1309人，城市特困供养人员28人。农村特困供养人员对象中有分散供养人员人员869人、集中供养人员440人；城市特困供养对象中有分散供养人员28人，集中供养人员2人。五年来，共救助特困供养对象53992人次，发放特困供养资金36192万元。抓好康乃馨养老服务公司和德康医养结合养老服务驿站的集中供养，集中供养 44名失能特困供养人员。高龄生活补贴落实到位。五年来，共发放高龄补贴42100 人次、发放金额 263.12万元。2020年尚有90岁以上老人812人，其中百岁老人13人。特困供养保障服务工作扎实开展。开展居家养老服务。委托绥宁县福康社会养老服务中心为年满 60 周岁及以上的低保对象、分散供养五保对象、失独老人、年龄 75 周岁以上的未脱贫贫困户中家庭困难生活难以自理的失能和半失能老人，提供每人每月 30 元的居家养老服务。五是提升各类养老服务质量，加强养老设施消防安全监管。针对养老服务行业曝露出来问题，我局安排力量重点调查，发现的问题主要表现在伙食、管理服务、活动组织、收费及领导关爱等几个方面，我局将这些问题及时反馈，民政局和康乃馨总部主要领导分别对养护院主要负责人进行了约谈，要求对存在的问题进行整改，对乐安乡敬老院、水口乡敬老院存在的管理缺失问题进行了整改，加强敬老院的消防安全和防疫工作，为乡镇养老机构配备了独立式烟感装置 300 个，灭火器 170 个，开通全县各养老机构监控联网，组织安全生产检查160 余次，下达整改通知书 25 个。完成了全县养老服务体系建设五年规划编制工作。今年委托湖南颐养在线编制了《绥宁县养老服务体系建设规划（2019-2023）》，并已上报省民政厅养老服务处备案。</w:t>
      </w:r>
    </w:p>
    <w:p w14:paraId="0AEF087E">
      <w:pPr>
        <w:ind w:firstLine="643"/>
        <w:rPr>
          <w:rFonts w:ascii="仿宋" w:hAnsi="仿宋" w:cs="仿宋"/>
          <w:b/>
          <w:bCs/>
          <w:sz w:val="32"/>
          <w:szCs w:val="32"/>
        </w:rPr>
      </w:pPr>
      <w:r>
        <w:rPr>
          <w:rFonts w:hint="eastAsia" w:ascii="仿宋" w:hAnsi="仿宋" w:cs="仿宋"/>
          <w:b/>
          <w:bCs/>
          <w:sz w:val="32"/>
          <w:szCs w:val="32"/>
        </w:rPr>
        <w:t>（五）托住福利救助底线，扶弱济困增光添彩</w:t>
      </w:r>
    </w:p>
    <w:p w14:paraId="66AFF0C2">
      <w:pPr>
        <w:ind w:firstLine="640"/>
        <w:rPr>
          <w:rFonts w:ascii="仿宋" w:hAnsi="仿宋" w:cs="仿宋"/>
          <w:sz w:val="32"/>
          <w:szCs w:val="32"/>
        </w:rPr>
      </w:pPr>
      <w:r>
        <w:rPr>
          <w:rFonts w:hint="eastAsia" w:ascii="仿宋" w:hAnsi="仿宋" w:cs="仿宋"/>
          <w:sz w:val="32"/>
          <w:szCs w:val="32"/>
        </w:rPr>
        <w:t>一是残疾人“两项补贴”发放。省政府确定“困难残疾人生活补贴和重度残疾人护理补贴发放标准每人每月提高到 60 元”列为全省重点民生实事项目，我县努力在预定时间内完成了该“两项补贴”提标发放工作。五年来，累计发放补贴资金2683.52 万元。二是孤儿保障及收养登记。严格了孤儿认定程序、审批、发放程序，符合政策的孤儿有 16 人（其中：机构养育 2 人，散居 14 人），按照机构养育 1200 元/月、散居 800 元/月的标准按季打卡发放到位，完成了残疾弃婴孤儿刘铁山在邵阳市市儿童福利院、残疾孤儿伍善鑫在绥宁县康乃馨老年养护院的寄养工作；今年启用了新的“全国收养登记管理信息系统”，严格按照《收养法》和《收养登记条例》等法律法规要求，截止目前，五年全县共办理了 23 件收养登记。三是留守儿童关爱保护。目前有农村留守儿童（困境儿童）8241 人，其中由祖辈代管的有 5803 人。大多数留守儿童居住在贫困山区。开展了一系列关爱教学、心理辅导志愿服务活动 46 堂次，尤其2019年花园阁村留守儿童的关爱活动和阵地建设，得到了原省委书记杜家</w:t>
      </w:r>
      <w:r>
        <w:rPr>
          <w:rFonts w:hint="eastAsia" w:ascii="仿宋" w:hAnsi="仿宋" w:cs="仿宋"/>
          <w:sz w:val="32"/>
          <w:szCs w:val="32"/>
          <w:lang w:val="en-US" w:eastAsia="zh-CN"/>
        </w:rPr>
        <w:t>毫</w:t>
      </w:r>
      <w:r>
        <w:rPr>
          <w:rFonts w:hint="eastAsia" w:ascii="仿宋" w:hAnsi="仿宋" w:cs="仿宋"/>
          <w:sz w:val="32"/>
          <w:szCs w:val="32"/>
        </w:rPr>
        <w:t>的高度表扬。四是开展慈善扶济。完成了扶贫济困送温暖“春风行动”，包括各单位扶贫村对象在内共慰问 12.8 万多户，发放慈善救助资金达 4700.72.万元(其中部门筹资 3426.55 万元，春风办筹资1274.17 万元)。开展助学活动：帮助特困小学生246 人，每人 1000 元，特困初中生358人，每人 1500 元，特困大学新生 89 人，每人 3000 元的助学金，共发放金105 万元。三个衣恋阳光班共资助优秀贫困高中生 90 人，每年每个学生接受资助韩国衣恋集团 3000元，今年从省慈善总会争取到 5 万元资助今年依恋阳光班高三毕业生考取大学的贫困学子。</w:t>
      </w:r>
    </w:p>
    <w:p w14:paraId="55DA2A00">
      <w:pPr>
        <w:ind w:firstLine="643"/>
        <w:rPr>
          <w:rFonts w:ascii="仿宋" w:hAnsi="仿宋" w:cs="仿宋"/>
          <w:b/>
          <w:bCs/>
          <w:sz w:val="32"/>
          <w:szCs w:val="32"/>
        </w:rPr>
      </w:pPr>
      <w:r>
        <w:rPr>
          <w:rFonts w:hint="eastAsia" w:ascii="仿宋" w:hAnsi="仿宋" w:cs="仿宋"/>
          <w:b/>
          <w:bCs/>
          <w:sz w:val="32"/>
          <w:szCs w:val="32"/>
        </w:rPr>
        <w:t>（七）守住老区建设阵地，推动红色资源大放光彩</w:t>
      </w:r>
    </w:p>
    <w:p w14:paraId="19E16BA6">
      <w:pPr>
        <w:spacing w:line="560" w:lineRule="exact"/>
        <w:ind w:firstLine="640"/>
        <w:rPr>
          <w:rFonts w:ascii="仿宋" w:hAnsi="仿宋" w:cs="仿宋"/>
          <w:b/>
          <w:bCs/>
          <w:sz w:val="32"/>
          <w:szCs w:val="32"/>
        </w:rPr>
      </w:pPr>
      <w:r>
        <w:rPr>
          <w:rFonts w:hint="eastAsia" w:ascii="仿宋" w:hAnsi="仿宋" w:cs="仿宋"/>
          <w:sz w:val="32"/>
          <w:szCs w:val="32"/>
        </w:rPr>
        <w:t>一是积极努力向上级主管部门申报老区扶持项目，多方面争取上级财政对我县老区的资金扶持，绥宁县作为革命老区，我们积极向上级有关部门争取项目和资金。五年共争取到老区建设资金56万元。分别修建瓦屋塘镇枫门岭村和庙湾村、寨市乡六鹅洞村、黄土矿镇源头村和唐家村的部分村道，河口乡竹舟江村的照明工程。二是按时按质上报老区基础设施扶持项目，争取到长铺小水村等三个老区扶持项目，争取到财政扶贫专项资金10万元。三是对全县“三不通”村进行摸底调查。通过摸底调查统计，我县目前“三不通”村共有215个村，其中“水不通”村159个，“电不通”村1个（金屋镇的砖屋村），“路不通”村55个，我县老区扶助工作任重而道远，老区办在此调查基础上着手进行我县老区扶持项目库的建立；为促进革命老区经济又快又好发展，制定出台老区扶持发展五年规划，对我县老区未来五年甚至十年文化、卫生、交通、水利等各方面的发展做出科学合理规划。五共争取到老区发展扶贫资金220 万元，老区扶贫项目 6 个。即金屋塘镇双飞村道路维修工程、万紫村自来水修建工程、黄土矿镇石溪村板岭片道路修建工程、在市苗族侗族乡铁杉林村道路维修工程、乐安侗族乡大冻村道路维修工程、河口苗族乡杨家寨村自来水修建工程、李熙镇李西村道路维修工程。目前上述老区项目工程均已验收通过，资金均已拨付到各项目建设单位。</w:t>
      </w:r>
    </w:p>
    <w:p w14:paraId="5A07F05A">
      <w:pPr>
        <w:widowControl/>
        <w:shd w:val="clear" w:color="auto" w:fill="FFFFFF"/>
        <w:spacing w:line="480" w:lineRule="auto"/>
        <w:ind w:firstLine="643"/>
        <w:jc w:val="center"/>
        <w:rPr>
          <w:rFonts w:ascii="仿宋" w:hAnsi="仿宋" w:cs="仿宋"/>
          <w:color w:val="535353"/>
          <w:kern w:val="0"/>
          <w:sz w:val="32"/>
          <w:szCs w:val="32"/>
        </w:rPr>
      </w:pPr>
      <w:r>
        <w:rPr>
          <w:rFonts w:hint="eastAsia" w:ascii="仿宋" w:hAnsi="仿宋" w:cs="仿宋"/>
          <w:b/>
          <w:bCs/>
          <w:color w:val="535353"/>
          <w:kern w:val="0"/>
          <w:sz w:val="32"/>
          <w:szCs w:val="32"/>
        </w:rPr>
        <w:t>表1-1   “十三五”民政事业发展主要指标完成情况</w:t>
      </w:r>
    </w:p>
    <w:tbl>
      <w:tblPr>
        <w:tblStyle w:val="14"/>
        <w:tblW w:w="4961" w:type="pct"/>
        <w:tblInd w:w="0" w:type="dxa"/>
        <w:tblLayout w:type="autofit"/>
        <w:tblCellMar>
          <w:top w:w="0" w:type="dxa"/>
          <w:left w:w="108" w:type="dxa"/>
          <w:bottom w:w="0" w:type="dxa"/>
          <w:right w:w="108" w:type="dxa"/>
        </w:tblCellMar>
      </w:tblPr>
      <w:tblGrid>
        <w:gridCol w:w="3793"/>
        <w:gridCol w:w="1108"/>
        <w:gridCol w:w="1110"/>
        <w:gridCol w:w="1269"/>
        <w:gridCol w:w="1176"/>
      </w:tblGrid>
      <w:tr w14:paraId="54C5E372">
        <w:tblPrEx>
          <w:tblCellMar>
            <w:top w:w="0" w:type="dxa"/>
            <w:left w:w="108" w:type="dxa"/>
            <w:bottom w:w="0" w:type="dxa"/>
            <w:right w:w="108" w:type="dxa"/>
          </w:tblCellMar>
        </w:tblPrEx>
        <w:trPr>
          <w:trHeight w:val="667" w:hRule="exact"/>
        </w:trPr>
        <w:tc>
          <w:tcPr>
            <w:tcW w:w="2242" w:type="pct"/>
            <w:tcBorders>
              <w:top w:val="single" w:color="auto" w:sz="8" w:space="0"/>
              <w:left w:val="single" w:color="auto" w:sz="8" w:space="0"/>
              <w:bottom w:val="nil"/>
              <w:right w:val="single" w:color="auto" w:sz="8" w:space="0"/>
            </w:tcBorders>
            <w:shd w:val="clear" w:color="auto" w:fill="auto"/>
            <w:vAlign w:val="center"/>
          </w:tcPr>
          <w:p w14:paraId="1AD034EF">
            <w:pPr>
              <w:widowControl/>
              <w:ind w:firstLine="600" w:firstLineChars="0"/>
              <w:rPr>
                <w:rFonts w:ascii="仿宋" w:hAnsi="仿宋" w:cs="仿宋"/>
                <w:color w:val="000000"/>
                <w:kern w:val="0"/>
                <w:sz w:val="24"/>
                <w:szCs w:val="24"/>
              </w:rPr>
            </w:pPr>
            <w:r>
              <w:rPr>
                <w:rFonts w:hint="eastAsia" w:ascii="仿宋" w:hAnsi="仿宋" w:cs="仿宋"/>
                <w:b/>
                <w:bCs/>
                <w:color w:val="535353"/>
                <w:kern w:val="0"/>
                <w:sz w:val="24"/>
                <w:szCs w:val="24"/>
              </w:rPr>
              <w:t> </w:t>
            </w:r>
            <w:r>
              <w:rPr>
                <w:rFonts w:hint="eastAsia" w:ascii="仿宋" w:hAnsi="仿宋" w:cs="仿宋"/>
                <w:color w:val="000000"/>
                <w:kern w:val="0"/>
                <w:sz w:val="24"/>
                <w:szCs w:val="24"/>
              </w:rPr>
              <w:t>指标名称</w:t>
            </w:r>
          </w:p>
        </w:tc>
        <w:tc>
          <w:tcPr>
            <w:tcW w:w="655" w:type="pct"/>
            <w:tcBorders>
              <w:top w:val="single" w:color="auto" w:sz="8" w:space="0"/>
              <w:left w:val="nil"/>
              <w:bottom w:val="nil"/>
              <w:right w:val="single" w:color="auto" w:sz="8" w:space="0"/>
            </w:tcBorders>
            <w:shd w:val="clear" w:color="auto" w:fill="auto"/>
            <w:vAlign w:val="center"/>
          </w:tcPr>
          <w:p w14:paraId="3A089C82">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2015年实际数</w:t>
            </w:r>
          </w:p>
        </w:tc>
        <w:tc>
          <w:tcPr>
            <w:tcW w:w="656" w:type="pct"/>
            <w:tcBorders>
              <w:top w:val="single" w:color="auto" w:sz="8" w:space="0"/>
              <w:left w:val="nil"/>
              <w:bottom w:val="nil"/>
              <w:right w:val="single" w:color="auto" w:sz="8" w:space="0"/>
            </w:tcBorders>
            <w:shd w:val="clear" w:color="auto" w:fill="auto"/>
            <w:vAlign w:val="center"/>
          </w:tcPr>
          <w:p w14:paraId="0B3C0A83">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2019年</w:t>
            </w:r>
          </w:p>
        </w:tc>
        <w:tc>
          <w:tcPr>
            <w:tcW w:w="750" w:type="pct"/>
            <w:tcBorders>
              <w:top w:val="single" w:color="auto" w:sz="8" w:space="0"/>
              <w:left w:val="nil"/>
              <w:bottom w:val="nil"/>
              <w:right w:val="single" w:color="auto" w:sz="8" w:space="0"/>
            </w:tcBorders>
            <w:shd w:val="clear" w:color="auto" w:fill="auto"/>
            <w:vAlign w:val="center"/>
          </w:tcPr>
          <w:p w14:paraId="24DDB5C0">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年均增长率（％）</w:t>
            </w:r>
          </w:p>
        </w:tc>
        <w:tc>
          <w:tcPr>
            <w:tcW w:w="695" w:type="pct"/>
            <w:tcBorders>
              <w:top w:val="single" w:color="auto" w:sz="8" w:space="0"/>
              <w:left w:val="nil"/>
              <w:bottom w:val="nil"/>
              <w:right w:val="single" w:color="auto" w:sz="8" w:space="0"/>
            </w:tcBorders>
            <w:shd w:val="clear" w:color="auto" w:fill="auto"/>
            <w:vAlign w:val="center"/>
          </w:tcPr>
          <w:p w14:paraId="0421C3EB">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指标属性</w:t>
            </w:r>
          </w:p>
        </w:tc>
      </w:tr>
      <w:tr w14:paraId="7D168966">
        <w:tblPrEx>
          <w:tblCellMar>
            <w:top w:w="0" w:type="dxa"/>
            <w:left w:w="108" w:type="dxa"/>
            <w:bottom w:w="0" w:type="dxa"/>
            <w:right w:w="108" w:type="dxa"/>
          </w:tblCellMar>
        </w:tblPrEx>
        <w:trPr>
          <w:trHeight w:val="582" w:hRule="exact"/>
        </w:trPr>
        <w:tc>
          <w:tcPr>
            <w:tcW w:w="2242" w:type="pct"/>
            <w:tcBorders>
              <w:top w:val="single" w:color="auto" w:sz="8" w:space="0"/>
              <w:left w:val="single" w:color="auto" w:sz="8" w:space="0"/>
              <w:bottom w:val="single" w:color="auto" w:sz="8" w:space="0"/>
              <w:right w:val="single" w:color="auto" w:sz="8" w:space="0"/>
            </w:tcBorders>
            <w:shd w:val="clear" w:color="auto" w:fill="auto"/>
            <w:vAlign w:val="center"/>
          </w:tcPr>
          <w:p w14:paraId="689D8312">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城市低保月均保障人数（万人）</w:t>
            </w:r>
          </w:p>
        </w:tc>
        <w:tc>
          <w:tcPr>
            <w:tcW w:w="655" w:type="pct"/>
            <w:tcBorders>
              <w:top w:val="single" w:color="auto" w:sz="8" w:space="0"/>
              <w:left w:val="nil"/>
              <w:bottom w:val="single" w:color="auto" w:sz="8" w:space="0"/>
              <w:right w:val="single" w:color="auto" w:sz="8" w:space="0"/>
            </w:tcBorders>
            <w:shd w:val="clear" w:color="auto" w:fill="auto"/>
            <w:vAlign w:val="center"/>
          </w:tcPr>
          <w:p w14:paraId="6EA227E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0.11</w:t>
            </w:r>
          </w:p>
        </w:tc>
        <w:tc>
          <w:tcPr>
            <w:tcW w:w="656" w:type="pct"/>
            <w:tcBorders>
              <w:top w:val="single" w:color="auto" w:sz="8" w:space="0"/>
              <w:left w:val="nil"/>
              <w:bottom w:val="single" w:color="auto" w:sz="8" w:space="0"/>
              <w:right w:val="single" w:color="auto" w:sz="8" w:space="0"/>
            </w:tcBorders>
            <w:shd w:val="clear" w:color="auto" w:fill="auto"/>
            <w:vAlign w:val="center"/>
          </w:tcPr>
          <w:p w14:paraId="103681A1">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0.12</w:t>
            </w:r>
          </w:p>
        </w:tc>
        <w:tc>
          <w:tcPr>
            <w:tcW w:w="750" w:type="pct"/>
            <w:tcBorders>
              <w:top w:val="single" w:color="auto" w:sz="8" w:space="0"/>
              <w:left w:val="nil"/>
              <w:bottom w:val="single" w:color="auto" w:sz="8" w:space="0"/>
              <w:right w:val="single" w:color="auto" w:sz="8" w:space="0"/>
            </w:tcBorders>
            <w:shd w:val="clear" w:color="auto" w:fill="auto"/>
            <w:vAlign w:val="center"/>
          </w:tcPr>
          <w:p w14:paraId="21F16704">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1.84%</w:t>
            </w:r>
          </w:p>
        </w:tc>
        <w:tc>
          <w:tcPr>
            <w:tcW w:w="695" w:type="pct"/>
            <w:tcBorders>
              <w:top w:val="single" w:color="auto" w:sz="8" w:space="0"/>
              <w:left w:val="nil"/>
              <w:bottom w:val="single" w:color="auto" w:sz="8" w:space="0"/>
              <w:right w:val="single" w:color="auto" w:sz="8" w:space="0"/>
            </w:tcBorders>
            <w:shd w:val="clear" w:color="auto" w:fill="auto"/>
            <w:vAlign w:val="center"/>
          </w:tcPr>
          <w:p w14:paraId="0796D6B6">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5103033D">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0EBC52D9">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城市低保标准（元）</w:t>
            </w:r>
          </w:p>
        </w:tc>
        <w:tc>
          <w:tcPr>
            <w:tcW w:w="655" w:type="pct"/>
            <w:tcBorders>
              <w:top w:val="nil"/>
              <w:left w:val="nil"/>
              <w:bottom w:val="single" w:color="auto" w:sz="8" w:space="0"/>
              <w:right w:val="single" w:color="auto" w:sz="8" w:space="0"/>
            </w:tcBorders>
            <w:shd w:val="clear" w:color="auto" w:fill="auto"/>
            <w:vAlign w:val="center"/>
          </w:tcPr>
          <w:p w14:paraId="534AA80D">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177</w:t>
            </w:r>
          </w:p>
        </w:tc>
        <w:tc>
          <w:tcPr>
            <w:tcW w:w="656" w:type="pct"/>
            <w:tcBorders>
              <w:top w:val="nil"/>
              <w:left w:val="nil"/>
              <w:bottom w:val="single" w:color="auto" w:sz="8" w:space="0"/>
              <w:right w:val="single" w:color="auto" w:sz="8" w:space="0"/>
            </w:tcBorders>
            <w:shd w:val="clear" w:color="auto" w:fill="auto"/>
            <w:vAlign w:val="center"/>
          </w:tcPr>
          <w:p w14:paraId="04AA3122">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350</w:t>
            </w:r>
          </w:p>
        </w:tc>
        <w:tc>
          <w:tcPr>
            <w:tcW w:w="750" w:type="pct"/>
            <w:tcBorders>
              <w:top w:val="nil"/>
              <w:left w:val="nil"/>
              <w:bottom w:val="single" w:color="auto" w:sz="8" w:space="0"/>
              <w:right w:val="single" w:color="auto" w:sz="8" w:space="0"/>
            </w:tcBorders>
            <w:shd w:val="clear" w:color="auto" w:fill="auto"/>
            <w:vAlign w:val="center"/>
          </w:tcPr>
          <w:p w14:paraId="2B581F2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19.60%</w:t>
            </w:r>
          </w:p>
        </w:tc>
        <w:tc>
          <w:tcPr>
            <w:tcW w:w="695" w:type="pct"/>
            <w:tcBorders>
              <w:top w:val="nil"/>
              <w:left w:val="nil"/>
              <w:bottom w:val="single" w:color="auto" w:sz="8" w:space="0"/>
              <w:right w:val="single" w:color="auto" w:sz="8" w:space="0"/>
            </w:tcBorders>
            <w:shd w:val="clear" w:color="auto" w:fill="auto"/>
            <w:vAlign w:val="center"/>
          </w:tcPr>
          <w:p w14:paraId="10AA4EE6">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73BC9BC9">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0DD31237">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农村低保月均保障人数（万人）</w:t>
            </w:r>
          </w:p>
        </w:tc>
        <w:tc>
          <w:tcPr>
            <w:tcW w:w="655" w:type="pct"/>
            <w:tcBorders>
              <w:top w:val="nil"/>
              <w:left w:val="nil"/>
              <w:bottom w:val="single" w:color="auto" w:sz="8" w:space="0"/>
              <w:right w:val="single" w:color="auto" w:sz="8" w:space="0"/>
            </w:tcBorders>
            <w:shd w:val="clear" w:color="auto" w:fill="auto"/>
            <w:vAlign w:val="center"/>
          </w:tcPr>
          <w:p w14:paraId="18BC799B">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1.02</w:t>
            </w:r>
          </w:p>
        </w:tc>
        <w:tc>
          <w:tcPr>
            <w:tcW w:w="656" w:type="pct"/>
            <w:tcBorders>
              <w:top w:val="nil"/>
              <w:left w:val="nil"/>
              <w:bottom w:val="single" w:color="auto" w:sz="8" w:space="0"/>
              <w:right w:val="single" w:color="auto" w:sz="8" w:space="0"/>
            </w:tcBorders>
            <w:shd w:val="clear" w:color="auto" w:fill="auto"/>
            <w:vAlign w:val="center"/>
          </w:tcPr>
          <w:p w14:paraId="3BEF3821">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1.27</w:t>
            </w:r>
          </w:p>
        </w:tc>
        <w:tc>
          <w:tcPr>
            <w:tcW w:w="750" w:type="pct"/>
            <w:tcBorders>
              <w:top w:val="nil"/>
              <w:left w:val="nil"/>
              <w:bottom w:val="single" w:color="auto" w:sz="8" w:space="0"/>
              <w:right w:val="single" w:color="auto" w:sz="8" w:space="0"/>
            </w:tcBorders>
            <w:shd w:val="clear" w:color="auto" w:fill="auto"/>
            <w:vAlign w:val="center"/>
          </w:tcPr>
          <w:p w14:paraId="13801F82">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6.34%</w:t>
            </w:r>
          </w:p>
        </w:tc>
        <w:tc>
          <w:tcPr>
            <w:tcW w:w="695" w:type="pct"/>
            <w:tcBorders>
              <w:top w:val="nil"/>
              <w:left w:val="nil"/>
              <w:bottom w:val="single" w:color="auto" w:sz="8" w:space="0"/>
              <w:right w:val="single" w:color="auto" w:sz="8" w:space="0"/>
            </w:tcBorders>
            <w:shd w:val="clear" w:color="auto" w:fill="auto"/>
            <w:vAlign w:val="center"/>
          </w:tcPr>
          <w:p w14:paraId="7306452C">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60F0DD50">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0F749908">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农村低保标准（元）</w:t>
            </w:r>
          </w:p>
        </w:tc>
        <w:tc>
          <w:tcPr>
            <w:tcW w:w="655" w:type="pct"/>
            <w:tcBorders>
              <w:top w:val="nil"/>
              <w:left w:val="nil"/>
              <w:bottom w:val="single" w:color="auto" w:sz="8" w:space="0"/>
              <w:right w:val="single" w:color="auto" w:sz="8" w:space="0"/>
            </w:tcBorders>
            <w:shd w:val="clear" w:color="auto" w:fill="auto"/>
            <w:vAlign w:val="center"/>
          </w:tcPr>
          <w:p w14:paraId="78767AC9">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65</w:t>
            </w:r>
          </w:p>
        </w:tc>
        <w:tc>
          <w:tcPr>
            <w:tcW w:w="656" w:type="pct"/>
            <w:tcBorders>
              <w:top w:val="nil"/>
              <w:left w:val="nil"/>
              <w:bottom w:val="single" w:color="auto" w:sz="8" w:space="0"/>
              <w:right w:val="single" w:color="auto" w:sz="8" w:space="0"/>
            </w:tcBorders>
            <w:shd w:val="clear" w:color="auto" w:fill="auto"/>
            <w:vAlign w:val="center"/>
          </w:tcPr>
          <w:p w14:paraId="120AA20D">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213</w:t>
            </w:r>
          </w:p>
        </w:tc>
        <w:tc>
          <w:tcPr>
            <w:tcW w:w="750" w:type="pct"/>
            <w:tcBorders>
              <w:top w:val="nil"/>
              <w:left w:val="nil"/>
              <w:bottom w:val="single" w:color="auto" w:sz="8" w:space="0"/>
              <w:right w:val="single" w:color="auto" w:sz="8" w:space="0"/>
            </w:tcBorders>
            <w:shd w:val="clear" w:color="auto" w:fill="auto"/>
            <w:vAlign w:val="center"/>
          </w:tcPr>
          <w:p w14:paraId="235C79C9">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24.48%</w:t>
            </w:r>
          </w:p>
        </w:tc>
        <w:tc>
          <w:tcPr>
            <w:tcW w:w="695" w:type="pct"/>
            <w:tcBorders>
              <w:top w:val="nil"/>
              <w:left w:val="nil"/>
              <w:bottom w:val="single" w:color="auto" w:sz="8" w:space="0"/>
              <w:right w:val="single" w:color="auto" w:sz="8" w:space="0"/>
            </w:tcBorders>
            <w:shd w:val="clear" w:color="auto" w:fill="auto"/>
            <w:vAlign w:val="center"/>
          </w:tcPr>
          <w:p w14:paraId="4610C378">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5E453D5E">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480EDB45">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农村五保供养人数（万人）</w:t>
            </w:r>
          </w:p>
        </w:tc>
        <w:tc>
          <w:tcPr>
            <w:tcW w:w="655" w:type="pct"/>
            <w:tcBorders>
              <w:top w:val="nil"/>
              <w:left w:val="nil"/>
              <w:bottom w:val="single" w:color="auto" w:sz="8" w:space="0"/>
              <w:right w:val="single" w:color="auto" w:sz="8" w:space="0"/>
            </w:tcBorders>
            <w:shd w:val="clear" w:color="auto" w:fill="auto"/>
            <w:vAlign w:val="center"/>
          </w:tcPr>
          <w:p w14:paraId="500C27B1">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0.09</w:t>
            </w:r>
          </w:p>
        </w:tc>
        <w:tc>
          <w:tcPr>
            <w:tcW w:w="656" w:type="pct"/>
            <w:tcBorders>
              <w:top w:val="nil"/>
              <w:left w:val="nil"/>
              <w:bottom w:val="single" w:color="auto" w:sz="8" w:space="0"/>
              <w:right w:val="single" w:color="auto" w:sz="8" w:space="0"/>
            </w:tcBorders>
            <w:shd w:val="clear" w:color="auto" w:fill="auto"/>
            <w:vAlign w:val="center"/>
          </w:tcPr>
          <w:p w14:paraId="09CAB4DE">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0.12</w:t>
            </w:r>
          </w:p>
        </w:tc>
        <w:tc>
          <w:tcPr>
            <w:tcW w:w="750" w:type="pct"/>
            <w:tcBorders>
              <w:top w:val="nil"/>
              <w:left w:val="nil"/>
              <w:bottom w:val="single" w:color="auto" w:sz="8" w:space="0"/>
              <w:right w:val="single" w:color="auto" w:sz="8" w:space="0"/>
            </w:tcBorders>
            <w:shd w:val="clear" w:color="auto" w:fill="auto"/>
            <w:vAlign w:val="center"/>
          </w:tcPr>
          <w:p w14:paraId="56836AE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6.66%</w:t>
            </w:r>
          </w:p>
        </w:tc>
        <w:tc>
          <w:tcPr>
            <w:tcW w:w="695" w:type="pct"/>
            <w:tcBorders>
              <w:top w:val="nil"/>
              <w:left w:val="nil"/>
              <w:bottom w:val="single" w:color="auto" w:sz="8" w:space="0"/>
              <w:right w:val="single" w:color="auto" w:sz="8" w:space="0"/>
            </w:tcBorders>
            <w:shd w:val="clear" w:color="auto" w:fill="auto"/>
            <w:vAlign w:val="center"/>
          </w:tcPr>
          <w:p w14:paraId="3851F8A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16427FBB">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2616A83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农村五保年分散供养标准（元）</w:t>
            </w:r>
          </w:p>
        </w:tc>
        <w:tc>
          <w:tcPr>
            <w:tcW w:w="655" w:type="pct"/>
            <w:tcBorders>
              <w:top w:val="nil"/>
              <w:left w:val="nil"/>
              <w:bottom w:val="single" w:color="auto" w:sz="8" w:space="0"/>
              <w:right w:val="single" w:color="auto" w:sz="8" w:space="0"/>
            </w:tcBorders>
            <w:shd w:val="clear" w:color="auto" w:fill="auto"/>
            <w:vAlign w:val="center"/>
          </w:tcPr>
          <w:p w14:paraId="7D59B40F">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3670</w:t>
            </w:r>
          </w:p>
        </w:tc>
        <w:tc>
          <w:tcPr>
            <w:tcW w:w="656" w:type="pct"/>
            <w:tcBorders>
              <w:top w:val="nil"/>
              <w:left w:val="nil"/>
              <w:bottom w:val="single" w:color="auto" w:sz="8" w:space="0"/>
              <w:right w:val="single" w:color="auto" w:sz="8" w:space="0"/>
            </w:tcBorders>
            <w:shd w:val="clear" w:color="auto" w:fill="auto"/>
            <w:vAlign w:val="center"/>
          </w:tcPr>
          <w:p w14:paraId="6DC87E01">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4380</w:t>
            </w:r>
          </w:p>
        </w:tc>
        <w:tc>
          <w:tcPr>
            <w:tcW w:w="750" w:type="pct"/>
            <w:tcBorders>
              <w:top w:val="nil"/>
              <w:left w:val="nil"/>
              <w:bottom w:val="single" w:color="auto" w:sz="8" w:space="0"/>
              <w:right w:val="single" w:color="auto" w:sz="8" w:space="0"/>
            </w:tcBorders>
            <w:shd w:val="clear" w:color="auto" w:fill="auto"/>
            <w:vAlign w:val="center"/>
          </w:tcPr>
          <w:p w14:paraId="73DF1263">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19.34%</w:t>
            </w:r>
          </w:p>
        </w:tc>
        <w:tc>
          <w:tcPr>
            <w:tcW w:w="695" w:type="pct"/>
            <w:tcBorders>
              <w:top w:val="nil"/>
              <w:left w:val="nil"/>
              <w:bottom w:val="single" w:color="auto" w:sz="8" w:space="0"/>
              <w:right w:val="single" w:color="auto" w:sz="8" w:space="0"/>
            </w:tcBorders>
            <w:shd w:val="clear" w:color="auto" w:fill="auto"/>
            <w:vAlign w:val="center"/>
          </w:tcPr>
          <w:p w14:paraId="17604CD9">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271EE97C">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6FD2D48F">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农村敬老院（所）</w:t>
            </w:r>
          </w:p>
        </w:tc>
        <w:tc>
          <w:tcPr>
            <w:tcW w:w="655" w:type="pct"/>
            <w:tcBorders>
              <w:top w:val="nil"/>
              <w:left w:val="nil"/>
              <w:bottom w:val="single" w:color="auto" w:sz="8" w:space="0"/>
              <w:right w:val="single" w:color="auto" w:sz="8" w:space="0"/>
            </w:tcBorders>
            <w:shd w:val="clear" w:color="auto" w:fill="auto"/>
            <w:vAlign w:val="center"/>
          </w:tcPr>
          <w:p w14:paraId="16F463FF">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9</w:t>
            </w:r>
          </w:p>
        </w:tc>
        <w:tc>
          <w:tcPr>
            <w:tcW w:w="656" w:type="pct"/>
            <w:tcBorders>
              <w:top w:val="nil"/>
              <w:left w:val="nil"/>
              <w:bottom w:val="single" w:color="auto" w:sz="8" w:space="0"/>
              <w:right w:val="single" w:color="auto" w:sz="8" w:space="0"/>
            </w:tcBorders>
            <w:shd w:val="clear" w:color="auto" w:fill="auto"/>
            <w:vAlign w:val="center"/>
          </w:tcPr>
          <w:p w14:paraId="05E31CA8">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15</w:t>
            </w:r>
          </w:p>
        </w:tc>
        <w:tc>
          <w:tcPr>
            <w:tcW w:w="750" w:type="pct"/>
            <w:tcBorders>
              <w:top w:val="nil"/>
              <w:left w:val="nil"/>
              <w:bottom w:val="single" w:color="auto" w:sz="8" w:space="0"/>
              <w:right w:val="single" w:color="auto" w:sz="8" w:space="0"/>
            </w:tcBorders>
            <w:shd w:val="clear" w:color="auto" w:fill="auto"/>
            <w:vAlign w:val="center"/>
          </w:tcPr>
          <w:p w14:paraId="34159697">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13.33%</w:t>
            </w:r>
          </w:p>
        </w:tc>
        <w:tc>
          <w:tcPr>
            <w:tcW w:w="695" w:type="pct"/>
            <w:tcBorders>
              <w:top w:val="nil"/>
              <w:left w:val="nil"/>
              <w:bottom w:val="single" w:color="auto" w:sz="8" w:space="0"/>
              <w:right w:val="single" w:color="auto" w:sz="8" w:space="0"/>
            </w:tcBorders>
            <w:shd w:val="clear" w:color="auto" w:fill="auto"/>
            <w:vAlign w:val="center"/>
          </w:tcPr>
          <w:p w14:paraId="6D5A9F3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约束性</w:t>
            </w:r>
          </w:p>
        </w:tc>
      </w:tr>
      <w:tr w14:paraId="6E951DA2">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69F170F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农村五保集中供养率（％）</w:t>
            </w:r>
          </w:p>
        </w:tc>
        <w:tc>
          <w:tcPr>
            <w:tcW w:w="655" w:type="pct"/>
            <w:tcBorders>
              <w:top w:val="nil"/>
              <w:left w:val="nil"/>
              <w:bottom w:val="single" w:color="auto" w:sz="8" w:space="0"/>
              <w:right w:val="single" w:color="auto" w:sz="8" w:space="0"/>
            </w:tcBorders>
            <w:shd w:val="clear" w:color="auto" w:fill="auto"/>
            <w:vAlign w:val="center"/>
          </w:tcPr>
          <w:p w14:paraId="06289244">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17</w:t>
            </w:r>
          </w:p>
        </w:tc>
        <w:tc>
          <w:tcPr>
            <w:tcW w:w="656" w:type="pct"/>
            <w:tcBorders>
              <w:top w:val="nil"/>
              <w:left w:val="nil"/>
              <w:bottom w:val="single" w:color="auto" w:sz="8" w:space="0"/>
              <w:right w:val="single" w:color="auto" w:sz="8" w:space="0"/>
            </w:tcBorders>
            <w:shd w:val="clear" w:color="auto" w:fill="auto"/>
            <w:vAlign w:val="center"/>
          </w:tcPr>
          <w:p w14:paraId="3DD83AB2">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28</w:t>
            </w:r>
          </w:p>
        </w:tc>
        <w:tc>
          <w:tcPr>
            <w:tcW w:w="750" w:type="pct"/>
            <w:tcBorders>
              <w:top w:val="nil"/>
              <w:left w:val="nil"/>
              <w:bottom w:val="single" w:color="auto" w:sz="8" w:space="0"/>
              <w:right w:val="single" w:color="auto" w:sz="8" w:space="0"/>
            </w:tcBorders>
            <w:shd w:val="clear" w:color="auto" w:fill="auto"/>
            <w:vAlign w:val="center"/>
          </w:tcPr>
          <w:p w14:paraId="29391688">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12.30%</w:t>
            </w:r>
          </w:p>
        </w:tc>
        <w:tc>
          <w:tcPr>
            <w:tcW w:w="695" w:type="pct"/>
            <w:tcBorders>
              <w:top w:val="nil"/>
              <w:left w:val="nil"/>
              <w:bottom w:val="single" w:color="auto" w:sz="8" w:space="0"/>
              <w:right w:val="single" w:color="auto" w:sz="8" w:space="0"/>
            </w:tcBorders>
            <w:shd w:val="clear" w:color="auto" w:fill="auto"/>
            <w:vAlign w:val="center"/>
          </w:tcPr>
          <w:p w14:paraId="34546CAF">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4EF64033">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22DC7F65">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城市居委会依法自治率（％）</w:t>
            </w:r>
          </w:p>
        </w:tc>
        <w:tc>
          <w:tcPr>
            <w:tcW w:w="655" w:type="pct"/>
            <w:tcBorders>
              <w:top w:val="nil"/>
              <w:left w:val="nil"/>
              <w:bottom w:val="single" w:color="auto" w:sz="8" w:space="0"/>
              <w:right w:val="single" w:color="auto" w:sz="8" w:space="0"/>
            </w:tcBorders>
            <w:shd w:val="clear" w:color="auto" w:fill="auto"/>
            <w:vAlign w:val="center"/>
          </w:tcPr>
          <w:p w14:paraId="0C0C007E">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86</w:t>
            </w:r>
          </w:p>
        </w:tc>
        <w:tc>
          <w:tcPr>
            <w:tcW w:w="656" w:type="pct"/>
            <w:tcBorders>
              <w:top w:val="nil"/>
              <w:left w:val="nil"/>
              <w:bottom w:val="single" w:color="auto" w:sz="8" w:space="0"/>
              <w:right w:val="single" w:color="auto" w:sz="8" w:space="0"/>
            </w:tcBorders>
            <w:shd w:val="clear" w:color="auto" w:fill="auto"/>
            <w:vAlign w:val="center"/>
          </w:tcPr>
          <w:p w14:paraId="273E1027">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90.2</w:t>
            </w:r>
          </w:p>
        </w:tc>
        <w:tc>
          <w:tcPr>
            <w:tcW w:w="750" w:type="pct"/>
            <w:tcBorders>
              <w:top w:val="nil"/>
              <w:left w:val="nil"/>
              <w:bottom w:val="single" w:color="auto" w:sz="8" w:space="0"/>
              <w:right w:val="single" w:color="auto" w:sz="8" w:space="0"/>
            </w:tcBorders>
            <w:shd w:val="clear" w:color="auto" w:fill="auto"/>
            <w:vAlign w:val="center"/>
          </w:tcPr>
          <w:p w14:paraId="6D84D1B9">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0.96</w:t>
            </w:r>
          </w:p>
        </w:tc>
        <w:tc>
          <w:tcPr>
            <w:tcW w:w="695" w:type="pct"/>
            <w:tcBorders>
              <w:top w:val="nil"/>
              <w:left w:val="nil"/>
              <w:bottom w:val="single" w:color="auto" w:sz="8" w:space="0"/>
              <w:right w:val="single" w:color="auto" w:sz="8" w:space="0"/>
            </w:tcBorders>
            <w:shd w:val="clear" w:color="auto" w:fill="auto"/>
            <w:vAlign w:val="center"/>
          </w:tcPr>
          <w:p w14:paraId="32DB17E6">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约束性</w:t>
            </w:r>
          </w:p>
        </w:tc>
      </w:tr>
      <w:tr w14:paraId="20C8B54B">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502442AD">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农村村委会依法自治率（％）</w:t>
            </w:r>
          </w:p>
        </w:tc>
        <w:tc>
          <w:tcPr>
            <w:tcW w:w="655" w:type="pct"/>
            <w:tcBorders>
              <w:top w:val="nil"/>
              <w:left w:val="nil"/>
              <w:bottom w:val="single" w:color="auto" w:sz="8" w:space="0"/>
              <w:right w:val="single" w:color="auto" w:sz="8" w:space="0"/>
            </w:tcBorders>
            <w:shd w:val="clear" w:color="auto" w:fill="auto"/>
            <w:vAlign w:val="center"/>
          </w:tcPr>
          <w:p w14:paraId="661B3534">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85</w:t>
            </w:r>
          </w:p>
        </w:tc>
        <w:tc>
          <w:tcPr>
            <w:tcW w:w="656" w:type="pct"/>
            <w:tcBorders>
              <w:top w:val="nil"/>
              <w:left w:val="nil"/>
              <w:bottom w:val="single" w:color="auto" w:sz="8" w:space="0"/>
              <w:right w:val="single" w:color="auto" w:sz="8" w:space="0"/>
            </w:tcBorders>
            <w:shd w:val="clear" w:color="auto" w:fill="auto"/>
            <w:vAlign w:val="center"/>
          </w:tcPr>
          <w:p w14:paraId="1EA42B97">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90.1</w:t>
            </w:r>
          </w:p>
        </w:tc>
        <w:tc>
          <w:tcPr>
            <w:tcW w:w="750" w:type="pct"/>
            <w:tcBorders>
              <w:top w:val="nil"/>
              <w:left w:val="nil"/>
              <w:bottom w:val="single" w:color="auto" w:sz="8" w:space="0"/>
              <w:right w:val="single" w:color="auto" w:sz="8" w:space="0"/>
            </w:tcBorders>
            <w:shd w:val="clear" w:color="auto" w:fill="auto"/>
            <w:vAlign w:val="center"/>
          </w:tcPr>
          <w:p w14:paraId="3426031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1.17</w:t>
            </w:r>
          </w:p>
        </w:tc>
        <w:tc>
          <w:tcPr>
            <w:tcW w:w="695" w:type="pct"/>
            <w:tcBorders>
              <w:top w:val="nil"/>
              <w:left w:val="nil"/>
              <w:bottom w:val="single" w:color="auto" w:sz="8" w:space="0"/>
              <w:right w:val="single" w:color="auto" w:sz="8" w:space="0"/>
            </w:tcBorders>
            <w:shd w:val="clear" w:color="auto" w:fill="auto"/>
            <w:vAlign w:val="center"/>
          </w:tcPr>
          <w:p w14:paraId="2349C32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约束性</w:t>
            </w:r>
          </w:p>
        </w:tc>
      </w:tr>
      <w:tr w14:paraId="7B8756A4">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3DD7F7A5">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救助管理站（所）</w:t>
            </w:r>
          </w:p>
        </w:tc>
        <w:tc>
          <w:tcPr>
            <w:tcW w:w="655" w:type="pct"/>
            <w:tcBorders>
              <w:top w:val="nil"/>
              <w:left w:val="nil"/>
              <w:bottom w:val="single" w:color="auto" w:sz="8" w:space="0"/>
              <w:right w:val="single" w:color="auto" w:sz="8" w:space="0"/>
            </w:tcBorders>
            <w:shd w:val="clear" w:color="auto" w:fill="auto"/>
            <w:vAlign w:val="center"/>
          </w:tcPr>
          <w:p w14:paraId="1B03977C">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w:t>
            </w:r>
          </w:p>
        </w:tc>
        <w:tc>
          <w:tcPr>
            <w:tcW w:w="656" w:type="pct"/>
            <w:tcBorders>
              <w:top w:val="nil"/>
              <w:left w:val="nil"/>
              <w:bottom w:val="single" w:color="auto" w:sz="8" w:space="0"/>
              <w:right w:val="single" w:color="auto" w:sz="8" w:space="0"/>
            </w:tcBorders>
            <w:shd w:val="clear" w:color="auto" w:fill="auto"/>
            <w:vAlign w:val="center"/>
          </w:tcPr>
          <w:p w14:paraId="2124E711">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w:t>
            </w:r>
          </w:p>
        </w:tc>
        <w:tc>
          <w:tcPr>
            <w:tcW w:w="750" w:type="pct"/>
            <w:tcBorders>
              <w:top w:val="nil"/>
              <w:left w:val="nil"/>
              <w:bottom w:val="single" w:color="auto" w:sz="8" w:space="0"/>
              <w:right w:val="single" w:color="auto" w:sz="8" w:space="0"/>
            </w:tcBorders>
            <w:shd w:val="clear" w:color="auto" w:fill="auto"/>
            <w:vAlign w:val="center"/>
          </w:tcPr>
          <w:p w14:paraId="3F4025A7">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20%</w:t>
            </w:r>
          </w:p>
        </w:tc>
        <w:tc>
          <w:tcPr>
            <w:tcW w:w="695" w:type="pct"/>
            <w:tcBorders>
              <w:top w:val="nil"/>
              <w:left w:val="nil"/>
              <w:bottom w:val="single" w:color="auto" w:sz="8" w:space="0"/>
              <w:right w:val="single" w:color="auto" w:sz="8" w:space="0"/>
            </w:tcBorders>
            <w:shd w:val="clear" w:color="auto" w:fill="auto"/>
            <w:vAlign w:val="center"/>
          </w:tcPr>
          <w:p w14:paraId="570B52F6">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约束性</w:t>
            </w:r>
          </w:p>
        </w:tc>
      </w:tr>
      <w:tr w14:paraId="4B5B01C4">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1F5575F5">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老年福利机构床位数（张）</w:t>
            </w:r>
          </w:p>
        </w:tc>
        <w:tc>
          <w:tcPr>
            <w:tcW w:w="655" w:type="pct"/>
            <w:tcBorders>
              <w:top w:val="nil"/>
              <w:left w:val="nil"/>
              <w:bottom w:val="single" w:color="auto" w:sz="8" w:space="0"/>
              <w:right w:val="single" w:color="auto" w:sz="8" w:space="0"/>
            </w:tcBorders>
            <w:shd w:val="clear" w:color="auto" w:fill="auto"/>
            <w:vAlign w:val="center"/>
          </w:tcPr>
          <w:p w14:paraId="41061F25">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100</w:t>
            </w:r>
          </w:p>
        </w:tc>
        <w:tc>
          <w:tcPr>
            <w:tcW w:w="656" w:type="pct"/>
            <w:tcBorders>
              <w:top w:val="nil"/>
              <w:left w:val="nil"/>
              <w:bottom w:val="single" w:color="auto" w:sz="8" w:space="0"/>
              <w:right w:val="single" w:color="auto" w:sz="8" w:space="0"/>
            </w:tcBorders>
            <w:shd w:val="clear" w:color="auto" w:fill="auto"/>
            <w:vAlign w:val="center"/>
          </w:tcPr>
          <w:p w14:paraId="697F4240">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200</w:t>
            </w:r>
          </w:p>
        </w:tc>
        <w:tc>
          <w:tcPr>
            <w:tcW w:w="750" w:type="pct"/>
            <w:tcBorders>
              <w:top w:val="nil"/>
              <w:left w:val="nil"/>
              <w:bottom w:val="single" w:color="auto" w:sz="8" w:space="0"/>
              <w:right w:val="single" w:color="auto" w:sz="8" w:space="0"/>
            </w:tcBorders>
            <w:shd w:val="clear" w:color="auto" w:fill="auto"/>
            <w:vAlign w:val="center"/>
          </w:tcPr>
          <w:p w14:paraId="6A1E2DA8">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20%</w:t>
            </w:r>
          </w:p>
        </w:tc>
        <w:tc>
          <w:tcPr>
            <w:tcW w:w="695" w:type="pct"/>
            <w:tcBorders>
              <w:top w:val="nil"/>
              <w:left w:val="nil"/>
              <w:bottom w:val="single" w:color="auto" w:sz="8" w:space="0"/>
              <w:right w:val="single" w:color="auto" w:sz="8" w:space="0"/>
            </w:tcBorders>
            <w:shd w:val="clear" w:color="auto" w:fill="auto"/>
            <w:vAlign w:val="center"/>
          </w:tcPr>
          <w:p w14:paraId="5AB8D1B5">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约束性</w:t>
            </w:r>
          </w:p>
        </w:tc>
      </w:tr>
      <w:tr w14:paraId="45693231">
        <w:tblPrEx>
          <w:tblCellMar>
            <w:top w:w="0" w:type="dxa"/>
            <w:left w:w="108" w:type="dxa"/>
            <w:bottom w:w="0" w:type="dxa"/>
            <w:right w:w="108" w:type="dxa"/>
          </w:tblCellMar>
        </w:tblPrEx>
        <w:trPr>
          <w:trHeight w:val="74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65B4641E">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每千名老人拥有养老床位占有率（‰）</w:t>
            </w:r>
          </w:p>
        </w:tc>
        <w:tc>
          <w:tcPr>
            <w:tcW w:w="655" w:type="pct"/>
            <w:tcBorders>
              <w:top w:val="nil"/>
              <w:left w:val="nil"/>
              <w:bottom w:val="single" w:color="auto" w:sz="8" w:space="0"/>
              <w:right w:val="single" w:color="auto" w:sz="8" w:space="0"/>
            </w:tcBorders>
            <w:shd w:val="clear" w:color="auto" w:fill="auto"/>
            <w:vAlign w:val="center"/>
          </w:tcPr>
          <w:p w14:paraId="4C003D6E">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3</w:t>
            </w:r>
          </w:p>
        </w:tc>
        <w:tc>
          <w:tcPr>
            <w:tcW w:w="656" w:type="pct"/>
            <w:tcBorders>
              <w:top w:val="nil"/>
              <w:left w:val="nil"/>
              <w:bottom w:val="single" w:color="auto" w:sz="8" w:space="0"/>
              <w:right w:val="single" w:color="auto" w:sz="8" w:space="0"/>
            </w:tcBorders>
            <w:shd w:val="clear" w:color="auto" w:fill="auto"/>
            <w:vAlign w:val="center"/>
          </w:tcPr>
          <w:p w14:paraId="080F51E0">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18</w:t>
            </w:r>
          </w:p>
        </w:tc>
        <w:tc>
          <w:tcPr>
            <w:tcW w:w="750" w:type="pct"/>
            <w:tcBorders>
              <w:top w:val="nil"/>
              <w:left w:val="nil"/>
              <w:bottom w:val="single" w:color="auto" w:sz="8" w:space="0"/>
              <w:right w:val="single" w:color="auto" w:sz="8" w:space="0"/>
            </w:tcBorders>
            <w:shd w:val="clear" w:color="auto" w:fill="auto"/>
            <w:vAlign w:val="center"/>
          </w:tcPr>
          <w:p w14:paraId="53B155A4">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46.14</w:t>
            </w:r>
          </w:p>
        </w:tc>
        <w:tc>
          <w:tcPr>
            <w:tcW w:w="695" w:type="pct"/>
            <w:tcBorders>
              <w:top w:val="nil"/>
              <w:left w:val="nil"/>
              <w:bottom w:val="single" w:color="auto" w:sz="8" w:space="0"/>
              <w:right w:val="single" w:color="auto" w:sz="8" w:space="0"/>
            </w:tcBorders>
            <w:shd w:val="clear" w:color="auto" w:fill="auto"/>
            <w:vAlign w:val="center"/>
          </w:tcPr>
          <w:p w14:paraId="0707A38F">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约束性</w:t>
            </w:r>
          </w:p>
        </w:tc>
      </w:tr>
      <w:tr w14:paraId="55B71150">
        <w:tblPrEx>
          <w:tblCellMar>
            <w:top w:w="0" w:type="dxa"/>
            <w:left w:w="108" w:type="dxa"/>
            <w:bottom w:w="0" w:type="dxa"/>
            <w:right w:w="108" w:type="dxa"/>
          </w:tblCellMar>
        </w:tblPrEx>
        <w:trPr>
          <w:trHeight w:val="458"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61F6C485">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五年累计发行福利彩票量（亿元）</w:t>
            </w:r>
          </w:p>
        </w:tc>
        <w:tc>
          <w:tcPr>
            <w:tcW w:w="655" w:type="pct"/>
            <w:tcBorders>
              <w:top w:val="nil"/>
              <w:left w:val="nil"/>
              <w:bottom w:val="single" w:color="auto" w:sz="8" w:space="0"/>
              <w:right w:val="single" w:color="auto" w:sz="8" w:space="0"/>
            </w:tcBorders>
            <w:shd w:val="clear" w:color="auto" w:fill="auto"/>
            <w:vAlign w:val="center"/>
          </w:tcPr>
          <w:p w14:paraId="207412C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0.5</w:t>
            </w:r>
          </w:p>
        </w:tc>
        <w:tc>
          <w:tcPr>
            <w:tcW w:w="656" w:type="pct"/>
            <w:tcBorders>
              <w:top w:val="nil"/>
              <w:left w:val="nil"/>
              <w:bottom w:val="single" w:color="auto" w:sz="8" w:space="0"/>
              <w:right w:val="single" w:color="auto" w:sz="8" w:space="0"/>
            </w:tcBorders>
            <w:shd w:val="clear" w:color="auto" w:fill="auto"/>
            <w:vAlign w:val="center"/>
          </w:tcPr>
          <w:p w14:paraId="6AF59E43">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0.76</w:t>
            </w:r>
          </w:p>
        </w:tc>
        <w:tc>
          <w:tcPr>
            <w:tcW w:w="750" w:type="pct"/>
            <w:tcBorders>
              <w:top w:val="nil"/>
              <w:left w:val="nil"/>
              <w:bottom w:val="single" w:color="auto" w:sz="8" w:space="0"/>
              <w:right w:val="single" w:color="auto" w:sz="8" w:space="0"/>
            </w:tcBorders>
            <w:shd w:val="clear" w:color="auto" w:fill="auto"/>
            <w:vAlign w:val="center"/>
          </w:tcPr>
          <w:p w14:paraId="685887C2">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21.21</w:t>
            </w:r>
          </w:p>
        </w:tc>
        <w:tc>
          <w:tcPr>
            <w:tcW w:w="695" w:type="pct"/>
            <w:tcBorders>
              <w:top w:val="nil"/>
              <w:left w:val="nil"/>
              <w:bottom w:val="single" w:color="auto" w:sz="8" w:space="0"/>
              <w:right w:val="single" w:color="auto" w:sz="8" w:space="0"/>
            </w:tcBorders>
            <w:shd w:val="clear" w:color="auto" w:fill="auto"/>
            <w:vAlign w:val="center"/>
          </w:tcPr>
          <w:p w14:paraId="4C734CF2">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3140B93C">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48EC1351">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社区（村）居家养老服务站(中心)数(个)</w:t>
            </w:r>
          </w:p>
        </w:tc>
        <w:tc>
          <w:tcPr>
            <w:tcW w:w="655" w:type="pct"/>
            <w:tcBorders>
              <w:top w:val="nil"/>
              <w:left w:val="nil"/>
              <w:bottom w:val="single" w:color="auto" w:sz="8" w:space="0"/>
              <w:right w:val="single" w:color="auto" w:sz="8" w:space="0"/>
            </w:tcBorders>
            <w:shd w:val="clear" w:color="auto" w:fill="auto"/>
            <w:vAlign w:val="center"/>
          </w:tcPr>
          <w:p w14:paraId="77329E11">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w:t>
            </w:r>
          </w:p>
        </w:tc>
        <w:tc>
          <w:tcPr>
            <w:tcW w:w="656" w:type="pct"/>
            <w:tcBorders>
              <w:top w:val="nil"/>
              <w:left w:val="nil"/>
              <w:bottom w:val="single" w:color="auto" w:sz="8" w:space="0"/>
              <w:right w:val="single" w:color="auto" w:sz="8" w:space="0"/>
            </w:tcBorders>
            <w:shd w:val="clear" w:color="auto" w:fill="auto"/>
            <w:vAlign w:val="center"/>
          </w:tcPr>
          <w:p w14:paraId="55FE1B30">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10</w:t>
            </w:r>
          </w:p>
        </w:tc>
        <w:tc>
          <w:tcPr>
            <w:tcW w:w="750" w:type="pct"/>
            <w:tcBorders>
              <w:top w:val="nil"/>
              <w:left w:val="nil"/>
              <w:bottom w:val="single" w:color="auto" w:sz="8" w:space="0"/>
              <w:right w:val="single" w:color="auto" w:sz="8" w:space="0"/>
            </w:tcBorders>
            <w:shd w:val="clear" w:color="auto" w:fill="auto"/>
            <w:vAlign w:val="center"/>
          </w:tcPr>
          <w:p w14:paraId="2A5AD88C">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90.24</w:t>
            </w:r>
          </w:p>
        </w:tc>
        <w:tc>
          <w:tcPr>
            <w:tcW w:w="695" w:type="pct"/>
            <w:tcBorders>
              <w:top w:val="nil"/>
              <w:left w:val="nil"/>
              <w:bottom w:val="single" w:color="auto" w:sz="8" w:space="0"/>
              <w:right w:val="single" w:color="auto" w:sz="8" w:space="0"/>
            </w:tcBorders>
            <w:shd w:val="clear" w:color="auto" w:fill="auto"/>
            <w:vAlign w:val="center"/>
          </w:tcPr>
          <w:p w14:paraId="77F14FAD">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385D9251">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120661F7">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社区服务中心数(个)</w:t>
            </w:r>
          </w:p>
        </w:tc>
        <w:tc>
          <w:tcPr>
            <w:tcW w:w="655" w:type="pct"/>
            <w:tcBorders>
              <w:top w:val="nil"/>
              <w:left w:val="nil"/>
              <w:bottom w:val="single" w:color="auto" w:sz="8" w:space="0"/>
              <w:right w:val="single" w:color="auto" w:sz="8" w:space="0"/>
            </w:tcBorders>
            <w:shd w:val="clear" w:color="auto" w:fill="auto"/>
            <w:vAlign w:val="center"/>
          </w:tcPr>
          <w:p w14:paraId="0B690D33">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7</w:t>
            </w:r>
          </w:p>
        </w:tc>
        <w:tc>
          <w:tcPr>
            <w:tcW w:w="656" w:type="pct"/>
            <w:tcBorders>
              <w:top w:val="nil"/>
              <w:left w:val="nil"/>
              <w:bottom w:val="single" w:color="auto" w:sz="8" w:space="0"/>
              <w:right w:val="single" w:color="auto" w:sz="8" w:space="0"/>
            </w:tcBorders>
            <w:shd w:val="clear" w:color="auto" w:fill="auto"/>
            <w:vAlign w:val="center"/>
          </w:tcPr>
          <w:p w14:paraId="7767C62E">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14</w:t>
            </w:r>
          </w:p>
        </w:tc>
        <w:tc>
          <w:tcPr>
            <w:tcW w:w="750" w:type="pct"/>
            <w:tcBorders>
              <w:top w:val="nil"/>
              <w:left w:val="nil"/>
              <w:bottom w:val="single" w:color="auto" w:sz="8" w:space="0"/>
              <w:right w:val="single" w:color="auto" w:sz="8" w:space="0"/>
            </w:tcBorders>
            <w:shd w:val="clear" w:color="auto" w:fill="auto"/>
            <w:vAlign w:val="center"/>
          </w:tcPr>
          <w:p w14:paraId="5C63BCB5">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13.4</w:t>
            </w:r>
          </w:p>
        </w:tc>
        <w:tc>
          <w:tcPr>
            <w:tcW w:w="695" w:type="pct"/>
            <w:tcBorders>
              <w:top w:val="nil"/>
              <w:left w:val="nil"/>
              <w:bottom w:val="single" w:color="auto" w:sz="8" w:space="0"/>
              <w:right w:val="single" w:color="auto" w:sz="8" w:space="0"/>
            </w:tcBorders>
            <w:shd w:val="clear" w:color="auto" w:fill="auto"/>
            <w:vAlign w:val="center"/>
          </w:tcPr>
          <w:p w14:paraId="31D03270">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6A83A9ED">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79D965E3">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社会工作者人才队伍数(人)</w:t>
            </w:r>
          </w:p>
        </w:tc>
        <w:tc>
          <w:tcPr>
            <w:tcW w:w="655" w:type="pct"/>
            <w:tcBorders>
              <w:top w:val="nil"/>
              <w:left w:val="nil"/>
              <w:bottom w:val="single" w:color="auto" w:sz="8" w:space="0"/>
              <w:right w:val="single" w:color="auto" w:sz="8" w:space="0"/>
            </w:tcBorders>
            <w:shd w:val="clear" w:color="auto" w:fill="auto"/>
            <w:vAlign w:val="center"/>
          </w:tcPr>
          <w:p w14:paraId="50E08F51">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150</w:t>
            </w:r>
          </w:p>
        </w:tc>
        <w:tc>
          <w:tcPr>
            <w:tcW w:w="656" w:type="pct"/>
            <w:tcBorders>
              <w:top w:val="nil"/>
              <w:left w:val="nil"/>
              <w:bottom w:val="single" w:color="auto" w:sz="8" w:space="0"/>
              <w:right w:val="single" w:color="auto" w:sz="8" w:space="0"/>
            </w:tcBorders>
            <w:shd w:val="clear" w:color="auto" w:fill="auto"/>
            <w:vAlign w:val="center"/>
          </w:tcPr>
          <w:p w14:paraId="7B5B4958">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280</w:t>
            </w:r>
          </w:p>
        </w:tc>
        <w:tc>
          <w:tcPr>
            <w:tcW w:w="750" w:type="pct"/>
            <w:tcBorders>
              <w:top w:val="nil"/>
              <w:left w:val="nil"/>
              <w:bottom w:val="single" w:color="auto" w:sz="8" w:space="0"/>
              <w:right w:val="single" w:color="auto" w:sz="8" w:space="0"/>
            </w:tcBorders>
            <w:shd w:val="clear" w:color="auto" w:fill="auto"/>
            <w:vAlign w:val="center"/>
          </w:tcPr>
          <w:p w14:paraId="05664AA6">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83.55</w:t>
            </w:r>
          </w:p>
        </w:tc>
        <w:tc>
          <w:tcPr>
            <w:tcW w:w="695" w:type="pct"/>
            <w:tcBorders>
              <w:top w:val="nil"/>
              <w:left w:val="nil"/>
              <w:bottom w:val="single" w:color="auto" w:sz="8" w:space="0"/>
              <w:right w:val="single" w:color="auto" w:sz="8" w:space="0"/>
            </w:tcBorders>
            <w:shd w:val="clear" w:color="auto" w:fill="auto"/>
            <w:vAlign w:val="center"/>
          </w:tcPr>
          <w:p w14:paraId="2A3358F9">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r w14:paraId="198C641F">
        <w:tblPrEx>
          <w:tblCellMar>
            <w:top w:w="0" w:type="dxa"/>
            <w:left w:w="108" w:type="dxa"/>
            <w:bottom w:w="0" w:type="dxa"/>
            <w:right w:w="108" w:type="dxa"/>
          </w:tblCellMar>
        </w:tblPrEx>
        <w:trPr>
          <w:trHeight w:val="454" w:hRule="exact"/>
        </w:trPr>
        <w:tc>
          <w:tcPr>
            <w:tcW w:w="2242" w:type="pct"/>
            <w:tcBorders>
              <w:top w:val="nil"/>
              <w:left w:val="single" w:color="auto" w:sz="8" w:space="0"/>
              <w:bottom w:val="single" w:color="auto" w:sz="8" w:space="0"/>
              <w:right w:val="single" w:color="auto" w:sz="8" w:space="0"/>
            </w:tcBorders>
            <w:shd w:val="clear" w:color="auto" w:fill="auto"/>
            <w:vAlign w:val="center"/>
          </w:tcPr>
          <w:p w14:paraId="52BEA9CA">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城区火化率(%)</w:t>
            </w:r>
          </w:p>
        </w:tc>
        <w:tc>
          <w:tcPr>
            <w:tcW w:w="655" w:type="pct"/>
            <w:tcBorders>
              <w:top w:val="nil"/>
              <w:left w:val="nil"/>
              <w:bottom w:val="single" w:color="auto" w:sz="8" w:space="0"/>
              <w:right w:val="single" w:color="auto" w:sz="8" w:space="0"/>
            </w:tcBorders>
            <w:shd w:val="clear" w:color="auto" w:fill="auto"/>
            <w:vAlign w:val="center"/>
          </w:tcPr>
          <w:p w14:paraId="3903FDFF">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0.24%</w:t>
            </w:r>
          </w:p>
        </w:tc>
        <w:tc>
          <w:tcPr>
            <w:tcW w:w="656" w:type="pct"/>
            <w:tcBorders>
              <w:top w:val="nil"/>
              <w:left w:val="nil"/>
              <w:bottom w:val="single" w:color="auto" w:sz="8" w:space="0"/>
              <w:right w:val="single" w:color="auto" w:sz="8" w:space="0"/>
            </w:tcBorders>
            <w:shd w:val="clear" w:color="auto" w:fill="auto"/>
            <w:vAlign w:val="center"/>
          </w:tcPr>
          <w:p w14:paraId="5A4AED99">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0.41%</w:t>
            </w:r>
          </w:p>
        </w:tc>
        <w:tc>
          <w:tcPr>
            <w:tcW w:w="750" w:type="pct"/>
            <w:tcBorders>
              <w:top w:val="nil"/>
              <w:left w:val="nil"/>
              <w:bottom w:val="single" w:color="auto" w:sz="8" w:space="0"/>
              <w:right w:val="single" w:color="auto" w:sz="8" w:space="0"/>
            </w:tcBorders>
            <w:shd w:val="clear" w:color="auto" w:fill="auto"/>
            <w:vAlign w:val="center"/>
          </w:tcPr>
          <w:p w14:paraId="41202999">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0.56</w:t>
            </w:r>
          </w:p>
        </w:tc>
        <w:tc>
          <w:tcPr>
            <w:tcW w:w="695" w:type="pct"/>
            <w:tcBorders>
              <w:top w:val="nil"/>
              <w:left w:val="nil"/>
              <w:bottom w:val="single" w:color="auto" w:sz="8" w:space="0"/>
              <w:right w:val="single" w:color="auto" w:sz="8" w:space="0"/>
            </w:tcBorders>
            <w:shd w:val="clear" w:color="auto" w:fill="auto"/>
            <w:vAlign w:val="center"/>
          </w:tcPr>
          <w:p w14:paraId="301FF11E">
            <w:pPr>
              <w:widowControl/>
              <w:ind w:firstLine="0" w:firstLineChars="0"/>
              <w:rPr>
                <w:rFonts w:ascii="仿宋" w:hAnsi="仿宋" w:cs="仿宋"/>
                <w:color w:val="000000"/>
                <w:kern w:val="0"/>
                <w:sz w:val="24"/>
                <w:szCs w:val="24"/>
              </w:rPr>
            </w:pPr>
            <w:r>
              <w:rPr>
                <w:rFonts w:hint="eastAsia" w:ascii="仿宋" w:hAnsi="仿宋" w:cs="仿宋"/>
                <w:color w:val="000000"/>
                <w:kern w:val="0"/>
                <w:sz w:val="24"/>
                <w:szCs w:val="24"/>
              </w:rPr>
              <w:t>预期性</w:t>
            </w:r>
          </w:p>
        </w:tc>
      </w:tr>
    </w:tbl>
    <w:p w14:paraId="06A8587F">
      <w:pPr>
        <w:widowControl/>
        <w:shd w:val="clear" w:color="auto" w:fill="FFFFFF"/>
        <w:spacing w:line="480" w:lineRule="auto"/>
        <w:ind w:firstLine="640"/>
        <w:jc w:val="left"/>
        <w:rPr>
          <w:rFonts w:ascii="仿宋" w:hAnsi="仿宋" w:cs="仿宋"/>
          <w:color w:val="535353"/>
          <w:kern w:val="0"/>
          <w:sz w:val="32"/>
          <w:szCs w:val="32"/>
        </w:rPr>
      </w:pPr>
      <w:r>
        <w:rPr>
          <w:rFonts w:hint="eastAsia" w:ascii="仿宋" w:hAnsi="仿宋" w:cs="仿宋"/>
          <w:color w:val="535353"/>
          <w:kern w:val="0"/>
          <w:sz w:val="32"/>
          <w:szCs w:val="32"/>
        </w:rPr>
        <w:t>注:主要指标共18个,其中约束性指标6个,预期性指标12个</w:t>
      </w:r>
    </w:p>
    <w:p w14:paraId="135D19C8">
      <w:pPr>
        <w:pStyle w:val="4"/>
        <w:ind w:firstLine="643"/>
        <w:rPr>
          <w:rFonts w:ascii="仿宋" w:hAnsi="仿宋" w:cs="仿宋"/>
          <w:kern w:val="0"/>
        </w:rPr>
      </w:pPr>
      <w:bookmarkStart w:id="10" w:name="_Toc27592"/>
      <w:r>
        <w:rPr>
          <w:rFonts w:hint="eastAsia" w:ascii="仿宋" w:hAnsi="仿宋" w:cs="仿宋"/>
          <w:kern w:val="0"/>
        </w:rPr>
        <w:t>（二）主要经验</w:t>
      </w:r>
      <w:bookmarkEnd w:id="10"/>
    </w:p>
    <w:p w14:paraId="27F941C3">
      <w:pPr>
        <w:widowControl/>
        <w:adjustRightInd w:val="0"/>
        <w:snapToGrid w:val="0"/>
        <w:spacing w:line="600" w:lineRule="exact"/>
        <w:ind w:firstLine="659" w:firstLineChars="206"/>
        <w:rPr>
          <w:rFonts w:ascii="仿宋" w:hAnsi="仿宋" w:cs="仿宋"/>
          <w:kern w:val="0"/>
          <w:sz w:val="32"/>
          <w:szCs w:val="32"/>
        </w:rPr>
      </w:pPr>
      <w:r>
        <w:rPr>
          <w:rFonts w:hint="eastAsia" w:ascii="仿宋" w:hAnsi="仿宋" w:cs="仿宋"/>
          <w:kern w:val="0"/>
          <w:sz w:val="32"/>
          <w:szCs w:val="32"/>
        </w:rPr>
        <w:t>回顾“十三五”发展历程，绥宁县民政事业成绩斐然，坚定不移地推进全面从严治党，全面推进民政事业改革创新，顺利推进民政机构改革，扎实推进加强基层民政和机关基础工作，下大力气建机制、补短板、兜底线、提质量，民政服务对象从有限特定人群向更多社会成员转变、工作职能从专项社会事务管理向社会建设更宽领域转变，服务功能从适当救助、优待为主向兜底保障、适度普惠转变，服务供给机制从政府包揽向政府和社会共同提供转变。推动民政事业转型升级发展，主动服务好全县经济社会发展大局。通过确立绥宁县民政体系的‘四梁八柱’政策框架、打下坚实基础，民政事业取得新进展、新成效，积累了宝贵经验。</w:t>
      </w:r>
    </w:p>
    <w:p w14:paraId="46C349AC">
      <w:pPr>
        <w:widowControl/>
        <w:adjustRightInd w:val="0"/>
        <w:snapToGrid w:val="0"/>
        <w:spacing w:line="600" w:lineRule="exact"/>
        <w:ind w:firstLine="662" w:firstLineChars="206"/>
        <w:rPr>
          <w:rFonts w:ascii="仿宋" w:hAnsi="仿宋" w:cs="仿宋"/>
          <w:kern w:val="0"/>
          <w:sz w:val="32"/>
          <w:szCs w:val="32"/>
        </w:rPr>
      </w:pPr>
      <w:r>
        <w:rPr>
          <w:rFonts w:hint="eastAsia" w:ascii="仿宋" w:hAnsi="仿宋" w:cs="仿宋"/>
          <w:b/>
          <w:bCs/>
          <w:kern w:val="0"/>
          <w:sz w:val="32"/>
          <w:szCs w:val="32"/>
        </w:rPr>
        <w:t>一是始终坚持项目先行、多点开花。</w:t>
      </w:r>
      <w:r>
        <w:rPr>
          <w:rFonts w:hint="eastAsia" w:ascii="仿宋" w:hAnsi="仿宋" w:cs="仿宋"/>
          <w:kern w:val="0"/>
          <w:sz w:val="32"/>
          <w:szCs w:val="32"/>
        </w:rPr>
        <w:t>“十三五”期间，我们始终坚持把民政项目建设作为提升民生服务保障能力的根本途径，按照“科学规划、统筹安排、突出重点、分步实施、均衡推进”的原则，</w:t>
      </w:r>
      <w:r>
        <w:rPr>
          <w:rFonts w:hint="eastAsia" w:ascii="仿宋" w:hAnsi="仿宋" w:cs="仿宋"/>
          <w:sz w:val="32"/>
          <w:szCs w:val="32"/>
        </w:rPr>
        <w:t>积极争取各项民政资金，挖掘政策依据，科学编制部门预算，争取资金全面到位，加强资金使用的制度建设和资金投向、投入产出分析、财务绩效等方面的监管，确保项目经费的递增和新增项目经费的落实。</w:t>
      </w:r>
      <w:r>
        <w:rPr>
          <w:rFonts w:hint="eastAsia" w:ascii="仿宋" w:hAnsi="仿宋" w:cs="仿宋"/>
          <w:kern w:val="0"/>
          <w:sz w:val="32"/>
          <w:szCs w:val="32"/>
        </w:rPr>
        <w:t>全面加强民政基础设施建设，先后建成了一大批民政项目，敬老院、养护中心、福利院、殡仪馆等民生保障工程有序推进，</w:t>
      </w:r>
      <w:r>
        <w:rPr>
          <w:rFonts w:hint="eastAsia" w:ascii="仿宋" w:hAnsi="仿宋" w:cs="仿宋"/>
          <w:sz w:val="32"/>
          <w:szCs w:val="32"/>
        </w:rPr>
        <w:t>民生实事项目的落实和重点项目建设的顺利实施，在社会上产生了良好的反响，实现</w:t>
      </w:r>
      <w:r>
        <w:rPr>
          <w:rFonts w:hint="eastAsia" w:ascii="仿宋" w:hAnsi="仿宋" w:cs="仿宋"/>
          <w:kern w:val="0"/>
          <w:sz w:val="32"/>
          <w:szCs w:val="32"/>
        </w:rPr>
        <w:t>民政服务能力大为增强的同时，民政事业实现了跨越发展。</w:t>
      </w:r>
    </w:p>
    <w:p w14:paraId="5E9ECA40">
      <w:pPr>
        <w:widowControl/>
        <w:adjustRightInd w:val="0"/>
        <w:snapToGrid w:val="0"/>
        <w:spacing w:line="600" w:lineRule="exact"/>
        <w:ind w:firstLine="662" w:firstLineChars="206"/>
        <w:rPr>
          <w:rFonts w:ascii="仿宋" w:hAnsi="仿宋" w:cs="仿宋"/>
          <w:kern w:val="0"/>
          <w:sz w:val="32"/>
          <w:szCs w:val="32"/>
        </w:rPr>
      </w:pPr>
      <w:r>
        <w:rPr>
          <w:rFonts w:hint="eastAsia" w:ascii="仿宋" w:hAnsi="仿宋" w:cs="仿宋"/>
          <w:b/>
          <w:bCs/>
          <w:kern w:val="0"/>
          <w:sz w:val="32"/>
          <w:szCs w:val="32"/>
        </w:rPr>
        <w:t>二是始终坚持围绕中心、服务大局。</w:t>
      </w:r>
      <w:r>
        <w:rPr>
          <w:rFonts w:hint="eastAsia" w:ascii="仿宋" w:hAnsi="仿宋" w:cs="仿宋"/>
          <w:kern w:val="0"/>
          <w:sz w:val="32"/>
          <w:szCs w:val="32"/>
        </w:rPr>
        <w:t>服务民生是绥宁县民政工作的中心，要坚持以人民为中心的发展思想，牢固树立和践行“民政为民、民政爱民”工作理念，“上可为政府分忧，下能为群众解愁”民政工作宗旨。以保障民生为核心，从解决人民群众生活需求最迫切和民政公共服务基础设施最薄弱的环节入手，完善社会各项救助体系，注重城乡低保规范化建设，注重临时救助“救急难”功能，重视特困人员生活质量建设，把群众满意度作为十三五规划水平的标准。实践证明，只有自觉把民政工作置于全县经济社会发展大局中去谋划、去推进、去落实，才能始终保持民政工作的正确发展方向，顺势借力前行，才能积极服务民生，有为有位。、</w:t>
      </w:r>
    </w:p>
    <w:p w14:paraId="43BED6F4">
      <w:pPr>
        <w:widowControl/>
        <w:adjustRightInd w:val="0"/>
        <w:snapToGrid w:val="0"/>
        <w:spacing w:line="600" w:lineRule="exact"/>
        <w:ind w:firstLine="662" w:firstLineChars="206"/>
        <w:rPr>
          <w:rFonts w:ascii="仿宋" w:hAnsi="仿宋" w:cs="仿宋"/>
          <w:kern w:val="0"/>
          <w:sz w:val="32"/>
          <w:szCs w:val="32"/>
        </w:rPr>
      </w:pPr>
      <w:r>
        <w:rPr>
          <w:rFonts w:hint="eastAsia" w:ascii="仿宋" w:hAnsi="仿宋" w:cs="仿宋"/>
          <w:b/>
          <w:bCs/>
          <w:kern w:val="0"/>
          <w:sz w:val="32"/>
          <w:szCs w:val="32"/>
        </w:rPr>
        <w:t>三是始终坚持民政为民、优化服务。</w:t>
      </w:r>
      <w:r>
        <w:rPr>
          <w:rFonts w:hint="eastAsia" w:ascii="仿宋" w:hAnsi="仿宋" w:cs="仿宋"/>
          <w:kern w:val="0"/>
          <w:sz w:val="32"/>
          <w:szCs w:val="32"/>
        </w:rPr>
        <w:t>人民对美好生活的向往是我们民政部门永远奋斗的目标，“为民”既是民政工作的本质，也是民政工作的血脉。无论形势如何变化，社会如何发展，“为民服务、为民解困”始终是民政工作的永恒主题，必须毫不动摇地坚持下去。全面贯彻国务院《关于进一步加强和改进最低生活保障工作的意见》和省、市有关实施意见，以保障和改善民生为主题，以强化责任为主线，坚持保基本、可持续、重公正、求实效的方针，不断完法规政策，健全工作机制，严格规范管理，构建标准科学、对象准确、待遇公正、进出有序的最低生活保障工作格局。建立健全政府领导、民政头、部门配合社会参与的社会救助工作协调机制，构建分工负责、相互衔接、协调实施、政府救助和社会力量参与相结合的城多社会救助制度体系。只有坚持民政为民，造福于民，我们的工作才有动力、有根基、有方向。</w:t>
      </w:r>
    </w:p>
    <w:p w14:paraId="645EF196">
      <w:pPr>
        <w:widowControl/>
        <w:adjustRightInd w:val="0"/>
        <w:snapToGrid w:val="0"/>
        <w:spacing w:line="600" w:lineRule="exact"/>
        <w:ind w:firstLine="662" w:firstLineChars="206"/>
        <w:rPr>
          <w:rFonts w:ascii="仿宋" w:hAnsi="仿宋" w:cs="仿宋"/>
          <w:kern w:val="0"/>
          <w:sz w:val="32"/>
          <w:szCs w:val="32"/>
        </w:rPr>
      </w:pPr>
      <w:r>
        <w:rPr>
          <w:rFonts w:hint="eastAsia" w:ascii="仿宋" w:hAnsi="仿宋" w:cs="仿宋"/>
          <w:b/>
          <w:bCs/>
          <w:kern w:val="0"/>
          <w:sz w:val="32"/>
          <w:szCs w:val="32"/>
        </w:rPr>
        <w:t>四是始终坚持解放思想、改革创新。</w:t>
      </w:r>
      <w:r>
        <w:rPr>
          <w:rFonts w:hint="eastAsia" w:ascii="仿宋" w:hAnsi="仿宋" w:cs="仿宋"/>
          <w:kern w:val="0"/>
          <w:sz w:val="32"/>
          <w:szCs w:val="32"/>
        </w:rPr>
        <w:t>历史和现实告诉我们，推动我县民政事业发展，必须勇于打破陈规、善于创新举措，以实事求是的态度、革故鼎新的勇气、争先创优的精神，为民政事业发展不断增添新的动力。要始终坚持以习近平新时代中国特色社会主义思想为指导，认真学习贯彻</w:t>
      </w:r>
      <w:r>
        <w:rPr>
          <w:rFonts w:hint="eastAsia" w:ascii="仿宋" w:hAnsi="仿宋" w:cs="仿宋"/>
          <w:kern w:val="0"/>
          <w:sz w:val="32"/>
          <w:szCs w:val="32"/>
          <w:lang w:eastAsia="zh-CN"/>
        </w:rPr>
        <w:t>党的</w:t>
      </w:r>
      <w:r>
        <w:rPr>
          <w:rFonts w:hint="eastAsia" w:ascii="仿宋" w:hAnsi="仿宋" w:cs="仿宋"/>
          <w:kern w:val="0"/>
          <w:sz w:val="32"/>
          <w:szCs w:val="32"/>
        </w:rPr>
        <w:t>十九大精神，提高干部职工理论水平和政治素养；要深刻领会党的十九届五中全会和“十三五”时期我国经济社会发展成就的评价，进一步增强“四个意识”、坚定“四个自信”、做到“两个维护”；要深刻领会党的十九届五中全会确立的经济社会发展指导方针，保证民政工作的正确方向；要深刻领会党的十九届五中全会确立的经济社会发展主要目标，科学谋划“十四五”和更长时期民政事业发展目标；要深刻领会党的十九届五中全会明确的重点任务和关于民政工作的决策部署，更好地服务中心大局。深入开展党风廉政建设，认真学习和贯彻省委市委“约法三章”，落实领导干部“一岗双责”制度。严格按照县委不忘初心牢记使命主题教育工作领导小组的要求，积极组织全体党员干部开展“不忘初心、牢记使命”主题教育。为加强干部职工岗位交流，调动干部的工作积极，推行干部职工“双向选择，竞争上岗”，营造了单位良好的工作氛围。以改革创新为主要抓手，深化民政领域“放管服”改革，牢抓住养老服务、儿福利、社区治理、殡葬服务等政府关注、群众关切的痛点难点，破除体制机制障碍，激发社会参与活力，形成統等推进民政公共服务设施建设的整体合力。提升社会事务管理和公共服务水平，加强社会事务管理，积极培育市场需要、社会需求、群众欢迎的各类民间组织。完善扶持社会力量参与社会福利事业优惠政策，鼓励社会力量兴办社会福利服务设施，适应日益紧迫的人口老龄化发展趋势。</w:t>
      </w:r>
    </w:p>
    <w:p w14:paraId="0C558D37">
      <w:pPr>
        <w:widowControl/>
        <w:adjustRightInd w:val="0"/>
        <w:snapToGrid w:val="0"/>
        <w:spacing w:line="600" w:lineRule="exact"/>
        <w:ind w:firstLine="662" w:firstLineChars="206"/>
        <w:rPr>
          <w:rFonts w:ascii="仿宋" w:hAnsi="仿宋" w:cs="仿宋"/>
          <w:kern w:val="0"/>
          <w:sz w:val="32"/>
          <w:szCs w:val="32"/>
        </w:rPr>
      </w:pPr>
      <w:r>
        <w:rPr>
          <w:rFonts w:hint="eastAsia" w:ascii="仿宋" w:hAnsi="仿宋" w:cs="仿宋"/>
          <w:b/>
          <w:bCs/>
          <w:kern w:val="0"/>
          <w:sz w:val="32"/>
          <w:szCs w:val="32"/>
        </w:rPr>
        <w:t>五是始终坚持着眼长远、夯实基础。</w:t>
      </w:r>
      <w:r>
        <w:rPr>
          <w:rFonts w:hint="eastAsia" w:ascii="仿宋" w:hAnsi="仿宋" w:cs="仿宋"/>
          <w:kern w:val="0"/>
          <w:sz w:val="32"/>
          <w:szCs w:val="32"/>
        </w:rPr>
        <w:t>民政工作直接面向群众，民政队伍能力素质的高低、行业风气的优劣，直接决定着民政工作的成效，甚至是民政事业的发展前景。只有甘于“盯住长远打基础”，才能“创先争优出业绩”，进而保证民政事业在新形势下实现可持续发展。这些宝贵经验凝结着全县民政工作者的辛勤汗水，蕴含着深刻的哲理和无限的活力，在“十四五”及今后一段时期都将发挥重要作用，必须一以贯之地坚持下去，不断推动我县民政事业实现新的跨越，创造新的业绩。尤其是党的十九届五中全会提出，“实施积极应对人口老龄化国家战略”。根据相关预测，“十四五”期间，全国老年人口将突破3亿，将从轻度老龄化迈入中度老龄化，养老服务将接受更大的挑战和考验。县民政局已按照相关部署，启动了“十四五”养老服务规划编制工作，目前已完成前期的专项研究，锚定积极应对人口老龄化战略部署，以实施积极应对人口老龄化中长期规划为抓手，才能实现2035年‘中国特色养老服务体系成熟定型，全体老年人享有基本养老服务’愿景目标。</w:t>
      </w:r>
    </w:p>
    <w:p w14:paraId="630AE235">
      <w:pPr>
        <w:widowControl/>
        <w:ind w:firstLine="0" w:firstLineChars="0"/>
        <w:jc w:val="left"/>
        <w:rPr>
          <w:rFonts w:ascii="仿宋" w:hAnsi="仿宋" w:cs="仿宋"/>
          <w:b/>
          <w:bCs/>
          <w:kern w:val="0"/>
          <w:sz w:val="32"/>
          <w:szCs w:val="32"/>
        </w:rPr>
      </w:pPr>
      <w:r>
        <w:rPr>
          <w:rFonts w:hint="eastAsia" w:ascii="仿宋" w:hAnsi="仿宋" w:cs="仿宋"/>
          <w:kern w:val="0"/>
          <w:sz w:val="32"/>
          <w:szCs w:val="32"/>
        </w:rPr>
        <w:br w:type="page"/>
      </w:r>
    </w:p>
    <w:p w14:paraId="085F243B">
      <w:pPr>
        <w:pStyle w:val="3"/>
        <w:ind w:firstLine="0" w:firstLineChars="0"/>
        <w:jc w:val="center"/>
        <w:rPr>
          <w:rFonts w:ascii="黑体" w:hAnsi="黑体" w:eastAsia="黑体" w:cs="黑体"/>
          <w:kern w:val="0"/>
        </w:rPr>
      </w:pPr>
      <w:bookmarkStart w:id="11" w:name="_Toc12028"/>
      <w:r>
        <w:rPr>
          <w:rFonts w:hint="eastAsia" w:ascii="黑体" w:hAnsi="黑体" w:eastAsia="黑体" w:cs="黑体"/>
          <w:kern w:val="0"/>
        </w:rPr>
        <w:t>第二章 “十四五”期间面临的形势</w:t>
      </w:r>
      <w:bookmarkEnd w:id="11"/>
    </w:p>
    <w:p w14:paraId="0CF8F52B">
      <w:pPr>
        <w:ind w:firstLine="640"/>
        <w:rPr>
          <w:rFonts w:ascii="仿宋" w:hAnsi="仿宋" w:cs="仿宋"/>
          <w:kern w:val="0"/>
          <w:sz w:val="32"/>
          <w:szCs w:val="32"/>
        </w:rPr>
      </w:pPr>
      <w:r>
        <w:rPr>
          <w:rFonts w:hint="eastAsia" w:ascii="仿宋" w:hAnsi="仿宋" w:cs="仿宋"/>
          <w:kern w:val="0"/>
          <w:sz w:val="32"/>
          <w:szCs w:val="32"/>
        </w:rPr>
        <w:t xml:space="preserve"> “十三五”期间，县委、县政府高度重视民生服务发展，民生服务体系建设快速发展。先后实施了以保障民生为宗旨，完善各项社会救助体系；以发展基层政权民主为依托，夯实和谐社会基础；以推进社会化进程为核心，提升社会事务管理和公共服务水平。得到群众普遍认可，社会反响良好，基本满足了社会需求。“十四五”期间是全面深化改革、加快转变经济发展方式的攻坚阶段，也是进一步推进民政事业改革发展的重要时期。从整个绥宁县社会保障服务来看。面临诸多严峻挑战，当前的现状是，保障服务的供给跟不上需求发展一一不仅表现在量上、更是体现在质上。主要体现的是保障短缺对高质量需求滞后的矛盾。加之老龄化社会的悄然而迅速到来，“未富先老、未备先老”是整个社会发展的基本特征。随着老年群体大基数、高龄化、失能半失能快速增加。深入分析“十四五”时期民政事业发展面临的机遇和挑战，是科学谋划“十四五”民政事业发展的基本前提。总体而言，“十四五”期间，我县民政工作处于大有作为的重要战略机遇期，将面临机遇与挑战并存，且机遇大于挑战。</w:t>
      </w:r>
    </w:p>
    <w:p w14:paraId="47E3071E">
      <w:pPr>
        <w:pStyle w:val="4"/>
        <w:ind w:firstLine="643"/>
        <w:rPr>
          <w:rFonts w:ascii="仿宋" w:hAnsi="仿宋" w:cs="仿宋"/>
          <w:kern w:val="0"/>
        </w:rPr>
      </w:pPr>
      <w:bookmarkStart w:id="12" w:name="_Toc18806"/>
      <w:r>
        <w:rPr>
          <w:rFonts w:hint="eastAsia" w:ascii="仿宋" w:hAnsi="仿宋" w:cs="仿宋"/>
          <w:kern w:val="0"/>
        </w:rPr>
        <w:t>（一）发展的机遇</w:t>
      </w:r>
      <w:bookmarkEnd w:id="12"/>
    </w:p>
    <w:p w14:paraId="43C2D647">
      <w:pPr>
        <w:ind w:firstLine="643"/>
        <w:rPr>
          <w:rFonts w:ascii="仿宋" w:hAnsi="仿宋" w:cs="仿宋"/>
          <w:kern w:val="0"/>
          <w:sz w:val="32"/>
          <w:szCs w:val="32"/>
        </w:rPr>
      </w:pPr>
      <w:r>
        <w:rPr>
          <w:rFonts w:hint="eastAsia" w:ascii="仿宋" w:hAnsi="仿宋" w:cs="仿宋"/>
          <w:b/>
          <w:bCs/>
          <w:kern w:val="0"/>
          <w:sz w:val="32"/>
          <w:szCs w:val="32"/>
        </w:rPr>
        <w:t>1、政策红利释放为民政事业发展指明了新方向。</w:t>
      </w:r>
      <w:r>
        <w:rPr>
          <w:rFonts w:hint="eastAsia" w:ascii="仿宋" w:hAnsi="仿宋" w:cs="仿宋"/>
          <w:sz w:val="32"/>
          <w:szCs w:val="32"/>
        </w:rPr>
        <w:t>党的十九届五中全会具有极强的全局性、战略性、前瞻性、科学性、指导性，为科学谋划部署今后一个时期的民政工作提供了指南。习近平总书记多次在不同场合对民政工作作出重要指示，县民政局始终高举习近平新时代中国特色社会主义思想的伟大旗帜，坚持以人民为中心，为绥宁县民政事业发展把好方向。</w:t>
      </w:r>
      <w:r>
        <w:rPr>
          <w:rFonts w:hint="eastAsia" w:ascii="仿宋" w:hAnsi="仿宋" w:cs="仿宋"/>
          <w:sz w:val="32"/>
          <w:szCs w:val="32"/>
          <w:shd w:val="clear" w:color="auto" w:fill="FFFFFF"/>
        </w:rPr>
        <w:t>当前良好的国际、国内环境为民政事业的发展提供了有利保障。党中央、国务院高度重视民政事业发展，2019年4月2日，第十四次全国民政会议在北京召开，习近平总书记对民政工作做出重要批示。习近平强调，近年来，民政系统认真贯彻中央决策部署，革弊鼎新、攻坚克难，各项事业取得新进展，有力服务了改革发展稳定大局。国务院《关于进一步加强和改进最低生活保障工作的意见》和省、市有关实施意见，为绥宁县民政事业发展奠定了坚实的政策基础。</w:t>
      </w:r>
    </w:p>
    <w:p w14:paraId="22737420">
      <w:pPr>
        <w:ind w:firstLine="643"/>
        <w:rPr>
          <w:rFonts w:ascii="仿宋" w:hAnsi="仿宋" w:cs="仿宋"/>
          <w:sz w:val="32"/>
          <w:szCs w:val="32"/>
          <w:shd w:val="clear" w:color="auto" w:fill="FFFFFF"/>
        </w:rPr>
      </w:pPr>
      <w:r>
        <w:rPr>
          <w:rFonts w:hint="eastAsia" w:ascii="仿宋" w:hAnsi="仿宋" w:cs="仿宋"/>
          <w:b/>
          <w:bCs/>
          <w:kern w:val="0"/>
          <w:sz w:val="32"/>
          <w:szCs w:val="32"/>
        </w:rPr>
        <w:t>2、经济社会发展为民政事业发展提出了新要求。</w:t>
      </w:r>
      <w:r>
        <w:rPr>
          <w:rFonts w:hint="eastAsia" w:ascii="仿宋" w:hAnsi="仿宋" w:cs="仿宋"/>
          <w:sz w:val="32"/>
          <w:szCs w:val="32"/>
          <w:shd w:val="clear" w:color="auto" w:fill="FFFFFF"/>
        </w:rPr>
        <w:t>人民</w:t>
      </w:r>
      <w:r>
        <w:rPr>
          <w:rFonts w:hint="eastAsia" w:ascii="仿宋" w:hAnsi="仿宋" w:cs="仿宋"/>
          <w:kern w:val="0"/>
          <w:sz w:val="32"/>
          <w:szCs w:val="32"/>
        </w:rPr>
        <w:t>生活需求追求高品质，需要社会提供更多、更好的保障服务;随着适应并支持经济社会的快速发展，保障服务发展需求的社会性、普性、公共性不断加强，需要政府承担更多、更广的责任。需求加速，需要政府主动对接，拓展职能，建设适当普惠性保障服务体系，培育多层次的保障服务市场以满足社会发展的需要。</w:t>
      </w:r>
      <w:r>
        <w:rPr>
          <w:rFonts w:hint="eastAsia" w:ascii="仿宋" w:hAnsi="仿宋" w:cs="仿宋"/>
          <w:sz w:val="32"/>
          <w:szCs w:val="32"/>
          <w:shd w:val="clear" w:color="auto" w:fill="FFFFFF"/>
        </w:rPr>
        <w:t>习近平总书记对民政工作作出“聚焦脱贫攻坚、聚焦特殊群体、聚焦群众关切”的重要指示，为下一步民政工作开展提供了明确的行动指南。“十四五”时期，绥宁县民政要加强低保制度与扶贫开发政策的有效衔接，落实残疾人福利保障政策，鼓励和引导社会力量参与脱贫攻坚。民政服务的重点仍然要放在低保户、特困户、孤儿、老年人、残疾人等特殊群体，着力解决人民群众最关心最直接最现实的利益问题，把保障和改善民生作为长期任务来抓。</w:t>
      </w:r>
    </w:p>
    <w:p w14:paraId="23E5A635">
      <w:pPr>
        <w:ind w:firstLine="643"/>
        <w:rPr>
          <w:rFonts w:ascii="仿宋" w:hAnsi="仿宋" w:cs="仿宋"/>
          <w:sz w:val="32"/>
          <w:szCs w:val="32"/>
        </w:rPr>
      </w:pPr>
      <w:r>
        <w:rPr>
          <w:rFonts w:hint="eastAsia" w:ascii="仿宋" w:hAnsi="仿宋" w:cs="仿宋"/>
          <w:b/>
          <w:bCs/>
          <w:kern w:val="0"/>
          <w:sz w:val="32"/>
          <w:szCs w:val="32"/>
        </w:rPr>
        <w:t>3、</w:t>
      </w:r>
      <w:r>
        <w:rPr>
          <w:rFonts w:hint="eastAsia" w:ascii="仿宋" w:hAnsi="仿宋" w:cs="仿宋"/>
          <w:b/>
          <w:sz w:val="32"/>
          <w:szCs w:val="32"/>
        </w:rPr>
        <w:t>“湘西南经济带”为</w:t>
      </w:r>
      <w:r>
        <w:rPr>
          <w:rFonts w:hint="eastAsia" w:ascii="仿宋" w:hAnsi="仿宋" w:cs="仿宋"/>
          <w:b/>
          <w:sz w:val="32"/>
          <w:szCs w:val="32"/>
          <w:shd w:val="clear" w:color="auto" w:fill="FFFFFF"/>
        </w:rPr>
        <w:t>民政事业发展打开了</w:t>
      </w:r>
      <w:r>
        <w:rPr>
          <w:rFonts w:hint="eastAsia" w:ascii="仿宋" w:hAnsi="仿宋" w:cs="仿宋"/>
          <w:b/>
          <w:sz w:val="32"/>
          <w:szCs w:val="32"/>
        </w:rPr>
        <w:t>新局面</w:t>
      </w:r>
      <w:r>
        <w:rPr>
          <w:rFonts w:hint="eastAsia" w:ascii="仿宋" w:hAnsi="仿宋" w:cs="仿宋"/>
          <w:b/>
          <w:bCs/>
          <w:kern w:val="0"/>
          <w:sz w:val="32"/>
          <w:szCs w:val="32"/>
        </w:rPr>
        <w:t>。</w:t>
      </w:r>
      <w:r>
        <w:rPr>
          <w:rFonts w:hint="eastAsia" w:ascii="仿宋" w:hAnsi="仿宋" w:cs="仿宋"/>
          <w:sz w:val="32"/>
          <w:szCs w:val="32"/>
        </w:rPr>
        <w:t>邵阳建设目标为为“湖南省域副中心城市”和“湘中湘西南经济文化中心”、“全国区域性综合交通枢纽”（“两中心一枢纽”），绥宁县积极融入到国家《武陵山经济协作区发展规划》、湘中湘西南经济文化中心”，给绥宁县的经济发展带来了新的机遇，绥宁县作为“生态经济大县”，“旅游特色发展、民族特色发展”战略定位，将持续推进制度创新、科技创新、文化创新等各方面创新，推进民政事业的发展。绥宁自然风光秀美，是国家级生态示范区、中国民间文化艺术之乡、全国双拥模范县、中国最佳文化生态旅游目的地，被联合国誉为“神奇的録洲”。境内山高谷幽，溪河密布，森林广袤，蕴天堂之美，溢仙界之灵，存上古之风。“天然氧吧”、“动植物王国”、“动植物基因库”、“亚热带最美森林”的光环璀璨夺目。天然优势得天独厚，可以将绥宁打造成湘西南经济带中的后花园，以此为突破口，打造高质量休闲娱乐生态体系和养老服务体系，为绥宁民政事业打开新局面。</w:t>
      </w:r>
    </w:p>
    <w:p w14:paraId="4F770356">
      <w:pPr>
        <w:ind w:firstLine="643"/>
        <w:rPr>
          <w:rFonts w:ascii="仿宋" w:hAnsi="仿宋" w:cs="仿宋"/>
          <w:kern w:val="0"/>
          <w:sz w:val="32"/>
          <w:szCs w:val="32"/>
        </w:rPr>
      </w:pPr>
      <w:r>
        <w:rPr>
          <w:rFonts w:hint="eastAsia" w:ascii="仿宋" w:hAnsi="仿宋" w:cs="仿宋"/>
          <w:b/>
          <w:bCs/>
          <w:kern w:val="0"/>
          <w:sz w:val="32"/>
          <w:szCs w:val="32"/>
        </w:rPr>
        <w:t>4、产业发展变化为民政事业发展提供了新机遇。</w:t>
      </w:r>
      <w:r>
        <w:rPr>
          <w:rFonts w:hint="eastAsia" w:ascii="仿宋" w:hAnsi="仿宋" w:cs="仿宋"/>
          <w:bCs/>
          <w:kern w:val="0"/>
          <w:sz w:val="32"/>
          <w:szCs w:val="32"/>
        </w:rPr>
        <w:t>一是</w:t>
      </w:r>
      <w:r>
        <w:rPr>
          <w:rFonts w:hint="eastAsia" w:ascii="仿宋" w:hAnsi="仿宋" w:cs="仿宋"/>
          <w:sz w:val="32"/>
          <w:szCs w:val="32"/>
          <w:shd w:val="clear" w:color="auto" w:fill="FFFFFF"/>
        </w:rPr>
        <w:t>优良的生态环境是绥宁最大的优势和潜力，是实现全面小康的根本和基础。要坚持遵循生态规律规划和推进加快发展，把保护好生态环境、加强生态文明建设置于经济社会发展的首位。要将生态优先的要求贯彻到生产、建设、流通和消费的各个领域，落实到经济社会发展的各个方面，加快构建节约能源资源和保护生态环境的产业结构、增长方式和消费模式，走经济生态化、生态产业化的发展道路。 二是旅游经济是绥宁的出路，是实现加速发展的总开关和总动力。县域发展规划、城镇建设、基础设施、产业重点和文明体系、乡村治理都要围绕旅游经济来展开。要基于旅游需要来规划第一产业，发展旅游农业，要依靠旅游带动和引领第二产业，开发旅游商品、开发旅游小镇、发展旅游商品加工业，要依托旅游发展第三产业。 三是立足本地资源优势和文化特色，走差异化、特色化发展道路。发展特色产业，依托洁净环境，依赖龙头企业，依靠新型合作组织和“互联网+”开发特色产品和市场，实现规模化、加工化、精品化，带动县域发展和农民致富。建设特色城镇，弘扬民族风情，留住山水、记住乡愁。壮大特色文化，立足苗侗风情，挖掘物质和非物质文化遗产，实现民俗文化的活态化、阵地化、商品</w:t>
      </w:r>
      <w:r>
        <w:rPr>
          <w:rFonts w:hint="eastAsia" w:ascii="仿宋" w:hAnsi="仿宋" w:cs="仿宋"/>
          <w:sz w:val="32"/>
          <w:szCs w:val="32"/>
        </w:rPr>
        <w:t>化。 认真贯彻落实县委、县政府以及上级政府的发展定位，主动应对一系列新问题新挑战，综合施策，精准发力。绥宁民政围绕“生态立县、人才兴县、旅游带动、特色发展”发展战略的目标，从推进民政基础设施建设、构建现代化社区治理体系、加强社会组织扶持培育、完善人才保障等多个维度集中发力，向着高质量发展加速蝶变</w:t>
      </w:r>
      <w:r>
        <w:rPr>
          <w:rFonts w:hint="eastAsia" w:ascii="仿宋" w:hAnsi="仿宋" w:cs="仿宋"/>
          <w:color w:val="000000"/>
          <w:sz w:val="32"/>
          <w:szCs w:val="32"/>
          <w:shd w:val="clear" w:color="auto" w:fill="FFFFFF"/>
        </w:rPr>
        <w:t>。</w:t>
      </w:r>
    </w:p>
    <w:p w14:paraId="5089F1CF">
      <w:pPr>
        <w:pStyle w:val="4"/>
        <w:ind w:firstLine="643"/>
        <w:rPr>
          <w:rFonts w:ascii="仿宋" w:hAnsi="仿宋" w:cs="仿宋"/>
          <w:kern w:val="0"/>
        </w:rPr>
      </w:pPr>
      <w:bookmarkStart w:id="13" w:name="_Toc32377"/>
      <w:r>
        <w:rPr>
          <w:rFonts w:hint="eastAsia" w:ascii="仿宋" w:hAnsi="仿宋" w:cs="仿宋"/>
          <w:kern w:val="0"/>
        </w:rPr>
        <w:t>（二）面临的挑战</w:t>
      </w:r>
      <w:bookmarkEnd w:id="13"/>
    </w:p>
    <w:p w14:paraId="3D5C47F5">
      <w:pPr>
        <w:ind w:firstLine="643"/>
        <w:rPr>
          <w:rFonts w:ascii="仿宋" w:hAnsi="仿宋" w:cs="仿宋"/>
          <w:kern w:val="0"/>
          <w:sz w:val="32"/>
          <w:szCs w:val="32"/>
        </w:rPr>
      </w:pPr>
      <w:r>
        <w:rPr>
          <w:rFonts w:hint="eastAsia" w:ascii="仿宋" w:hAnsi="仿宋" w:cs="仿宋"/>
          <w:b/>
          <w:bCs/>
          <w:kern w:val="0"/>
          <w:sz w:val="32"/>
          <w:szCs w:val="32"/>
        </w:rPr>
        <w:t>一是民政资金投入不足。</w:t>
      </w:r>
      <w:r>
        <w:rPr>
          <w:rFonts w:hint="eastAsia" w:ascii="仿宋" w:hAnsi="仿宋" w:cs="仿宋"/>
          <w:kern w:val="0"/>
          <w:sz w:val="32"/>
          <w:szCs w:val="32"/>
        </w:rPr>
        <w:t>目前，国家和地方在编制国民经济和社会发展规划时，并未把民政事业作为独立社会事业部门，这种体制导致了民政事业投入长期处于低水平，使得民政事业发展滞后于其他社会事业的发展。同时，地方财政压力大，农村低保等大幅提标，在提升兜底保能力的同时，也给地方财政带来了较大资金压力。在低水平财政安排中存在无序和散乱，预算安排不足，社会资本因缺乏政策引领，难以进入民生事业领域。因此，造成抚恤、救助标准偏低，民政事业经费难以保障，项目建设资金投入不足，难以满足民政工作领域不断拓展、任务日益繁重的实际需要。</w:t>
      </w:r>
    </w:p>
    <w:p w14:paraId="489BBB41">
      <w:pPr>
        <w:ind w:firstLine="643"/>
        <w:rPr>
          <w:rFonts w:ascii="仿宋" w:hAnsi="仿宋" w:cs="仿宋"/>
          <w:kern w:val="0"/>
          <w:sz w:val="32"/>
          <w:szCs w:val="32"/>
        </w:rPr>
      </w:pPr>
      <w:r>
        <w:rPr>
          <w:rFonts w:hint="eastAsia" w:ascii="仿宋" w:hAnsi="仿宋" w:cs="仿宋"/>
          <w:b/>
          <w:bCs/>
          <w:kern w:val="0"/>
          <w:sz w:val="32"/>
          <w:szCs w:val="32"/>
        </w:rPr>
        <w:t>二是基层基础工作薄弱。</w:t>
      </w:r>
      <w:r>
        <w:rPr>
          <w:rFonts w:hint="eastAsia" w:ascii="仿宋" w:hAnsi="仿宋" w:cs="仿宋"/>
          <w:kern w:val="0"/>
          <w:sz w:val="32"/>
          <w:szCs w:val="32"/>
        </w:rPr>
        <w:t>一是社会认识程度不高，社会对于民政工作开展“等、靠、要”的心理比较严重，不能积极与民政部门共同搭台唱戏，没有起到同频共振的效果。二是保障服务机构不足，县级民政机关内设机构设置不合理；同时，乡镇民政办、农村敬老院、社区等基层民政队伍配备不到位，队伍素质不高，工作行为不规范，工作经费短缺，影响了民政队伍的稳定和民政工作的整体推进。三是民办机构发展迟缓，对于服务保障优惠政策理解不深、对保障市场了解不透、对福利事业关注不够等原因，民营资本进入福利事业比较缓慢，尤其是社会化养老事业进展停滞不前。四是 随着民政领域业务的不断延伸扩展， 工作量越来越大， 因机构改革人员编制的划转， 致使编制人员严重不足，一定程度上制约着工作的开展， 同时乡 镇民政工作人员素质参差不齐， 岗位调整频繁， 在一定程度上造成政策特别是关乎民生的社会救助政策不能及时落实到位。</w:t>
      </w:r>
    </w:p>
    <w:p w14:paraId="662927B1">
      <w:pPr>
        <w:ind w:firstLine="643"/>
        <w:rPr>
          <w:rFonts w:ascii="仿宋" w:hAnsi="仿宋" w:cs="仿宋"/>
          <w:kern w:val="0"/>
          <w:sz w:val="32"/>
          <w:szCs w:val="32"/>
        </w:rPr>
      </w:pPr>
      <w:r>
        <w:rPr>
          <w:rFonts w:hint="eastAsia" w:ascii="仿宋" w:hAnsi="仿宋" w:cs="仿宋"/>
          <w:b/>
          <w:bCs/>
          <w:kern w:val="0"/>
          <w:sz w:val="32"/>
          <w:szCs w:val="32"/>
        </w:rPr>
        <w:t>三是民政信息化建设滞后。</w:t>
      </w:r>
      <w:r>
        <w:rPr>
          <w:rFonts w:hint="eastAsia" w:ascii="仿宋" w:hAnsi="仿宋" w:cs="仿宋"/>
          <w:kern w:val="0"/>
          <w:sz w:val="32"/>
          <w:szCs w:val="32"/>
        </w:rPr>
        <w:t>一是信息化群众基础差，社会参与度不高。信息化是经济发展的产物，绥宁县部分地区尤其是欠发达乡镇信息相对闭塞，信息化的土壤并不深厚。二是信息化资金投入少，基础设施薄弱。信息化的发展首先是信息基础设施的完善。有些乡镇信息基础呈现设施少、旧、废的特点。少是指基础设施数量少，配备不到位。旧是指信息基础设施没有及时维修和更新，不能满足多样化的民政事务的需要，有的甚至老化不能正常运作。废是指有的乡镇因为工作人员少，信息的采集和输入工作任务重，导致信息基础设施使用率不高，流于摆设状态，没有发挥价值。三是信息专业人才少，系统升级慢。目前基层单位普遍面临信息专业人才少的情况。基层负责信息管理的岗位大多由其他岗位的工作人员兼任，专业不对口，学习培训少，而信息化是一个日新月异的过程，需要不断升级创新，专业人才的缺失将势必导致信息化进程跟不上社会治理的步伐。四是信息共享程度低，使用效率低。目前绥宁民政的业务系统很多，基础数据也很完善，但是业务部门之间还没有打破信息孤岛，实现信息共享。由于统计时间、统计业务部门、统计口径以及上报单位不一致，有时会出现系统数据与业务数据不一致的情况，既损害了数字的严肃性，又损害了民政工作的权威性，降低了群众对民政的信任。全县现有各类民政服务对象（城乡低保户、五保户、受灾户等）近1万人，范围广、人员多，统计、查阅、跟踪管理的工作量十分庞大，但民政网络信息平台建设严重滞后，已严重影响了各项业务的开展，特别是基层的民政工作，效率不高、精准性不强已成为社会的诟病，这个难题急需破解。</w:t>
      </w:r>
    </w:p>
    <w:p w14:paraId="4090F8AC">
      <w:pPr>
        <w:ind w:firstLine="643"/>
        <w:rPr>
          <w:rFonts w:ascii="仿宋" w:hAnsi="仿宋" w:cs="仿宋"/>
          <w:kern w:val="0"/>
          <w:sz w:val="32"/>
          <w:szCs w:val="32"/>
        </w:rPr>
      </w:pPr>
      <w:r>
        <w:rPr>
          <w:rFonts w:hint="eastAsia" w:ascii="仿宋" w:hAnsi="仿宋" w:cs="仿宋"/>
          <w:b/>
          <w:bCs/>
          <w:kern w:val="0"/>
          <w:sz w:val="32"/>
          <w:szCs w:val="32"/>
        </w:rPr>
        <w:t>四是民政历史欠账较多。</w:t>
      </w:r>
      <w:r>
        <w:rPr>
          <w:rFonts w:hint="eastAsia" w:ascii="仿宋" w:hAnsi="仿宋" w:cs="仿宋"/>
          <w:kern w:val="0"/>
          <w:sz w:val="32"/>
          <w:szCs w:val="32"/>
        </w:rPr>
        <w:t>在绥宁这样一个欠发达地区，财政历年来对民政的投入严重不足，社会福利、社区服务、社会救助、社会组织服务场所与服务设施不能适应经济社会发展和人民群众多层次、多样化的需求；老年服务设施建设滞后于老龄人口急剧增长的实际需求，亟需加大投入，提高整体建设和服务水平。</w:t>
      </w:r>
    </w:p>
    <w:p w14:paraId="7B77682B">
      <w:pPr>
        <w:ind w:firstLine="643"/>
        <w:rPr>
          <w:rFonts w:ascii="仿宋" w:hAnsi="仿宋" w:cs="仿宋"/>
          <w:kern w:val="0"/>
          <w:sz w:val="32"/>
          <w:szCs w:val="32"/>
        </w:rPr>
      </w:pPr>
      <w:r>
        <w:rPr>
          <w:rFonts w:hint="eastAsia" w:ascii="仿宋" w:hAnsi="仿宋" w:cs="仿宋"/>
          <w:b/>
          <w:bCs/>
          <w:kern w:val="0"/>
          <w:sz w:val="32"/>
          <w:szCs w:val="32"/>
        </w:rPr>
        <w:t>五是改革创新力度不够。</w:t>
      </w:r>
      <w:r>
        <w:rPr>
          <w:rFonts w:hint="eastAsia" w:ascii="仿宋" w:hAnsi="仿宋" w:cs="仿宋"/>
          <w:kern w:val="0"/>
          <w:sz w:val="32"/>
          <w:szCs w:val="32"/>
        </w:rPr>
        <w:t>民政队伍建设需要进一步加强，民政干部职工的思想观念、工作方式需要更好地适应改革发展的新要求，民政干部队伍依法行政的意识和能力还需要进一步增强和提高。影响民政转型发展的一些深层次问题，如体制不顺、机制不活等问题仍然存在，需要在“十四五”期间把握各种有利条件，努力破解发展中的难题。</w:t>
      </w:r>
    </w:p>
    <w:p w14:paraId="3D7354EA">
      <w:pPr>
        <w:ind w:firstLine="640"/>
        <w:rPr>
          <w:rFonts w:ascii="仿宋" w:hAnsi="仿宋" w:cs="仿宋"/>
          <w:kern w:val="0"/>
          <w:sz w:val="32"/>
          <w:szCs w:val="32"/>
        </w:rPr>
      </w:pPr>
      <w:r>
        <w:rPr>
          <w:rFonts w:hint="eastAsia" w:ascii="仿宋" w:hAnsi="仿宋" w:cs="仿宋"/>
          <w:kern w:val="0"/>
          <w:sz w:val="32"/>
          <w:szCs w:val="32"/>
        </w:rPr>
        <w:t>综上所述，“十四五”民政事业的发展虽然面临严峻的挑战，但有利的条件和因素更多，是全县民政事业转型发展的重要战略机遇期，我们必须立足市情，抢抓机遇，充分挖掘民政事业转型发展的内生动力，攻坚克难，稳步推进，确保“十四五”各项目标任务顺利实现。</w:t>
      </w:r>
    </w:p>
    <w:p w14:paraId="32A2DBBD">
      <w:pPr>
        <w:pStyle w:val="3"/>
        <w:ind w:firstLine="0" w:firstLineChars="0"/>
        <w:jc w:val="center"/>
        <w:rPr>
          <w:rFonts w:ascii="仿宋" w:hAnsi="仿宋" w:eastAsia="仿宋" w:cs="仿宋"/>
          <w:kern w:val="0"/>
        </w:rPr>
      </w:pPr>
      <w:bookmarkStart w:id="14" w:name="_Toc8"/>
      <w:r>
        <w:rPr>
          <w:rFonts w:hint="eastAsia" w:ascii="仿宋" w:hAnsi="仿宋" w:eastAsia="仿宋" w:cs="仿宋"/>
          <w:kern w:val="0"/>
        </w:rPr>
        <w:t>第三章 “十四五”发展的基本思路和原则</w:t>
      </w:r>
      <w:bookmarkEnd w:id="14"/>
    </w:p>
    <w:p w14:paraId="0919AD81">
      <w:pPr>
        <w:pStyle w:val="4"/>
        <w:ind w:firstLine="643"/>
        <w:rPr>
          <w:rFonts w:ascii="仿宋" w:hAnsi="仿宋" w:cs="仿宋"/>
          <w:kern w:val="0"/>
        </w:rPr>
      </w:pPr>
      <w:bookmarkStart w:id="15" w:name="_Toc20419"/>
      <w:r>
        <w:rPr>
          <w:rFonts w:hint="eastAsia" w:ascii="仿宋" w:hAnsi="仿宋" w:cs="仿宋"/>
          <w:kern w:val="0"/>
        </w:rPr>
        <w:t>（一）基本思路</w:t>
      </w:r>
      <w:bookmarkEnd w:id="15"/>
    </w:p>
    <w:p w14:paraId="15B48CB6">
      <w:pPr>
        <w:ind w:firstLine="640"/>
        <w:rPr>
          <w:rFonts w:ascii="仿宋" w:hAnsi="仿宋" w:cs="仿宋"/>
          <w:sz w:val="32"/>
          <w:szCs w:val="32"/>
          <w:shd w:val="clear" w:color="auto" w:fill="FFFFFF"/>
        </w:rPr>
      </w:pPr>
      <w:r>
        <w:rPr>
          <w:rFonts w:hint="eastAsia" w:ascii="仿宋" w:hAnsi="仿宋" w:cs="仿宋"/>
          <w:sz w:val="32"/>
          <w:szCs w:val="32"/>
          <w:shd w:val="clear" w:color="auto" w:fill="FFFFFF"/>
        </w:rPr>
        <w:t>以习近平新时代中国特色社会主义思想为指导，全面贯彻党的十九大和十九届二中、三中、四中、五中全会精神，落实中央、省、市、县经济工作会议精神，统筹推进“五位一体”总体布局，协调推进“四个全面”战略布局，坚持稳中求进工作总基调，增强“四个意识”、坚定“四个自信”、做到“两个维护”，践行以人民为中心的发展思想，树立“民政为民、民政爱民”工作理念，围绕县委、县政府工作大局，大力推进民政事业改革创新和提质增效，坚定不移推进全面从严治党，不断开启新时代全县民政事业新局面。</w:t>
      </w:r>
    </w:p>
    <w:p w14:paraId="68B72896">
      <w:pPr>
        <w:pStyle w:val="4"/>
        <w:ind w:firstLine="643"/>
        <w:rPr>
          <w:rFonts w:ascii="仿宋" w:hAnsi="仿宋" w:cs="仿宋"/>
          <w:kern w:val="0"/>
        </w:rPr>
      </w:pPr>
      <w:bookmarkStart w:id="16" w:name="_Toc202"/>
      <w:r>
        <w:rPr>
          <w:rFonts w:hint="eastAsia" w:ascii="仿宋" w:hAnsi="仿宋" w:cs="仿宋"/>
          <w:kern w:val="0"/>
        </w:rPr>
        <w:t>（二）基本原则</w:t>
      </w:r>
      <w:bookmarkEnd w:id="16"/>
    </w:p>
    <w:p w14:paraId="04EFF381">
      <w:pPr>
        <w:ind w:firstLine="643"/>
        <w:rPr>
          <w:rFonts w:ascii="仿宋" w:hAnsi="仿宋" w:cs="仿宋"/>
          <w:kern w:val="0"/>
          <w:sz w:val="32"/>
          <w:szCs w:val="32"/>
        </w:rPr>
      </w:pPr>
      <w:r>
        <w:rPr>
          <w:rFonts w:hint="eastAsia" w:ascii="仿宋" w:hAnsi="仿宋" w:cs="仿宋"/>
          <w:b/>
          <w:bCs/>
          <w:kern w:val="0"/>
          <w:sz w:val="32"/>
          <w:szCs w:val="32"/>
        </w:rPr>
        <w:t>1、民生优先，保障基本。</w:t>
      </w:r>
      <w:r>
        <w:rPr>
          <w:rFonts w:hint="eastAsia" w:ascii="仿宋" w:hAnsi="仿宋" w:cs="仿宋"/>
          <w:kern w:val="0"/>
          <w:sz w:val="32"/>
          <w:szCs w:val="32"/>
        </w:rPr>
        <w:t>把保障民生作为全面转型升级发展的第一追求。围绕全面建成小康社会，牢固树立“以民为本、为民解困、为民服务”的理念，从最广大人民群众的根本利益出发，立足我县的基本市情，坚持超前谋划、尽力而为、量力而行，优先保障民政领域困难群体、特殊群体、优抚群体、社会群体等“四类群体”的基本社会服务，逐步扩大保障范围、提高保障标准。</w:t>
      </w:r>
    </w:p>
    <w:p w14:paraId="3E4CAD52">
      <w:pPr>
        <w:ind w:firstLine="643"/>
        <w:rPr>
          <w:rFonts w:ascii="仿宋" w:hAnsi="仿宋" w:cs="仿宋"/>
          <w:kern w:val="0"/>
          <w:sz w:val="32"/>
          <w:szCs w:val="32"/>
        </w:rPr>
      </w:pPr>
      <w:r>
        <w:rPr>
          <w:rFonts w:hint="eastAsia" w:ascii="仿宋" w:hAnsi="仿宋" w:cs="仿宋"/>
          <w:b/>
          <w:bCs/>
          <w:kern w:val="0"/>
          <w:sz w:val="32"/>
          <w:szCs w:val="32"/>
        </w:rPr>
        <w:t>2、政府主导，多措并举。</w:t>
      </w:r>
      <w:r>
        <w:rPr>
          <w:rFonts w:hint="eastAsia" w:ascii="仿宋" w:hAnsi="仿宋" w:cs="仿宋"/>
          <w:kern w:val="0"/>
          <w:sz w:val="32"/>
          <w:szCs w:val="32"/>
        </w:rPr>
        <w:t>把整合各方资源作为全面转型升级发展的重要方式。坚持以政府投入为主，通过政策引领、财政支持、税费减免、宣传引导等方式，积极引入社会力量参与民政事业发展。注重民政服务的公平性、可及性和均等化，坚持政府主办与购买服务相结合，民政主抓与社会参与相结合，整合现有公共服务资源，健全基层民政公共服务平台和网络，多渠道整合民政事业发展资源，实现政府与社会的优势互补和良性互动。</w:t>
      </w:r>
    </w:p>
    <w:p w14:paraId="61F346BF">
      <w:pPr>
        <w:ind w:firstLine="643"/>
        <w:rPr>
          <w:rFonts w:ascii="仿宋" w:hAnsi="仿宋" w:cs="仿宋"/>
          <w:kern w:val="0"/>
          <w:sz w:val="32"/>
          <w:szCs w:val="32"/>
        </w:rPr>
      </w:pPr>
      <w:r>
        <w:rPr>
          <w:rFonts w:hint="eastAsia" w:ascii="仿宋" w:hAnsi="仿宋" w:cs="仿宋"/>
          <w:b/>
          <w:bCs/>
          <w:kern w:val="0"/>
          <w:sz w:val="32"/>
          <w:szCs w:val="32"/>
        </w:rPr>
        <w:t>3、统筹城乡，协调推进。</w:t>
      </w:r>
      <w:r>
        <w:rPr>
          <w:rFonts w:hint="eastAsia" w:ascii="仿宋" w:hAnsi="仿宋" w:cs="仿宋"/>
          <w:kern w:val="0"/>
          <w:sz w:val="32"/>
          <w:szCs w:val="32"/>
        </w:rPr>
        <w:t>把强化基层作为全面转型升级发展的前提基础。把更多的人力、物力、财力投向基层，加强基层民众服务设施和民政队伍、社会工作专业人才队伍建设，加快城乡民政服务制度一体化建设，加大民政公共资源向农村、贫困地区和社会弱势群体倾斜力度，逐步实现民政服务由单一的“救济型”向“普惠型”转变。</w:t>
      </w:r>
    </w:p>
    <w:p w14:paraId="5F30E637">
      <w:pPr>
        <w:ind w:firstLine="643"/>
        <w:rPr>
          <w:rFonts w:ascii="仿宋" w:hAnsi="仿宋" w:cs="仿宋"/>
          <w:kern w:val="0"/>
          <w:sz w:val="32"/>
          <w:szCs w:val="32"/>
        </w:rPr>
      </w:pPr>
      <w:r>
        <w:rPr>
          <w:rFonts w:hint="eastAsia" w:ascii="仿宋" w:hAnsi="仿宋" w:cs="仿宋"/>
          <w:b/>
          <w:bCs/>
          <w:kern w:val="0"/>
          <w:sz w:val="32"/>
          <w:szCs w:val="32"/>
        </w:rPr>
        <w:t>4、改革创新，做强自身。</w:t>
      </w:r>
      <w:r>
        <w:rPr>
          <w:rFonts w:hint="eastAsia" w:ascii="仿宋" w:hAnsi="仿宋" w:cs="仿宋"/>
          <w:kern w:val="0"/>
          <w:sz w:val="32"/>
          <w:szCs w:val="32"/>
        </w:rPr>
        <w:t>把改革创新作为全面转型升级发展的根本动力。从发展观念、服务模式、管理职能、保障措施等方面深化绥宁民政各项改革，健全完善财政保障、管理运行和监督问责机制，用社会化、市场化的方式来推进民政事业发展，用园区化、园林化的规格来布局实施民政项目，用多元化、产业化的途径来加快民政服务设施建设，用智能化、网络化的手段来提升民政管理服务效率，用专业化、知识化的队伍来推进民政工作的改革创新，逐步拓展民政服务领域和发展空间，更好地发挥民政在社会建设中的骨干作用。</w:t>
      </w:r>
    </w:p>
    <w:p w14:paraId="1022D6BD">
      <w:pPr>
        <w:ind w:firstLine="643"/>
        <w:rPr>
          <w:rFonts w:ascii="仿宋" w:hAnsi="仿宋" w:cs="仿宋"/>
          <w:kern w:val="0"/>
          <w:sz w:val="32"/>
          <w:szCs w:val="32"/>
        </w:rPr>
      </w:pPr>
      <w:r>
        <w:rPr>
          <w:rFonts w:hint="eastAsia" w:ascii="仿宋" w:hAnsi="仿宋" w:cs="仿宋"/>
          <w:b/>
          <w:bCs/>
          <w:kern w:val="0"/>
          <w:sz w:val="32"/>
          <w:szCs w:val="32"/>
        </w:rPr>
        <w:t>5、依法依规，阳光民政。</w:t>
      </w:r>
      <w:r>
        <w:rPr>
          <w:rFonts w:hint="eastAsia" w:ascii="仿宋" w:hAnsi="仿宋" w:cs="仿宋"/>
          <w:kern w:val="0"/>
          <w:sz w:val="32"/>
          <w:szCs w:val="32"/>
        </w:rPr>
        <w:t>把法治建设作为全面转型发展的重要保障。牢固树立法治思维，坚持问题导向，按照宪法、法律法规和规章依法行使职权，不断提高依法行政的能力和水平。加快完善民政制度体系，破解影响和制约民政事业发展难题，确保民政事业发展纳入法治轨道，坚持标准化、规范化管理。依法履行保障民生的职责，以法治方式织牢基本民生安全网，确保各项惠民政策落到实处。</w:t>
      </w:r>
    </w:p>
    <w:p w14:paraId="29DAABA4">
      <w:pPr>
        <w:pStyle w:val="4"/>
        <w:ind w:firstLine="643"/>
        <w:rPr>
          <w:rFonts w:ascii="仿宋" w:hAnsi="仿宋" w:cs="仿宋"/>
          <w:kern w:val="0"/>
        </w:rPr>
      </w:pPr>
      <w:bookmarkStart w:id="17" w:name="_Toc29890"/>
      <w:r>
        <w:rPr>
          <w:rFonts w:hint="eastAsia" w:ascii="仿宋" w:hAnsi="仿宋" w:cs="仿宋"/>
          <w:kern w:val="0"/>
        </w:rPr>
        <w:t>（三）发展重点</w:t>
      </w:r>
      <w:bookmarkEnd w:id="17"/>
    </w:p>
    <w:p w14:paraId="3F0C2188">
      <w:pPr>
        <w:ind w:firstLine="643"/>
        <w:rPr>
          <w:rFonts w:ascii="仿宋" w:hAnsi="仿宋" w:cs="仿宋"/>
          <w:kern w:val="0"/>
          <w:sz w:val="32"/>
          <w:szCs w:val="32"/>
        </w:rPr>
      </w:pPr>
      <w:r>
        <w:rPr>
          <w:rFonts w:hint="eastAsia" w:ascii="仿宋" w:hAnsi="仿宋" w:cs="仿宋"/>
          <w:b/>
          <w:bCs/>
          <w:kern w:val="0"/>
          <w:sz w:val="32"/>
          <w:szCs w:val="32"/>
        </w:rPr>
        <w:t>1、突出基础设施。</w:t>
      </w:r>
      <w:r>
        <w:rPr>
          <w:rFonts w:hint="eastAsia" w:ascii="仿宋" w:hAnsi="仿宋" w:cs="仿宋"/>
          <w:kern w:val="0"/>
          <w:sz w:val="32"/>
          <w:szCs w:val="32"/>
        </w:rPr>
        <w:t>适应民政事业发展需要，立足绥宁实际，通过实施惠民养老、福利服务、城乡社区3大工程，推进4个重点项目，不断夯实民政服务基础，增强民政公共服务实力。</w:t>
      </w:r>
    </w:p>
    <w:p w14:paraId="2E963F93">
      <w:pPr>
        <w:ind w:firstLine="643"/>
        <w:rPr>
          <w:rFonts w:ascii="仿宋" w:hAnsi="仿宋" w:cs="仿宋"/>
          <w:kern w:val="0"/>
          <w:sz w:val="32"/>
          <w:szCs w:val="32"/>
        </w:rPr>
      </w:pPr>
      <w:r>
        <w:rPr>
          <w:rFonts w:hint="eastAsia" w:ascii="仿宋" w:hAnsi="仿宋" w:cs="仿宋"/>
          <w:b/>
          <w:bCs/>
          <w:kern w:val="0"/>
          <w:sz w:val="32"/>
          <w:szCs w:val="32"/>
        </w:rPr>
        <w:t>2、突出基础工作。</w:t>
      </w:r>
      <w:r>
        <w:rPr>
          <w:rFonts w:hint="eastAsia" w:ascii="仿宋" w:hAnsi="仿宋" w:cs="仿宋"/>
          <w:kern w:val="0"/>
          <w:sz w:val="32"/>
          <w:szCs w:val="32"/>
        </w:rPr>
        <w:t>加强社会救助、养老服务、孤儿保障、区划地名、殡葬改革、婚姻登记、慈善事业、福彩发行、城乡社区建设、社会组织党建以及自身建设等基础工作，加强政策创制，致力形成制度保障体系。</w:t>
      </w:r>
    </w:p>
    <w:p w14:paraId="1713CDA8">
      <w:pPr>
        <w:ind w:firstLine="643"/>
        <w:rPr>
          <w:rFonts w:ascii="仿宋" w:hAnsi="仿宋" w:cs="仿宋"/>
          <w:kern w:val="0"/>
          <w:sz w:val="32"/>
          <w:szCs w:val="32"/>
        </w:rPr>
      </w:pPr>
      <w:r>
        <w:rPr>
          <w:rFonts w:hint="eastAsia" w:ascii="仿宋" w:hAnsi="仿宋" w:cs="仿宋"/>
          <w:b/>
          <w:bCs/>
          <w:kern w:val="0"/>
          <w:sz w:val="32"/>
          <w:szCs w:val="32"/>
        </w:rPr>
        <w:t>3、突出基层队伍。</w:t>
      </w:r>
      <w:r>
        <w:rPr>
          <w:rFonts w:hint="eastAsia" w:ascii="仿宋" w:hAnsi="仿宋" w:cs="仿宋"/>
          <w:kern w:val="0"/>
          <w:sz w:val="32"/>
          <w:szCs w:val="32"/>
        </w:rPr>
        <w:t>在机构编制和人员配置上，充分利用并乡合村区划调整改革以及机构改革的机遇，积极争取各级党委、政府重视支持，切实解决基层工作力量不足、工作水平不高、经费保障不足等实际问题。完善和落实考评激励、待遇保障等制度措施，确保各项民政工作在基层得到全面贯彻落实。</w:t>
      </w:r>
    </w:p>
    <w:p w14:paraId="1E37C811">
      <w:pPr>
        <w:ind w:firstLine="643"/>
        <w:rPr>
          <w:rFonts w:ascii="仿宋" w:hAnsi="仿宋" w:cs="仿宋"/>
          <w:kern w:val="0"/>
          <w:sz w:val="32"/>
          <w:szCs w:val="32"/>
        </w:rPr>
      </w:pPr>
      <w:r>
        <w:rPr>
          <w:rFonts w:hint="eastAsia" w:ascii="仿宋" w:hAnsi="仿宋" w:cs="仿宋"/>
          <w:b/>
          <w:bCs/>
          <w:kern w:val="0"/>
          <w:sz w:val="32"/>
          <w:szCs w:val="32"/>
        </w:rPr>
        <w:t>4、突出基本保障。</w:t>
      </w:r>
      <w:r>
        <w:rPr>
          <w:rFonts w:hint="eastAsia" w:ascii="仿宋" w:hAnsi="仿宋" w:cs="仿宋"/>
          <w:kern w:val="0"/>
          <w:sz w:val="32"/>
          <w:szCs w:val="32"/>
        </w:rPr>
        <w:t>积极争取政府调整财政支出结构，不断提高民政事业支出比重；牢固树立“集中资金办大事、握紧拳头保重点”的思想，通过集中使用资金，确保重点项目和重要工作的顺利实施，打造一批精品工程和亮点工作；加大财政和福彩公益金投入支持力度；积极探索建立财政补助、银行贷款税费优惠、社会力量捐助等政策措施，吸引社会资本投入民生事业；积极争取各级党委政府支持，着力强化地方民政政策创制，逐步完善社会救助、社区建设等政策体系，为全面实现“十四五”各项目标任务提供政策支持。</w:t>
      </w:r>
    </w:p>
    <w:p w14:paraId="42FC65D4">
      <w:pPr>
        <w:widowControl/>
        <w:ind w:firstLine="0" w:firstLineChars="0"/>
        <w:jc w:val="left"/>
        <w:rPr>
          <w:rFonts w:ascii="仿宋" w:hAnsi="仿宋" w:cs="仿宋"/>
          <w:b/>
          <w:bCs/>
          <w:kern w:val="0"/>
          <w:sz w:val="32"/>
          <w:szCs w:val="32"/>
        </w:rPr>
      </w:pPr>
      <w:r>
        <w:rPr>
          <w:rFonts w:hint="eastAsia" w:ascii="仿宋" w:hAnsi="仿宋" w:cs="仿宋"/>
          <w:kern w:val="0"/>
          <w:sz w:val="32"/>
          <w:szCs w:val="32"/>
        </w:rPr>
        <w:br w:type="page"/>
      </w:r>
    </w:p>
    <w:p w14:paraId="4040DF4B">
      <w:pPr>
        <w:pStyle w:val="3"/>
        <w:ind w:firstLine="0" w:firstLineChars="0"/>
        <w:jc w:val="center"/>
        <w:rPr>
          <w:rFonts w:ascii="仿宋" w:hAnsi="仿宋" w:eastAsia="仿宋" w:cs="仿宋"/>
          <w:kern w:val="0"/>
        </w:rPr>
      </w:pPr>
      <w:bookmarkStart w:id="18" w:name="_Toc3233"/>
      <w:r>
        <w:rPr>
          <w:rFonts w:hint="eastAsia" w:ascii="仿宋" w:hAnsi="仿宋" w:eastAsia="仿宋" w:cs="仿宋"/>
          <w:kern w:val="0"/>
        </w:rPr>
        <w:t>第四章 “十四五”发展的主要任务</w:t>
      </w:r>
      <w:bookmarkEnd w:id="18"/>
    </w:p>
    <w:p w14:paraId="50A6D292">
      <w:pPr>
        <w:ind w:firstLine="640"/>
        <w:rPr>
          <w:rFonts w:ascii="仿宋" w:hAnsi="仿宋" w:cs="仿宋"/>
          <w:kern w:val="0"/>
          <w:sz w:val="32"/>
          <w:szCs w:val="32"/>
        </w:rPr>
      </w:pPr>
      <w:r>
        <w:rPr>
          <w:rFonts w:hint="eastAsia" w:ascii="仿宋" w:hAnsi="仿宋" w:cs="仿宋"/>
          <w:kern w:val="0"/>
          <w:sz w:val="32"/>
          <w:szCs w:val="32"/>
        </w:rPr>
        <w:t>根据指导思想和总体目标，“十四五”期间，全县民政事业转型升级发展将着力建设和完善社会救助、基层治理、养老服务、社会福利、优抚安置、专项事务六大体系，抓紧构建与全县经济社会发展水平相适应的现代化民政事业体系，不断满足人民群众日益增长的多层次、多样化需求。</w:t>
      </w:r>
    </w:p>
    <w:p w14:paraId="0FAEF61C">
      <w:pPr>
        <w:ind w:firstLine="640"/>
        <w:rPr>
          <w:rFonts w:ascii="仿宋" w:hAnsi="仿宋" w:cs="仿宋"/>
          <w:kern w:val="0"/>
          <w:sz w:val="32"/>
          <w:szCs w:val="32"/>
        </w:rPr>
      </w:pPr>
      <w:r>
        <w:rPr>
          <w:rFonts w:hint="eastAsia" w:ascii="仿宋" w:hAnsi="仿宋" w:cs="仿宋"/>
          <w:kern w:val="0"/>
          <w:sz w:val="32"/>
          <w:szCs w:val="32"/>
        </w:rPr>
        <w:t> 表4-1  “十四五”民政事业发展主要指标预期</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536"/>
        <w:gridCol w:w="1415"/>
        <w:gridCol w:w="1536"/>
        <w:gridCol w:w="1058"/>
      </w:tblGrid>
      <w:tr w14:paraId="7C92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46" w:type="pct"/>
            <w:shd w:val="clear" w:color="auto" w:fill="auto"/>
            <w:vAlign w:val="center"/>
          </w:tcPr>
          <w:p w14:paraId="6ED7D285">
            <w:pPr>
              <w:ind w:firstLine="480"/>
              <w:rPr>
                <w:rFonts w:ascii="仿宋" w:hAnsi="仿宋" w:cs="仿宋"/>
                <w:kern w:val="0"/>
                <w:sz w:val="24"/>
                <w:szCs w:val="24"/>
              </w:rPr>
            </w:pPr>
            <w:r>
              <w:rPr>
                <w:rFonts w:hint="eastAsia" w:ascii="仿宋" w:hAnsi="仿宋" w:cs="仿宋"/>
                <w:kern w:val="0"/>
                <w:sz w:val="24"/>
                <w:szCs w:val="24"/>
              </w:rPr>
              <w:t>指标名称</w:t>
            </w:r>
          </w:p>
        </w:tc>
        <w:tc>
          <w:tcPr>
            <w:tcW w:w="901" w:type="pct"/>
            <w:shd w:val="clear" w:color="auto" w:fill="auto"/>
            <w:vAlign w:val="center"/>
          </w:tcPr>
          <w:p w14:paraId="56889BC9">
            <w:pPr>
              <w:ind w:firstLine="480"/>
              <w:rPr>
                <w:rFonts w:ascii="仿宋" w:hAnsi="仿宋" w:cs="仿宋"/>
                <w:kern w:val="0"/>
                <w:sz w:val="24"/>
                <w:szCs w:val="24"/>
              </w:rPr>
            </w:pPr>
            <w:r>
              <w:rPr>
                <w:rFonts w:hint="eastAsia" w:ascii="仿宋" w:hAnsi="仿宋" w:cs="仿宋"/>
                <w:kern w:val="0"/>
                <w:sz w:val="24"/>
                <w:szCs w:val="24"/>
              </w:rPr>
              <w:t>2020年预计数</w:t>
            </w:r>
          </w:p>
        </w:tc>
        <w:tc>
          <w:tcPr>
            <w:tcW w:w="830" w:type="pct"/>
            <w:shd w:val="clear" w:color="auto" w:fill="auto"/>
            <w:vAlign w:val="center"/>
          </w:tcPr>
          <w:p w14:paraId="4ADD5355">
            <w:pPr>
              <w:ind w:firstLine="480"/>
              <w:rPr>
                <w:rFonts w:ascii="仿宋" w:hAnsi="仿宋" w:cs="仿宋"/>
                <w:kern w:val="0"/>
                <w:sz w:val="24"/>
                <w:szCs w:val="24"/>
              </w:rPr>
            </w:pPr>
            <w:r>
              <w:rPr>
                <w:rFonts w:hint="eastAsia" w:ascii="仿宋" w:hAnsi="仿宋" w:cs="仿宋"/>
                <w:kern w:val="0"/>
                <w:sz w:val="24"/>
                <w:szCs w:val="24"/>
              </w:rPr>
              <w:t>2025年预计数</w:t>
            </w:r>
          </w:p>
        </w:tc>
        <w:tc>
          <w:tcPr>
            <w:tcW w:w="901" w:type="pct"/>
            <w:shd w:val="clear" w:color="auto" w:fill="auto"/>
            <w:vAlign w:val="center"/>
          </w:tcPr>
          <w:p w14:paraId="53BD053F">
            <w:pPr>
              <w:ind w:firstLine="480"/>
              <w:rPr>
                <w:rFonts w:ascii="仿宋" w:hAnsi="仿宋" w:cs="仿宋"/>
                <w:kern w:val="0"/>
                <w:sz w:val="24"/>
                <w:szCs w:val="24"/>
              </w:rPr>
            </w:pPr>
            <w:r>
              <w:rPr>
                <w:rFonts w:hint="eastAsia" w:ascii="仿宋" w:hAnsi="仿宋" w:cs="仿宋"/>
                <w:kern w:val="0"/>
                <w:sz w:val="24"/>
                <w:szCs w:val="24"/>
              </w:rPr>
              <w:t>年均增长率（％）</w:t>
            </w:r>
          </w:p>
        </w:tc>
        <w:tc>
          <w:tcPr>
            <w:tcW w:w="620" w:type="pct"/>
            <w:shd w:val="clear" w:color="auto" w:fill="auto"/>
            <w:vAlign w:val="center"/>
          </w:tcPr>
          <w:p w14:paraId="5403B83B">
            <w:pPr>
              <w:ind w:firstLine="0" w:firstLineChars="0"/>
              <w:rPr>
                <w:rFonts w:ascii="仿宋" w:hAnsi="仿宋" w:cs="仿宋"/>
                <w:kern w:val="0"/>
                <w:sz w:val="24"/>
                <w:szCs w:val="24"/>
              </w:rPr>
            </w:pPr>
            <w:r>
              <w:rPr>
                <w:rFonts w:hint="eastAsia" w:ascii="仿宋" w:hAnsi="仿宋" w:cs="仿宋"/>
                <w:kern w:val="0"/>
                <w:sz w:val="24"/>
                <w:szCs w:val="24"/>
              </w:rPr>
              <w:t>指标属性</w:t>
            </w:r>
          </w:p>
        </w:tc>
      </w:tr>
      <w:tr w14:paraId="589A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2C61DA2D">
            <w:pPr>
              <w:ind w:firstLine="480"/>
              <w:rPr>
                <w:rFonts w:ascii="仿宋" w:hAnsi="仿宋" w:cs="仿宋"/>
                <w:kern w:val="0"/>
                <w:sz w:val="24"/>
                <w:szCs w:val="24"/>
              </w:rPr>
            </w:pPr>
            <w:r>
              <w:rPr>
                <w:rFonts w:hint="eastAsia" w:ascii="仿宋" w:hAnsi="仿宋" w:cs="仿宋"/>
                <w:kern w:val="0"/>
                <w:sz w:val="24"/>
                <w:szCs w:val="24"/>
              </w:rPr>
              <w:t>城市低保月均保障人数（万人）</w:t>
            </w:r>
          </w:p>
        </w:tc>
        <w:tc>
          <w:tcPr>
            <w:tcW w:w="901" w:type="pct"/>
            <w:shd w:val="clear" w:color="auto" w:fill="auto"/>
            <w:vAlign w:val="center"/>
          </w:tcPr>
          <w:p w14:paraId="07B0C166">
            <w:pPr>
              <w:ind w:firstLine="480"/>
              <w:rPr>
                <w:rFonts w:ascii="仿宋" w:hAnsi="仿宋" w:cs="仿宋"/>
                <w:kern w:val="0"/>
                <w:sz w:val="24"/>
                <w:szCs w:val="24"/>
              </w:rPr>
            </w:pPr>
            <w:r>
              <w:rPr>
                <w:rFonts w:hint="eastAsia" w:ascii="仿宋" w:hAnsi="仿宋" w:cs="仿宋"/>
                <w:kern w:val="0"/>
                <w:sz w:val="24"/>
                <w:szCs w:val="24"/>
              </w:rPr>
              <w:t>0.23</w:t>
            </w:r>
          </w:p>
        </w:tc>
        <w:tc>
          <w:tcPr>
            <w:tcW w:w="830" w:type="pct"/>
            <w:shd w:val="clear" w:color="auto" w:fill="auto"/>
            <w:vAlign w:val="center"/>
          </w:tcPr>
          <w:p w14:paraId="03B7CADB">
            <w:pPr>
              <w:ind w:firstLine="480"/>
              <w:rPr>
                <w:rFonts w:ascii="仿宋" w:hAnsi="仿宋" w:cs="仿宋"/>
                <w:kern w:val="0"/>
                <w:sz w:val="24"/>
                <w:szCs w:val="24"/>
              </w:rPr>
            </w:pPr>
            <w:r>
              <w:rPr>
                <w:rFonts w:hint="eastAsia" w:ascii="仿宋" w:hAnsi="仿宋" w:cs="仿宋"/>
                <w:kern w:val="0"/>
                <w:sz w:val="24"/>
                <w:szCs w:val="24"/>
              </w:rPr>
              <w:t>0.3</w:t>
            </w:r>
          </w:p>
        </w:tc>
        <w:tc>
          <w:tcPr>
            <w:tcW w:w="901" w:type="pct"/>
            <w:shd w:val="clear" w:color="auto" w:fill="auto"/>
            <w:vAlign w:val="center"/>
          </w:tcPr>
          <w:p w14:paraId="3FA273B6">
            <w:pPr>
              <w:ind w:firstLine="480"/>
              <w:rPr>
                <w:rFonts w:ascii="仿宋" w:hAnsi="仿宋" w:cs="仿宋"/>
                <w:kern w:val="0"/>
                <w:sz w:val="24"/>
                <w:szCs w:val="24"/>
              </w:rPr>
            </w:pPr>
            <w:r>
              <w:rPr>
                <w:rFonts w:hint="eastAsia" w:ascii="仿宋" w:hAnsi="仿宋" w:cs="仿宋"/>
                <w:kern w:val="0"/>
                <w:sz w:val="24"/>
                <w:szCs w:val="24"/>
              </w:rPr>
              <w:t>6.08%</w:t>
            </w:r>
          </w:p>
        </w:tc>
        <w:tc>
          <w:tcPr>
            <w:tcW w:w="620" w:type="pct"/>
            <w:shd w:val="clear" w:color="auto" w:fill="auto"/>
            <w:vAlign w:val="center"/>
          </w:tcPr>
          <w:p w14:paraId="0DAF1381">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6882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670C09D3">
            <w:pPr>
              <w:ind w:firstLine="480"/>
              <w:rPr>
                <w:rFonts w:ascii="仿宋" w:hAnsi="仿宋" w:cs="仿宋"/>
                <w:kern w:val="0"/>
                <w:sz w:val="24"/>
                <w:szCs w:val="24"/>
              </w:rPr>
            </w:pPr>
            <w:r>
              <w:rPr>
                <w:rFonts w:hint="eastAsia" w:ascii="仿宋" w:hAnsi="仿宋" w:cs="仿宋"/>
                <w:kern w:val="0"/>
                <w:sz w:val="24"/>
                <w:szCs w:val="24"/>
              </w:rPr>
              <w:t>城市低保标准（元）</w:t>
            </w:r>
          </w:p>
        </w:tc>
        <w:tc>
          <w:tcPr>
            <w:tcW w:w="901" w:type="pct"/>
            <w:shd w:val="clear" w:color="auto" w:fill="auto"/>
            <w:vAlign w:val="center"/>
          </w:tcPr>
          <w:p w14:paraId="7BEC2198">
            <w:pPr>
              <w:ind w:firstLine="480"/>
              <w:rPr>
                <w:rFonts w:ascii="仿宋" w:hAnsi="仿宋" w:cs="仿宋"/>
                <w:kern w:val="0"/>
                <w:sz w:val="24"/>
                <w:szCs w:val="24"/>
              </w:rPr>
            </w:pPr>
            <w:r>
              <w:rPr>
                <w:rFonts w:hint="eastAsia" w:ascii="仿宋" w:hAnsi="仿宋" w:cs="仿宋"/>
                <w:kern w:val="0"/>
                <w:sz w:val="24"/>
                <w:szCs w:val="24"/>
              </w:rPr>
              <w:t>350</w:t>
            </w:r>
          </w:p>
        </w:tc>
        <w:tc>
          <w:tcPr>
            <w:tcW w:w="830" w:type="pct"/>
            <w:shd w:val="clear" w:color="auto" w:fill="auto"/>
            <w:vAlign w:val="center"/>
          </w:tcPr>
          <w:p w14:paraId="79232E86">
            <w:pPr>
              <w:ind w:firstLine="480"/>
              <w:rPr>
                <w:rFonts w:ascii="仿宋" w:hAnsi="仿宋" w:cs="仿宋"/>
                <w:kern w:val="0"/>
                <w:sz w:val="24"/>
                <w:szCs w:val="24"/>
              </w:rPr>
            </w:pPr>
            <w:r>
              <w:rPr>
                <w:rFonts w:hint="eastAsia" w:ascii="仿宋" w:hAnsi="仿宋" w:cs="仿宋"/>
                <w:kern w:val="0"/>
                <w:sz w:val="24"/>
                <w:szCs w:val="24"/>
              </w:rPr>
              <w:t>564</w:t>
            </w:r>
          </w:p>
        </w:tc>
        <w:tc>
          <w:tcPr>
            <w:tcW w:w="901" w:type="pct"/>
            <w:shd w:val="clear" w:color="auto" w:fill="auto"/>
            <w:vAlign w:val="center"/>
          </w:tcPr>
          <w:p w14:paraId="7F9B41A2">
            <w:pPr>
              <w:ind w:firstLine="480"/>
              <w:rPr>
                <w:rFonts w:ascii="仿宋" w:hAnsi="仿宋" w:cs="仿宋"/>
                <w:kern w:val="0"/>
                <w:sz w:val="24"/>
                <w:szCs w:val="24"/>
              </w:rPr>
            </w:pPr>
            <w:r>
              <w:rPr>
                <w:rFonts w:hint="eastAsia" w:ascii="仿宋" w:hAnsi="仿宋" w:cs="仿宋"/>
                <w:kern w:val="0"/>
                <w:sz w:val="24"/>
                <w:szCs w:val="24"/>
              </w:rPr>
              <w:t>12.22%</w:t>
            </w:r>
          </w:p>
        </w:tc>
        <w:tc>
          <w:tcPr>
            <w:tcW w:w="620" w:type="pct"/>
            <w:shd w:val="clear" w:color="auto" w:fill="auto"/>
            <w:vAlign w:val="center"/>
          </w:tcPr>
          <w:p w14:paraId="1239320C">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714C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7B7E815C">
            <w:pPr>
              <w:ind w:firstLine="480"/>
              <w:rPr>
                <w:rFonts w:ascii="仿宋" w:hAnsi="仿宋" w:cs="仿宋"/>
                <w:kern w:val="0"/>
                <w:sz w:val="24"/>
                <w:szCs w:val="24"/>
              </w:rPr>
            </w:pPr>
            <w:r>
              <w:rPr>
                <w:rFonts w:hint="eastAsia" w:ascii="仿宋" w:hAnsi="仿宋" w:cs="仿宋"/>
                <w:kern w:val="0"/>
                <w:sz w:val="24"/>
                <w:szCs w:val="24"/>
              </w:rPr>
              <w:t>农村低保月均保障人数（万人）</w:t>
            </w:r>
          </w:p>
        </w:tc>
        <w:tc>
          <w:tcPr>
            <w:tcW w:w="901" w:type="pct"/>
            <w:shd w:val="clear" w:color="auto" w:fill="auto"/>
            <w:vAlign w:val="center"/>
          </w:tcPr>
          <w:p w14:paraId="33D46359">
            <w:pPr>
              <w:ind w:firstLine="480"/>
              <w:rPr>
                <w:rFonts w:ascii="仿宋" w:hAnsi="仿宋" w:cs="仿宋"/>
                <w:kern w:val="0"/>
                <w:sz w:val="24"/>
                <w:szCs w:val="24"/>
              </w:rPr>
            </w:pPr>
            <w:r>
              <w:rPr>
                <w:rFonts w:hint="eastAsia" w:ascii="仿宋" w:hAnsi="仿宋" w:cs="仿宋"/>
                <w:kern w:val="0"/>
                <w:sz w:val="24"/>
                <w:szCs w:val="24"/>
              </w:rPr>
              <w:t>1.37</w:t>
            </w:r>
          </w:p>
        </w:tc>
        <w:tc>
          <w:tcPr>
            <w:tcW w:w="830" w:type="pct"/>
            <w:shd w:val="clear" w:color="auto" w:fill="auto"/>
            <w:vAlign w:val="center"/>
          </w:tcPr>
          <w:p w14:paraId="64738ED0">
            <w:pPr>
              <w:ind w:firstLine="480"/>
              <w:rPr>
                <w:rFonts w:ascii="仿宋" w:hAnsi="仿宋" w:cs="仿宋"/>
                <w:kern w:val="0"/>
                <w:sz w:val="24"/>
                <w:szCs w:val="24"/>
              </w:rPr>
            </w:pPr>
            <w:r>
              <w:rPr>
                <w:rFonts w:hint="eastAsia" w:ascii="仿宋" w:hAnsi="仿宋" w:cs="仿宋"/>
                <w:kern w:val="0"/>
                <w:sz w:val="24"/>
                <w:szCs w:val="24"/>
              </w:rPr>
              <w:t>1.48</w:t>
            </w:r>
          </w:p>
        </w:tc>
        <w:tc>
          <w:tcPr>
            <w:tcW w:w="901" w:type="pct"/>
            <w:shd w:val="clear" w:color="auto" w:fill="auto"/>
            <w:vAlign w:val="center"/>
          </w:tcPr>
          <w:p w14:paraId="5A9581BD">
            <w:pPr>
              <w:ind w:firstLine="480"/>
              <w:rPr>
                <w:rFonts w:ascii="仿宋" w:hAnsi="仿宋" w:cs="仿宋"/>
                <w:kern w:val="0"/>
                <w:sz w:val="24"/>
                <w:szCs w:val="24"/>
              </w:rPr>
            </w:pPr>
            <w:r>
              <w:rPr>
                <w:rFonts w:hint="eastAsia" w:ascii="仿宋" w:hAnsi="仿宋" w:cs="仿宋"/>
                <w:kern w:val="0"/>
                <w:sz w:val="24"/>
                <w:szCs w:val="24"/>
              </w:rPr>
              <w:t>1.6%</w:t>
            </w:r>
          </w:p>
        </w:tc>
        <w:tc>
          <w:tcPr>
            <w:tcW w:w="620" w:type="pct"/>
            <w:shd w:val="clear" w:color="auto" w:fill="auto"/>
            <w:vAlign w:val="center"/>
          </w:tcPr>
          <w:p w14:paraId="7A3B2EE5">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4784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023E5C63">
            <w:pPr>
              <w:ind w:firstLine="480"/>
              <w:rPr>
                <w:rFonts w:ascii="仿宋" w:hAnsi="仿宋" w:cs="仿宋"/>
                <w:kern w:val="0"/>
                <w:sz w:val="24"/>
                <w:szCs w:val="24"/>
              </w:rPr>
            </w:pPr>
            <w:r>
              <w:rPr>
                <w:rFonts w:hint="eastAsia" w:ascii="仿宋" w:hAnsi="仿宋" w:cs="仿宋"/>
                <w:kern w:val="0"/>
                <w:sz w:val="24"/>
                <w:szCs w:val="24"/>
              </w:rPr>
              <w:t>农村低保标准（元）</w:t>
            </w:r>
          </w:p>
        </w:tc>
        <w:tc>
          <w:tcPr>
            <w:tcW w:w="901" w:type="pct"/>
            <w:shd w:val="clear" w:color="auto" w:fill="auto"/>
            <w:vAlign w:val="center"/>
          </w:tcPr>
          <w:p w14:paraId="45EE3926">
            <w:pPr>
              <w:ind w:firstLine="480"/>
              <w:rPr>
                <w:rFonts w:ascii="仿宋" w:hAnsi="仿宋" w:cs="仿宋"/>
                <w:kern w:val="0"/>
                <w:sz w:val="24"/>
                <w:szCs w:val="24"/>
              </w:rPr>
            </w:pPr>
            <w:r>
              <w:rPr>
                <w:rFonts w:hint="eastAsia" w:ascii="仿宋" w:hAnsi="仿宋" w:cs="仿宋"/>
                <w:kern w:val="0"/>
                <w:sz w:val="24"/>
                <w:szCs w:val="24"/>
              </w:rPr>
              <w:t>340</w:t>
            </w:r>
          </w:p>
        </w:tc>
        <w:tc>
          <w:tcPr>
            <w:tcW w:w="830" w:type="pct"/>
            <w:shd w:val="clear" w:color="auto" w:fill="auto"/>
            <w:vAlign w:val="center"/>
          </w:tcPr>
          <w:p w14:paraId="536AE32A">
            <w:pPr>
              <w:ind w:firstLine="480"/>
              <w:rPr>
                <w:rFonts w:ascii="仿宋" w:hAnsi="仿宋" w:cs="仿宋"/>
                <w:kern w:val="0"/>
                <w:sz w:val="24"/>
                <w:szCs w:val="24"/>
              </w:rPr>
            </w:pPr>
            <w:r>
              <w:rPr>
                <w:rFonts w:hint="eastAsia" w:ascii="仿宋" w:hAnsi="仿宋" w:cs="仿宋"/>
                <w:kern w:val="0"/>
                <w:sz w:val="24"/>
                <w:szCs w:val="24"/>
              </w:rPr>
              <w:t>520</w:t>
            </w:r>
          </w:p>
        </w:tc>
        <w:tc>
          <w:tcPr>
            <w:tcW w:w="901" w:type="pct"/>
            <w:shd w:val="clear" w:color="auto" w:fill="auto"/>
            <w:vAlign w:val="center"/>
          </w:tcPr>
          <w:p w14:paraId="36BE6F21">
            <w:pPr>
              <w:ind w:firstLine="480"/>
              <w:rPr>
                <w:rFonts w:ascii="仿宋" w:hAnsi="仿宋" w:cs="仿宋"/>
                <w:kern w:val="0"/>
                <w:sz w:val="24"/>
                <w:szCs w:val="24"/>
              </w:rPr>
            </w:pPr>
            <w:r>
              <w:rPr>
                <w:rFonts w:hint="eastAsia" w:ascii="仿宋" w:hAnsi="仿宋" w:cs="仿宋"/>
                <w:kern w:val="0"/>
                <w:sz w:val="24"/>
                <w:szCs w:val="24"/>
              </w:rPr>
              <w:t>10.58%</w:t>
            </w:r>
          </w:p>
        </w:tc>
        <w:tc>
          <w:tcPr>
            <w:tcW w:w="620" w:type="pct"/>
            <w:shd w:val="clear" w:color="auto" w:fill="auto"/>
            <w:vAlign w:val="center"/>
          </w:tcPr>
          <w:p w14:paraId="668F094E">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7924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4F4263EF">
            <w:pPr>
              <w:ind w:firstLine="480"/>
              <w:rPr>
                <w:rFonts w:ascii="仿宋" w:hAnsi="仿宋" w:cs="仿宋"/>
                <w:kern w:val="0"/>
                <w:sz w:val="24"/>
                <w:szCs w:val="24"/>
              </w:rPr>
            </w:pPr>
            <w:r>
              <w:rPr>
                <w:rFonts w:hint="eastAsia" w:ascii="仿宋" w:hAnsi="仿宋" w:cs="仿宋"/>
                <w:kern w:val="0"/>
                <w:sz w:val="24"/>
                <w:szCs w:val="24"/>
              </w:rPr>
              <w:t>农村五保供养人数（万人）</w:t>
            </w:r>
          </w:p>
        </w:tc>
        <w:tc>
          <w:tcPr>
            <w:tcW w:w="901" w:type="pct"/>
            <w:shd w:val="clear" w:color="auto" w:fill="auto"/>
            <w:vAlign w:val="center"/>
          </w:tcPr>
          <w:p w14:paraId="779899A2">
            <w:pPr>
              <w:ind w:firstLine="480"/>
              <w:rPr>
                <w:rFonts w:ascii="仿宋" w:hAnsi="仿宋" w:cs="仿宋"/>
                <w:kern w:val="0"/>
                <w:sz w:val="24"/>
                <w:szCs w:val="24"/>
              </w:rPr>
            </w:pPr>
            <w:r>
              <w:rPr>
                <w:rFonts w:hint="eastAsia" w:ascii="仿宋" w:hAnsi="仿宋" w:cs="仿宋"/>
                <w:kern w:val="0"/>
                <w:sz w:val="24"/>
                <w:szCs w:val="24"/>
              </w:rPr>
              <w:t>5.3</w:t>
            </w:r>
          </w:p>
        </w:tc>
        <w:tc>
          <w:tcPr>
            <w:tcW w:w="830" w:type="pct"/>
            <w:shd w:val="clear" w:color="auto" w:fill="auto"/>
            <w:vAlign w:val="center"/>
          </w:tcPr>
          <w:p w14:paraId="69521F56">
            <w:pPr>
              <w:ind w:firstLine="480"/>
              <w:rPr>
                <w:rFonts w:ascii="仿宋" w:hAnsi="仿宋" w:cs="仿宋"/>
                <w:kern w:val="0"/>
                <w:sz w:val="24"/>
                <w:szCs w:val="24"/>
              </w:rPr>
            </w:pPr>
            <w:r>
              <w:rPr>
                <w:rFonts w:hint="eastAsia" w:ascii="仿宋" w:hAnsi="仿宋" w:cs="仿宋"/>
                <w:kern w:val="0"/>
                <w:sz w:val="24"/>
                <w:szCs w:val="24"/>
              </w:rPr>
              <w:t>5.86</w:t>
            </w:r>
          </w:p>
        </w:tc>
        <w:tc>
          <w:tcPr>
            <w:tcW w:w="901" w:type="pct"/>
            <w:shd w:val="clear" w:color="auto" w:fill="auto"/>
            <w:vAlign w:val="center"/>
          </w:tcPr>
          <w:p w14:paraId="0463C300">
            <w:pPr>
              <w:ind w:firstLine="480"/>
              <w:rPr>
                <w:rFonts w:ascii="仿宋" w:hAnsi="仿宋" w:cs="仿宋"/>
                <w:kern w:val="0"/>
                <w:sz w:val="24"/>
                <w:szCs w:val="24"/>
              </w:rPr>
            </w:pPr>
            <w:r>
              <w:rPr>
                <w:rFonts w:hint="eastAsia" w:ascii="仿宋" w:hAnsi="仿宋" w:cs="仿宋"/>
                <w:kern w:val="0"/>
                <w:sz w:val="24"/>
                <w:szCs w:val="24"/>
              </w:rPr>
              <w:t>2.03%</w:t>
            </w:r>
          </w:p>
        </w:tc>
        <w:tc>
          <w:tcPr>
            <w:tcW w:w="620" w:type="pct"/>
            <w:shd w:val="clear" w:color="auto" w:fill="auto"/>
            <w:vAlign w:val="center"/>
          </w:tcPr>
          <w:p w14:paraId="5F8168CA">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615E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2B43471C">
            <w:pPr>
              <w:ind w:firstLine="480"/>
              <w:rPr>
                <w:rFonts w:ascii="仿宋" w:hAnsi="仿宋" w:cs="仿宋"/>
                <w:kern w:val="0"/>
                <w:sz w:val="24"/>
                <w:szCs w:val="24"/>
              </w:rPr>
            </w:pPr>
            <w:r>
              <w:rPr>
                <w:rFonts w:hint="eastAsia" w:ascii="仿宋" w:hAnsi="仿宋" w:cs="仿宋"/>
                <w:kern w:val="0"/>
                <w:sz w:val="24"/>
                <w:szCs w:val="24"/>
              </w:rPr>
              <w:t>农村五保年分散供养标准（元）</w:t>
            </w:r>
          </w:p>
        </w:tc>
        <w:tc>
          <w:tcPr>
            <w:tcW w:w="901" w:type="pct"/>
            <w:shd w:val="clear" w:color="auto" w:fill="auto"/>
            <w:vAlign w:val="center"/>
          </w:tcPr>
          <w:p w14:paraId="43C7B2C2">
            <w:pPr>
              <w:ind w:firstLine="480"/>
              <w:rPr>
                <w:rFonts w:ascii="仿宋" w:hAnsi="仿宋" w:cs="仿宋"/>
                <w:kern w:val="0"/>
                <w:sz w:val="24"/>
                <w:szCs w:val="24"/>
              </w:rPr>
            </w:pPr>
            <w:r>
              <w:rPr>
                <w:rFonts w:hint="eastAsia" w:ascii="仿宋" w:hAnsi="仿宋" w:cs="仿宋"/>
                <w:kern w:val="0"/>
                <w:sz w:val="24"/>
                <w:szCs w:val="24"/>
              </w:rPr>
              <w:t>5304</w:t>
            </w:r>
          </w:p>
        </w:tc>
        <w:tc>
          <w:tcPr>
            <w:tcW w:w="830" w:type="pct"/>
            <w:shd w:val="clear" w:color="auto" w:fill="auto"/>
            <w:vAlign w:val="center"/>
          </w:tcPr>
          <w:p w14:paraId="76262C5E">
            <w:pPr>
              <w:ind w:firstLine="480"/>
              <w:rPr>
                <w:rFonts w:ascii="仿宋" w:hAnsi="仿宋" w:cs="仿宋"/>
                <w:kern w:val="0"/>
                <w:sz w:val="24"/>
                <w:szCs w:val="24"/>
              </w:rPr>
            </w:pPr>
            <w:r>
              <w:rPr>
                <w:rFonts w:hint="eastAsia" w:ascii="仿宋" w:hAnsi="仿宋" w:cs="仿宋"/>
                <w:kern w:val="0"/>
                <w:sz w:val="24"/>
                <w:szCs w:val="24"/>
              </w:rPr>
              <w:t>7688</w:t>
            </w:r>
          </w:p>
        </w:tc>
        <w:tc>
          <w:tcPr>
            <w:tcW w:w="901" w:type="pct"/>
            <w:shd w:val="clear" w:color="auto" w:fill="auto"/>
            <w:vAlign w:val="center"/>
          </w:tcPr>
          <w:p w14:paraId="7EBAB0E9">
            <w:pPr>
              <w:ind w:firstLine="480"/>
              <w:rPr>
                <w:rFonts w:ascii="仿宋" w:hAnsi="仿宋" w:cs="仿宋"/>
                <w:kern w:val="0"/>
                <w:sz w:val="24"/>
                <w:szCs w:val="24"/>
              </w:rPr>
            </w:pPr>
            <w:r>
              <w:rPr>
                <w:rFonts w:hint="eastAsia" w:ascii="仿宋" w:hAnsi="仿宋" w:cs="仿宋"/>
                <w:kern w:val="0"/>
                <w:sz w:val="24"/>
                <w:szCs w:val="24"/>
              </w:rPr>
              <w:t>8.98%</w:t>
            </w:r>
          </w:p>
        </w:tc>
        <w:tc>
          <w:tcPr>
            <w:tcW w:w="620" w:type="pct"/>
            <w:shd w:val="clear" w:color="auto" w:fill="auto"/>
            <w:vAlign w:val="center"/>
          </w:tcPr>
          <w:p w14:paraId="73BB28FC">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49C4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29162705">
            <w:pPr>
              <w:ind w:firstLine="480"/>
              <w:rPr>
                <w:rFonts w:ascii="仿宋" w:hAnsi="仿宋" w:cs="仿宋"/>
                <w:kern w:val="0"/>
                <w:sz w:val="24"/>
                <w:szCs w:val="24"/>
              </w:rPr>
            </w:pPr>
            <w:r>
              <w:rPr>
                <w:rFonts w:hint="eastAsia" w:ascii="仿宋" w:hAnsi="仿宋" w:cs="仿宋"/>
                <w:kern w:val="0"/>
                <w:sz w:val="24"/>
                <w:szCs w:val="24"/>
              </w:rPr>
              <w:t>农村敬老院（所）</w:t>
            </w:r>
          </w:p>
        </w:tc>
        <w:tc>
          <w:tcPr>
            <w:tcW w:w="901" w:type="pct"/>
            <w:shd w:val="clear" w:color="auto" w:fill="auto"/>
            <w:vAlign w:val="center"/>
          </w:tcPr>
          <w:p w14:paraId="4B588926">
            <w:pPr>
              <w:ind w:firstLine="480"/>
              <w:rPr>
                <w:rFonts w:ascii="仿宋" w:hAnsi="仿宋" w:cs="仿宋"/>
                <w:kern w:val="0"/>
                <w:sz w:val="24"/>
                <w:szCs w:val="24"/>
              </w:rPr>
            </w:pPr>
            <w:r>
              <w:rPr>
                <w:rFonts w:hint="eastAsia" w:ascii="仿宋" w:hAnsi="仿宋" w:cs="仿宋"/>
                <w:kern w:val="0"/>
                <w:sz w:val="24"/>
                <w:szCs w:val="24"/>
              </w:rPr>
              <w:t>15</w:t>
            </w:r>
          </w:p>
        </w:tc>
        <w:tc>
          <w:tcPr>
            <w:tcW w:w="830" w:type="pct"/>
            <w:shd w:val="clear" w:color="auto" w:fill="auto"/>
            <w:vAlign w:val="center"/>
          </w:tcPr>
          <w:p w14:paraId="31520AB8">
            <w:pPr>
              <w:ind w:firstLine="480"/>
              <w:rPr>
                <w:rFonts w:ascii="仿宋" w:hAnsi="仿宋" w:cs="仿宋"/>
                <w:kern w:val="0"/>
                <w:sz w:val="24"/>
                <w:szCs w:val="24"/>
              </w:rPr>
            </w:pPr>
            <w:r>
              <w:rPr>
                <w:rFonts w:hint="eastAsia" w:ascii="仿宋" w:hAnsi="仿宋" w:cs="仿宋"/>
                <w:kern w:val="0"/>
                <w:sz w:val="24"/>
                <w:szCs w:val="24"/>
              </w:rPr>
              <w:t>6</w:t>
            </w:r>
          </w:p>
        </w:tc>
        <w:tc>
          <w:tcPr>
            <w:tcW w:w="901" w:type="pct"/>
            <w:shd w:val="clear" w:color="auto" w:fill="auto"/>
            <w:vAlign w:val="center"/>
          </w:tcPr>
          <w:p w14:paraId="6A6B7F3D">
            <w:pPr>
              <w:ind w:firstLine="480"/>
              <w:rPr>
                <w:rFonts w:ascii="仿宋" w:hAnsi="仿宋" w:cs="仿宋"/>
                <w:kern w:val="0"/>
                <w:sz w:val="24"/>
                <w:szCs w:val="24"/>
              </w:rPr>
            </w:pPr>
            <w:r>
              <w:rPr>
                <w:rFonts w:hint="eastAsia" w:ascii="仿宋" w:hAnsi="仿宋" w:cs="仿宋"/>
                <w:kern w:val="0"/>
                <w:sz w:val="24"/>
                <w:szCs w:val="24"/>
              </w:rPr>
              <w:t>实行中心敬老院集中供养</w:t>
            </w:r>
          </w:p>
        </w:tc>
        <w:tc>
          <w:tcPr>
            <w:tcW w:w="620" w:type="pct"/>
            <w:shd w:val="clear" w:color="auto" w:fill="auto"/>
            <w:vAlign w:val="center"/>
          </w:tcPr>
          <w:p w14:paraId="5705A79D">
            <w:pPr>
              <w:ind w:firstLine="0" w:firstLineChars="0"/>
              <w:rPr>
                <w:rFonts w:ascii="仿宋" w:hAnsi="仿宋" w:cs="仿宋"/>
                <w:kern w:val="0"/>
                <w:sz w:val="24"/>
                <w:szCs w:val="24"/>
              </w:rPr>
            </w:pPr>
            <w:r>
              <w:rPr>
                <w:rFonts w:hint="eastAsia" w:ascii="仿宋" w:hAnsi="仿宋" w:cs="仿宋"/>
                <w:kern w:val="0"/>
                <w:sz w:val="24"/>
                <w:szCs w:val="24"/>
              </w:rPr>
              <w:t>约束性</w:t>
            </w:r>
          </w:p>
        </w:tc>
      </w:tr>
      <w:tr w14:paraId="55D7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54CD2240">
            <w:pPr>
              <w:ind w:firstLine="480"/>
              <w:rPr>
                <w:rFonts w:ascii="仿宋" w:hAnsi="仿宋" w:cs="仿宋"/>
                <w:kern w:val="0"/>
                <w:sz w:val="24"/>
                <w:szCs w:val="24"/>
              </w:rPr>
            </w:pPr>
            <w:r>
              <w:rPr>
                <w:rFonts w:hint="eastAsia" w:ascii="仿宋" w:hAnsi="仿宋" w:cs="仿宋"/>
                <w:kern w:val="0"/>
                <w:sz w:val="24"/>
                <w:szCs w:val="24"/>
              </w:rPr>
              <w:t>农村五保集中供养率（％）</w:t>
            </w:r>
          </w:p>
        </w:tc>
        <w:tc>
          <w:tcPr>
            <w:tcW w:w="901" w:type="pct"/>
            <w:shd w:val="clear" w:color="auto" w:fill="auto"/>
            <w:vAlign w:val="center"/>
          </w:tcPr>
          <w:p w14:paraId="0B3F7C33">
            <w:pPr>
              <w:ind w:firstLine="480"/>
              <w:rPr>
                <w:rFonts w:ascii="仿宋" w:hAnsi="仿宋" w:cs="仿宋"/>
                <w:kern w:val="0"/>
                <w:sz w:val="24"/>
                <w:szCs w:val="24"/>
              </w:rPr>
            </w:pPr>
            <w:r>
              <w:rPr>
                <w:rFonts w:hint="eastAsia" w:ascii="仿宋" w:hAnsi="仿宋" w:cs="仿宋"/>
                <w:kern w:val="0"/>
                <w:sz w:val="24"/>
                <w:szCs w:val="24"/>
              </w:rPr>
              <w:t>33</w:t>
            </w:r>
          </w:p>
        </w:tc>
        <w:tc>
          <w:tcPr>
            <w:tcW w:w="830" w:type="pct"/>
            <w:shd w:val="clear" w:color="auto" w:fill="auto"/>
            <w:vAlign w:val="center"/>
          </w:tcPr>
          <w:p w14:paraId="6297A373">
            <w:pPr>
              <w:ind w:firstLine="480"/>
              <w:rPr>
                <w:rFonts w:ascii="仿宋" w:hAnsi="仿宋" w:cs="仿宋"/>
                <w:kern w:val="0"/>
                <w:sz w:val="24"/>
                <w:szCs w:val="24"/>
              </w:rPr>
            </w:pPr>
            <w:r>
              <w:rPr>
                <w:rFonts w:hint="eastAsia" w:ascii="仿宋" w:hAnsi="仿宋" w:cs="仿宋"/>
                <w:kern w:val="0"/>
                <w:sz w:val="24"/>
                <w:szCs w:val="24"/>
              </w:rPr>
              <w:t>50</w:t>
            </w:r>
          </w:p>
        </w:tc>
        <w:tc>
          <w:tcPr>
            <w:tcW w:w="901" w:type="pct"/>
            <w:shd w:val="clear" w:color="auto" w:fill="auto"/>
            <w:vAlign w:val="center"/>
          </w:tcPr>
          <w:p w14:paraId="538D2BF3">
            <w:pPr>
              <w:ind w:firstLine="480"/>
              <w:rPr>
                <w:rFonts w:ascii="仿宋" w:hAnsi="仿宋" w:cs="仿宋"/>
                <w:kern w:val="0"/>
                <w:sz w:val="24"/>
                <w:szCs w:val="24"/>
              </w:rPr>
            </w:pPr>
            <w:r>
              <w:rPr>
                <w:rFonts w:hint="eastAsia" w:ascii="仿宋" w:hAnsi="仿宋" w:cs="仿宋"/>
                <w:kern w:val="0"/>
                <w:sz w:val="24"/>
                <w:szCs w:val="24"/>
              </w:rPr>
              <w:t>10.30%</w:t>
            </w:r>
          </w:p>
        </w:tc>
        <w:tc>
          <w:tcPr>
            <w:tcW w:w="620" w:type="pct"/>
            <w:shd w:val="clear" w:color="auto" w:fill="auto"/>
            <w:vAlign w:val="center"/>
          </w:tcPr>
          <w:p w14:paraId="2AC900BE">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64DA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017B4B34">
            <w:pPr>
              <w:ind w:firstLine="480"/>
              <w:rPr>
                <w:rFonts w:ascii="仿宋" w:hAnsi="仿宋" w:cs="仿宋"/>
                <w:kern w:val="0"/>
                <w:sz w:val="24"/>
                <w:szCs w:val="24"/>
              </w:rPr>
            </w:pPr>
            <w:r>
              <w:rPr>
                <w:rFonts w:hint="eastAsia" w:ascii="仿宋" w:hAnsi="仿宋" w:cs="仿宋"/>
                <w:kern w:val="0"/>
                <w:sz w:val="24"/>
                <w:szCs w:val="24"/>
              </w:rPr>
              <w:t>城市居委会依法自治率（％）</w:t>
            </w:r>
          </w:p>
        </w:tc>
        <w:tc>
          <w:tcPr>
            <w:tcW w:w="901" w:type="pct"/>
            <w:shd w:val="clear" w:color="auto" w:fill="auto"/>
            <w:vAlign w:val="center"/>
          </w:tcPr>
          <w:p w14:paraId="7823D944">
            <w:pPr>
              <w:ind w:firstLine="480"/>
              <w:rPr>
                <w:rFonts w:ascii="仿宋" w:hAnsi="仿宋" w:cs="仿宋"/>
                <w:kern w:val="0"/>
                <w:sz w:val="24"/>
                <w:szCs w:val="24"/>
              </w:rPr>
            </w:pPr>
            <w:r>
              <w:rPr>
                <w:rFonts w:hint="eastAsia" w:ascii="仿宋" w:hAnsi="仿宋" w:cs="仿宋"/>
                <w:kern w:val="0"/>
                <w:sz w:val="24"/>
                <w:szCs w:val="24"/>
              </w:rPr>
              <w:t>90.2</w:t>
            </w:r>
          </w:p>
        </w:tc>
        <w:tc>
          <w:tcPr>
            <w:tcW w:w="830" w:type="pct"/>
            <w:shd w:val="clear" w:color="auto" w:fill="auto"/>
            <w:vAlign w:val="center"/>
          </w:tcPr>
          <w:p w14:paraId="465993C8">
            <w:pPr>
              <w:ind w:firstLine="480"/>
              <w:rPr>
                <w:rFonts w:ascii="仿宋" w:hAnsi="仿宋" w:cs="仿宋"/>
                <w:kern w:val="0"/>
                <w:sz w:val="24"/>
                <w:szCs w:val="24"/>
              </w:rPr>
            </w:pPr>
            <w:r>
              <w:rPr>
                <w:rFonts w:hint="eastAsia" w:ascii="仿宋" w:hAnsi="仿宋" w:cs="仿宋"/>
                <w:kern w:val="0"/>
                <w:sz w:val="24"/>
                <w:szCs w:val="24"/>
              </w:rPr>
              <w:t>95</w:t>
            </w:r>
          </w:p>
        </w:tc>
        <w:tc>
          <w:tcPr>
            <w:tcW w:w="901" w:type="pct"/>
            <w:shd w:val="clear" w:color="auto" w:fill="auto"/>
            <w:vAlign w:val="center"/>
          </w:tcPr>
          <w:p w14:paraId="64555752">
            <w:pPr>
              <w:ind w:firstLine="480"/>
              <w:rPr>
                <w:rFonts w:ascii="仿宋" w:hAnsi="仿宋" w:cs="仿宋"/>
                <w:kern w:val="0"/>
                <w:sz w:val="24"/>
                <w:szCs w:val="24"/>
              </w:rPr>
            </w:pPr>
            <w:r>
              <w:rPr>
                <w:rFonts w:hint="eastAsia" w:ascii="仿宋" w:hAnsi="仿宋" w:cs="仿宋"/>
                <w:kern w:val="0"/>
                <w:sz w:val="24"/>
                <w:szCs w:val="24"/>
              </w:rPr>
              <w:t>1.04</w:t>
            </w:r>
          </w:p>
        </w:tc>
        <w:tc>
          <w:tcPr>
            <w:tcW w:w="620" w:type="pct"/>
            <w:shd w:val="clear" w:color="auto" w:fill="auto"/>
            <w:vAlign w:val="center"/>
          </w:tcPr>
          <w:p w14:paraId="761C2C30">
            <w:pPr>
              <w:ind w:firstLine="0" w:firstLineChars="0"/>
              <w:rPr>
                <w:rFonts w:ascii="仿宋" w:hAnsi="仿宋" w:cs="仿宋"/>
                <w:kern w:val="0"/>
                <w:sz w:val="24"/>
                <w:szCs w:val="24"/>
              </w:rPr>
            </w:pPr>
            <w:r>
              <w:rPr>
                <w:rFonts w:hint="eastAsia" w:ascii="仿宋" w:hAnsi="仿宋" w:cs="仿宋"/>
                <w:kern w:val="0"/>
                <w:sz w:val="24"/>
                <w:szCs w:val="24"/>
              </w:rPr>
              <w:t>约束性</w:t>
            </w:r>
          </w:p>
        </w:tc>
      </w:tr>
      <w:tr w14:paraId="42F3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420D569B">
            <w:pPr>
              <w:ind w:firstLine="480"/>
              <w:rPr>
                <w:rFonts w:ascii="仿宋" w:hAnsi="仿宋" w:cs="仿宋"/>
                <w:kern w:val="0"/>
                <w:sz w:val="24"/>
                <w:szCs w:val="24"/>
              </w:rPr>
            </w:pPr>
            <w:r>
              <w:rPr>
                <w:rFonts w:hint="eastAsia" w:ascii="仿宋" w:hAnsi="仿宋" w:cs="仿宋"/>
                <w:kern w:val="0"/>
                <w:sz w:val="24"/>
                <w:szCs w:val="24"/>
              </w:rPr>
              <w:t>农村村委会依法自治率（％）</w:t>
            </w:r>
          </w:p>
        </w:tc>
        <w:tc>
          <w:tcPr>
            <w:tcW w:w="901" w:type="pct"/>
            <w:shd w:val="clear" w:color="auto" w:fill="auto"/>
            <w:vAlign w:val="center"/>
          </w:tcPr>
          <w:p w14:paraId="290AA4AA">
            <w:pPr>
              <w:ind w:firstLine="480"/>
              <w:rPr>
                <w:rFonts w:ascii="仿宋" w:hAnsi="仿宋" w:cs="仿宋"/>
                <w:kern w:val="0"/>
                <w:sz w:val="24"/>
                <w:szCs w:val="24"/>
              </w:rPr>
            </w:pPr>
            <w:r>
              <w:rPr>
                <w:rFonts w:hint="eastAsia" w:ascii="仿宋" w:hAnsi="仿宋" w:cs="仿宋"/>
                <w:kern w:val="0"/>
                <w:sz w:val="24"/>
                <w:szCs w:val="24"/>
              </w:rPr>
              <w:t>90.1</w:t>
            </w:r>
          </w:p>
        </w:tc>
        <w:tc>
          <w:tcPr>
            <w:tcW w:w="830" w:type="pct"/>
            <w:shd w:val="clear" w:color="auto" w:fill="auto"/>
            <w:vAlign w:val="center"/>
          </w:tcPr>
          <w:p w14:paraId="389D8E4A">
            <w:pPr>
              <w:ind w:firstLine="480"/>
              <w:rPr>
                <w:rFonts w:ascii="仿宋" w:hAnsi="仿宋" w:cs="仿宋"/>
                <w:kern w:val="0"/>
                <w:sz w:val="24"/>
                <w:szCs w:val="24"/>
              </w:rPr>
            </w:pPr>
            <w:r>
              <w:rPr>
                <w:rFonts w:hint="eastAsia" w:ascii="仿宋" w:hAnsi="仿宋" w:cs="仿宋"/>
                <w:kern w:val="0"/>
                <w:sz w:val="24"/>
                <w:szCs w:val="24"/>
              </w:rPr>
              <w:t>95</w:t>
            </w:r>
          </w:p>
        </w:tc>
        <w:tc>
          <w:tcPr>
            <w:tcW w:w="901" w:type="pct"/>
            <w:shd w:val="clear" w:color="auto" w:fill="auto"/>
            <w:vAlign w:val="center"/>
          </w:tcPr>
          <w:p w14:paraId="642DFB92">
            <w:pPr>
              <w:ind w:firstLine="480"/>
              <w:rPr>
                <w:rFonts w:ascii="仿宋" w:hAnsi="仿宋" w:cs="仿宋"/>
                <w:kern w:val="0"/>
                <w:sz w:val="24"/>
                <w:szCs w:val="24"/>
              </w:rPr>
            </w:pPr>
            <w:r>
              <w:rPr>
                <w:rFonts w:hint="eastAsia" w:ascii="仿宋" w:hAnsi="仿宋" w:cs="仿宋"/>
                <w:kern w:val="0"/>
                <w:sz w:val="24"/>
                <w:szCs w:val="24"/>
              </w:rPr>
              <w:t>1.06</w:t>
            </w:r>
          </w:p>
        </w:tc>
        <w:tc>
          <w:tcPr>
            <w:tcW w:w="620" w:type="pct"/>
            <w:shd w:val="clear" w:color="auto" w:fill="auto"/>
            <w:vAlign w:val="center"/>
          </w:tcPr>
          <w:p w14:paraId="7731F87E">
            <w:pPr>
              <w:ind w:firstLine="0" w:firstLineChars="0"/>
              <w:rPr>
                <w:rFonts w:ascii="仿宋" w:hAnsi="仿宋" w:cs="仿宋"/>
                <w:kern w:val="0"/>
                <w:sz w:val="24"/>
                <w:szCs w:val="24"/>
              </w:rPr>
            </w:pPr>
            <w:r>
              <w:rPr>
                <w:rFonts w:hint="eastAsia" w:ascii="仿宋" w:hAnsi="仿宋" w:cs="仿宋"/>
                <w:kern w:val="0"/>
                <w:sz w:val="24"/>
                <w:szCs w:val="24"/>
              </w:rPr>
              <w:t>约束性</w:t>
            </w:r>
          </w:p>
        </w:tc>
      </w:tr>
      <w:tr w14:paraId="6558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3A5FA315">
            <w:pPr>
              <w:ind w:firstLine="480"/>
              <w:rPr>
                <w:rFonts w:ascii="仿宋" w:hAnsi="仿宋" w:cs="仿宋"/>
                <w:kern w:val="0"/>
                <w:sz w:val="24"/>
                <w:szCs w:val="24"/>
              </w:rPr>
            </w:pPr>
            <w:r>
              <w:rPr>
                <w:rFonts w:hint="eastAsia" w:ascii="仿宋" w:hAnsi="仿宋" w:cs="仿宋"/>
                <w:kern w:val="0"/>
                <w:sz w:val="24"/>
                <w:szCs w:val="24"/>
              </w:rPr>
              <w:t>救助管理站和未成年人社会保护中心（所）</w:t>
            </w:r>
          </w:p>
        </w:tc>
        <w:tc>
          <w:tcPr>
            <w:tcW w:w="901" w:type="pct"/>
            <w:shd w:val="clear" w:color="auto" w:fill="auto"/>
            <w:vAlign w:val="center"/>
          </w:tcPr>
          <w:p w14:paraId="669B0738">
            <w:pPr>
              <w:ind w:firstLine="480"/>
              <w:rPr>
                <w:rFonts w:ascii="仿宋" w:hAnsi="仿宋" w:cs="仿宋"/>
                <w:kern w:val="0"/>
                <w:sz w:val="24"/>
                <w:szCs w:val="24"/>
              </w:rPr>
            </w:pPr>
            <w:r>
              <w:rPr>
                <w:rFonts w:hint="eastAsia" w:ascii="仿宋" w:hAnsi="仿宋" w:cs="仿宋"/>
                <w:kern w:val="0"/>
                <w:sz w:val="24"/>
                <w:szCs w:val="24"/>
              </w:rPr>
              <w:t>1</w:t>
            </w:r>
          </w:p>
        </w:tc>
        <w:tc>
          <w:tcPr>
            <w:tcW w:w="830" w:type="pct"/>
            <w:shd w:val="clear" w:color="auto" w:fill="auto"/>
            <w:vAlign w:val="center"/>
          </w:tcPr>
          <w:p w14:paraId="0DBF89AB">
            <w:pPr>
              <w:ind w:firstLine="480"/>
              <w:rPr>
                <w:rFonts w:ascii="仿宋" w:hAnsi="仿宋" w:cs="仿宋"/>
                <w:kern w:val="0"/>
                <w:sz w:val="24"/>
                <w:szCs w:val="24"/>
              </w:rPr>
            </w:pPr>
            <w:r>
              <w:rPr>
                <w:rFonts w:hint="eastAsia" w:ascii="仿宋" w:hAnsi="仿宋" w:cs="仿宋"/>
                <w:kern w:val="0"/>
                <w:sz w:val="24"/>
                <w:szCs w:val="24"/>
              </w:rPr>
              <w:t>2</w:t>
            </w:r>
          </w:p>
        </w:tc>
        <w:tc>
          <w:tcPr>
            <w:tcW w:w="901" w:type="pct"/>
            <w:shd w:val="clear" w:color="auto" w:fill="auto"/>
            <w:vAlign w:val="center"/>
          </w:tcPr>
          <w:p w14:paraId="7FF7EBCA">
            <w:pPr>
              <w:ind w:firstLine="480"/>
              <w:rPr>
                <w:rFonts w:ascii="仿宋" w:hAnsi="仿宋" w:cs="仿宋"/>
                <w:kern w:val="0"/>
                <w:sz w:val="24"/>
                <w:szCs w:val="24"/>
              </w:rPr>
            </w:pPr>
            <w:r>
              <w:rPr>
                <w:rFonts w:hint="eastAsia" w:ascii="仿宋" w:hAnsi="仿宋" w:cs="仿宋"/>
                <w:kern w:val="0"/>
                <w:sz w:val="24"/>
                <w:szCs w:val="24"/>
              </w:rPr>
              <w:t>20%</w:t>
            </w:r>
          </w:p>
        </w:tc>
        <w:tc>
          <w:tcPr>
            <w:tcW w:w="620" w:type="pct"/>
            <w:shd w:val="clear" w:color="auto" w:fill="auto"/>
            <w:vAlign w:val="center"/>
          </w:tcPr>
          <w:p w14:paraId="641D50B9">
            <w:pPr>
              <w:ind w:firstLine="0" w:firstLineChars="0"/>
              <w:rPr>
                <w:rFonts w:ascii="仿宋" w:hAnsi="仿宋" w:cs="仿宋"/>
                <w:kern w:val="0"/>
                <w:sz w:val="24"/>
                <w:szCs w:val="24"/>
              </w:rPr>
            </w:pPr>
            <w:r>
              <w:rPr>
                <w:rFonts w:hint="eastAsia" w:ascii="仿宋" w:hAnsi="仿宋" w:cs="仿宋"/>
                <w:kern w:val="0"/>
                <w:sz w:val="24"/>
                <w:szCs w:val="24"/>
              </w:rPr>
              <w:t>约束性</w:t>
            </w:r>
          </w:p>
        </w:tc>
      </w:tr>
      <w:tr w14:paraId="6F6B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5E6D83CC">
            <w:pPr>
              <w:ind w:firstLine="480"/>
              <w:rPr>
                <w:rFonts w:ascii="仿宋" w:hAnsi="仿宋" w:cs="仿宋"/>
                <w:kern w:val="0"/>
                <w:sz w:val="24"/>
                <w:szCs w:val="24"/>
              </w:rPr>
            </w:pPr>
            <w:r>
              <w:rPr>
                <w:rFonts w:hint="eastAsia" w:ascii="仿宋" w:hAnsi="仿宋" w:cs="仿宋"/>
                <w:kern w:val="0"/>
                <w:sz w:val="24"/>
                <w:szCs w:val="24"/>
              </w:rPr>
              <w:t>老年福利机构床位数（张）</w:t>
            </w:r>
          </w:p>
        </w:tc>
        <w:tc>
          <w:tcPr>
            <w:tcW w:w="901" w:type="pct"/>
            <w:shd w:val="clear" w:color="auto" w:fill="auto"/>
            <w:vAlign w:val="center"/>
          </w:tcPr>
          <w:p w14:paraId="14E89C61">
            <w:pPr>
              <w:ind w:firstLine="480"/>
              <w:rPr>
                <w:rFonts w:ascii="仿宋" w:hAnsi="仿宋" w:cs="仿宋"/>
                <w:kern w:val="0"/>
                <w:sz w:val="24"/>
                <w:szCs w:val="24"/>
              </w:rPr>
            </w:pPr>
            <w:r>
              <w:rPr>
                <w:rFonts w:hint="eastAsia" w:ascii="仿宋" w:hAnsi="仿宋" w:cs="仿宋"/>
                <w:kern w:val="0"/>
                <w:sz w:val="24"/>
                <w:szCs w:val="24"/>
              </w:rPr>
              <w:t>200</w:t>
            </w:r>
          </w:p>
        </w:tc>
        <w:tc>
          <w:tcPr>
            <w:tcW w:w="830" w:type="pct"/>
            <w:shd w:val="clear" w:color="auto" w:fill="auto"/>
            <w:vAlign w:val="center"/>
          </w:tcPr>
          <w:p w14:paraId="5C954D77">
            <w:pPr>
              <w:ind w:firstLine="480"/>
              <w:rPr>
                <w:rFonts w:ascii="仿宋" w:hAnsi="仿宋" w:cs="仿宋"/>
                <w:kern w:val="0"/>
                <w:sz w:val="24"/>
                <w:szCs w:val="24"/>
              </w:rPr>
            </w:pPr>
            <w:r>
              <w:rPr>
                <w:rFonts w:hint="eastAsia" w:ascii="仿宋" w:hAnsi="仿宋" w:cs="仿宋"/>
                <w:kern w:val="0"/>
                <w:sz w:val="24"/>
                <w:szCs w:val="24"/>
              </w:rPr>
              <w:t>700</w:t>
            </w:r>
          </w:p>
        </w:tc>
        <w:tc>
          <w:tcPr>
            <w:tcW w:w="901" w:type="pct"/>
            <w:shd w:val="clear" w:color="auto" w:fill="auto"/>
            <w:vAlign w:val="center"/>
          </w:tcPr>
          <w:p w14:paraId="08F5919A">
            <w:pPr>
              <w:ind w:firstLine="480"/>
              <w:rPr>
                <w:rFonts w:ascii="仿宋" w:hAnsi="仿宋" w:cs="仿宋"/>
                <w:kern w:val="0"/>
                <w:sz w:val="24"/>
                <w:szCs w:val="24"/>
              </w:rPr>
            </w:pPr>
            <w:r>
              <w:rPr>
                <w:rFonts w:hint="eastAsia" w:ascii="仿宋" w:hAnsi="仿宋" w:cs="仿宋"/>
                <w:kern w:val="0"/>
                <w:sz w:val="24"/>
                <w:szCs w:val="24"/>
              </w:rPr>
              <w:t>50%</w:t>
            </w:r>
          </w:p>
        </w:tc>
        <w:tc>
          <w:tcPr>
            <w:tcW w:w="620" w:type="pct"/>
            <w:shd w:val="clear" w:color="auto" w:fill="auto"/>
            <w:vAlign w:val="center"/>
          </w:tcPr>
          <w:p w14:paraId="6538769B">
            <w:pPr>
              <w:ind w:firstLine="0" w:firstLineChars="0"/>
              <w:rPr>
                <w:rFonts w:ascii="仿宋" w:hAnsi="仿宋" w:cs="仿宋"/>
                <w:kern w:val="0"/>
                <w:sz w:val="24"/>
                <w:szCs w:val="24"/>
              </w:rPr>
            </w:pPr>
            <w:r>
              <w:rPr>
                <w:rFonts w:hint="eastAsia" w:ascii="仿宋" w:hAnsi="仿宋" w:cs="仿宋"/>
                <w:kern w:val="0"/>
                <w:sz w:val="24"/>
                <w:szCs w:val="24"/>
              </w:rPr>
              <w:t>约束性</w:t>
            </w:r>
          </w:p>
        </w:tc>
      </w:tr>
      <w:tr w14:paraId="6C3D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166695C2">
            <w:pPr>
              <w:ind w:firstLine="480"/>
              <w:rPr>
                <w:rFonts w:ascii="仿宋" w:hAnsi="仿宋" w:cs="仿宋"/>
                <w:kern w:val="0"/>
                <w:sz w:val="24"/>
                <w:szCs w:val="24"/>
              </w:rPr>
            </w:pPr>
            <w:r>
              <w:rPr>
                <w:rFonts w:hint="eastAsia" w:ascii="仿宋" w:hAnsi="仿宋" w:cs="仿宋"/>
                <w:kern w:val="0"/>
                <w:sz w:val="24"/>
                <w:szCs w:val="24"/>
              </w:rPr>
              <w:t>每千名老人拥有养老床位占有率（‰）</w:t>
            </w:r>
          </w:p>
        </w:tc>
        <w:tc>
          <w:tcPr>
            <w:tcW w:w="901" w:type="pct"/>
            <w:shd w:val="clear" w:color="auto" w:fill="auto"/>
            <w:vAlign w:val="center"/>
          </w:tcPr>
          <w:p w14:paraId="0BB3C52B">
            <w:pPr>
              <w:ind w:firstLine="480"/>
              <w:rPr>
                <w:rFonts w:ascii="仿宋" w:hAnsi="仿宋" w:cs="仿宋"/>
                <w:kern w:val="0"/>
                <w:sz w:val="24"/>
                <w:szCs w:val="24"/>
              </w:rPr>
            </w:pPr>
            <w:r>
              <w:rPr>
                <w:rFonts w:hint="eastAsia" w:ascii="仿宋" w:hAnsi="仿宋" w:cs="仿宋"/>
                <w:kern w:val="0"/>
                <w:sz w:val="24"/>
                <w:szCs w:val="24"/>
              </w:rPr>
              <w:t>20</w:t>
            </w:r>
          </w:p>
        </w:tc>
        <w:tc>
          <w:tcPr>
            <w:tcW w:w="830" w:type="pct"/>
            <w:shd w:val="clear" w:color="auto" w:fill="auto"/>
            <w:vAlign w:val="center"/>
          </w:tcPr>
          <w:p w14:paraId="3F090B53">
            <w:pPr>
              <w:ind w:firstLine="480"/>
              <w:rPr>
                <w:rFonts w:ascii="仿宋" w:hAnsi="仿宋" w:cs="仿宋"/>
                <w:kern w:val="0"/>
                <w:sz w:val="24"/>
                <w:szCs w:val="24"/>
              </w:rPr>
            </w:pPr>
            <w:r>
              <w:rPr>
                <w:rFonts w:hint="eastAsia" w:ascii="仿宋" w:hAnsi="仿宋" w:cs="仿宋"/>
                <w:kern w:val="0"/>
                <w:sz w:val="24"/>
                <w:szCs w:val="24"/>
              </w:rPr>
              <w:t>35</w:t>
            </w:r>
          </w:p>
        </w:tc>
        <w:tc>
          <w:tcPr>
            <w:tcW w:w="901" w:type="pct"/>
            <w:shd w:val="clear" w:color="auto" w:fill="auto"/>
            <w:vAlign w:val="center"/>
          </w:tcPr>
          <w:p w14:paraId="258B8CA5">
            <w:pPr>
              <w:ind w:firstLine="480"/>
              <w:rPr>
                <w:rFonts w:ascii="仿宋" w:hAnsi="仿宋" w:cs="仿宋"/>
                <w:kern w:val="0"/>
                <w:sz w:val="24"/>
                <w:szCs w:val="24"/>
              </w:rPr>
            </w:pPr>
            <w:r>
              <w:rPr>
                <w:rFonts w:hint="eastAsia" w:ascii="仿宋" w:hAnsi="仿宋" w:cs="仿宋"/>
                <w:kern w:val="0"/>
                <w:sz w:val="24"/>
                <w:szCs w:val="24"/>
              </w:rPr>
              <w:t>11.84%</w:t>
            </w:r>
          </w:p>
        </w:tc>
        <w:tc>
          <w:tcPr>
            <w:tcW w:w="620" w:type="pct"/>
            <w:shd w:val="clear" w:color="auto" w:fill="auto"/>
            <w:vAlign w:val="center"/>
          </w:tcPr>
          <w:p w14:paraId="51A50F8C">
            <w:pPr>
              <w:ind w:firstLine="0" w:firstLineChars="0"/>
              <w:rPr>
                <w:rFonts w:ascii="仿宋" w:hAnsi="仿宋" w:cs="仿宋"/>
                <w:kern w:val="0"/>
                <w:sz w:val="24"/>
                <w:szCs w:val="24"/>
              </w:rPr>
            </w:pPr>
            <w:r>
              <w:rPr>
                <w:rFonts w:hint="eastAsia" w:ascii="仿宋" w:hAnsi="仿宋" w:cs="仿宋"/>
                <w:kern w:val="0"/>
                <w:sz w:val="24"/>
                <w:szCs w:val="24"/>
              </w:rPr>
              <w:t>约束性</w:t>
            </w:r>
          </w:p>
        </w:tc>
      </w:tr>
      <w:tr w14:paraId="0805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48CE2E6E">
            <w:pPr>
              <w:ind w:firstLine="480"/>
              <w:rPr>
                <w:rFonts w:ascii="仿宋" w:hAnsi="仿宋" w:cs="仿宋"/>
                <w:kern w:val="0"/>
                <w:sz w:val="24"/>
                <w:szCs w:val="24"/>
              </w:rPr>
            </w:pPr>
            <w:r>
              <w:rPr>
                <w:rFonts w:hint="eastAsia" w:ascii="仿宋" w:hAnsi="仿宋" w:cs="仿宋"/>
                <w:kern w:val="0"/>
                <w:sz w:val="24"/>
                <w:szCs w:val="24"/>
              </w:rPr>
              <w:t>福利彩票五年累计发行量（亿元）</w:t>
            </w:r>
          </w:p>
        </w:tc>
        <w:tc>
          <w:tcPr>
            <w:tcW w:w="901" w:type="pct"/>
            <w:shd w:val="clear" w:color="auto" w:fill="auto"/>
            <w:vAlign w:val="center"/>
          </w:tcPr>
          <w:p w14:paraId="17A47704">
            <w:pPr>
              <w:ind w:firstLine="480"/>
              <w:rPr>
                <w:rFonts w:ascii="仿宋" w:hAnsi="仿宋" w:cs="仿宋"/>
                <w:kern w:val="0"/>
                <w:sz w:val="24"/>
                <w:szCs w:val="24"/>
              </w:rPr>
            </w:pPr>
            <w:r>
              <w:rPr>
                <w:rFonts w:hint="eastAsia" w:ascii="仿宋" w:hAnsi="仿宋" w:cs="仿宋"/>
                <w:kern w:val="0"/>
                <w:sz w:val="24"/>
                <w:szCs w:val="24"/>
              </w:rPr>
              <w:t>0.8</w:t>
            </w:r>
          </w:p>
        </w:tc>
        <w:tc>
          <w:tcPr>
            <w:tcW w:w="830" w:type="pct"/>
            <w:shd w:val="clear" w:color="auto" w:fill="auto"/>
            <w:vAlign w:val="center"/>
          </w:tcPr>
          <w:p w14:paraId="1447C446">
            <w:pPr>
              <w:ind w:firstLine="480"/>
              <w:rPr>
                <w:rFonts w:ascii="仿宋" w:hAnsi="仿宋" w:cs="仿宋"/>
                <w:kern w:val="0"/>
                <w:sz w:val="24"/>
                <w:szCs w:val="24"/>
              </w:rPr>
            </w:pPr>
            <w:r>
              <w:rPr>
                <w:rFonts w:hint="eastAsia" w:ascii="仿宋" w:hAnsi="仿宋" w:cs="仿宋"/>
                <w:kern w:val="0"/>
                <w:sz w:val="24"/>
                <w:szCs w:val="24"/>
              </w:rPr>
              <w:t>1.0</w:t>
            </w:r>
          </w:p>
        </w:tc>
        <w:tc>
          <w:tcPr>
            <w:tcW w:w="901" w:type="pct"/>
            <w:shd w:val="clear" w:color="auto" w:fill="auto"/>
            <w:vAlign w:val="center"/>
          </w:tcPr>
          <w:p w14:paraId="5BFB49DD">
            <w:pPr>
              <w:ind w:firstLine="480"/>
              <w:rPr>
                <w:rFonts w:ascii="仿宋" w:hAnsi="仿宋" w:cs="仿宋"/>
                <w:kern w:val="0"/>
                <w:sz w:val="24"/>
                <w:szCs w:val="24"/>
              </w:rPr>
            </w:pPr>
            <w:r>
              <w:rPr>
                <w:rFonts w:hint="eastAsia" w:ascii="仿宋" w:hAnsi="仿宋" w:cs="仿宋"/>
                <w:kern w:val="0"/>
                <w:sz w:val="24"/>
                <w:szCs w:val="24"/>
              </w:rPr>
              <w:t>0.5%</w:t>
            </w:r>
          </w:p>
        </w:tc>
        <w:tc>
          <w:tcPr>
            <w:tcW w:w="620" w:type="pct"/>
            <w:shd w:val="clear" w:color="auto" w:fill="auto"/>
            <w:vAlign w:val="center"/>
          </w:tcPr>
          <w:p w14:paraId="673B03DA">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0EF4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4AC56965">
            <w:pPr>
              <w:ind w:firstLine="480"/>
              <w:rPr>
                <w:rFonts w:ascii="仿宋" w:hAnsi="仿宋" w:cs="仿宋"/>
                <w:kern w:val="0"/>
                <w:sz w:val="24"/>
                <w:szCs w:val="24"/>
              </w:rPr>
            </w:pPr>
            <w:r>
              <w:rPr>
                <w:rFonts w:hint="eastAsia" w:ascii="仿宋" w:hAnsi="仿宋" w:cs="仿宋"/>
                <w:kern w:val="0"/>
                <w:sz w:val="24"/>
                <w:szCs w:val="24"/>
              </w:rPr>
              <w:t>社会组织培育发展(个)</w:t>
            </w:r>
          </w:p>
        </w:tc>
        <w:tc>
          <w:tcPr>
            <w:tcW w:w="901" w:type="pct"/>
            <w:shd w:val="clear" w:color="auto" w:fill="auto"/>
            <w:vAlign w:val="center"/>
          </w:tcPr>
          <w:p w14:paraId="15FD00BC">
            <w:pPr>
              <w:ind w:firstLine="480"/>
              <w:rPr>
                <w:rFonts w:ascii="仿宋" w:hAnsi="仿宋" w:cs="仿宋"/>
                <w:kern w:val="0"/>
                <w:sz w:val="24"/>
                <w:szCs w:val="24"/>
              </w:rPr>
            </w:pPr>
            <w:r>
              <w:rPr>
                <w:rFonts w:hint="eastAsia" w:ascii="仿宋" w:hAnsi="仿宋" w:cs="仿宋"/>
                <w:kern w:val="0"/>
                <w:sz w:val="24"/>
                <w:szCs w:val="24"/>
              </w:rPr>
              <w:t>89</w:t>
            </w:r>
          </w:p>
        </w:tc>
        <w:tc>
          <w:tcPr>
            <w:tcW w:w="830" w:type="pct"/>
            <w:shd w:val="clear" w:color="auto" w:fill="auto"/>
            <w:vAlign w:val="center"/>
          </w:tcPr>
          <w:p w14:paraId="226AECBA">
            <w:pPr>
              <w:ind w:firstLine="480"/>
              <w:rPr>
                <w:rFonts w:ascii="仿宋" w:hAnsi="仿宋" w:cs="仿宋"/>
                <w:kern w:val="0"/>
                <w:sz w:val="24"/>
                <w:szCs w:val="24"/>
              </w:rPr>
            </w:pPr>
            <w:r>
              <w:rPr>
                <w:rFonts w:hint="eastAsia" w:ascii="仿宋" w:hAnsi="仿宋" w:cs="仿宋"/>
                <w:kern w:val="0"/>
                <w:sz w:val="24"/>
                <w:szCs w:val="24"/>
              </w:rPr>
              <w:t>220</w:t>
            </w:r>
          </w:p>
        </w:tc>
        <w:tc>
          <w:tcPr>
            <w:tcW w:w="901" w:type="pct"/>
            <w:shd w:val="clear" w:color="auto" w:fill="auto"/>
            <w:vAlign w:val="center"/>
          </w:tcPr>
          <w:p w14:paraId="61A353F8">
            <w:pPr>
              <w:ind w:firstLine="480"/>
              <w:rPr>
                <w:rFonts w:ascii="仿宋" w:hAnsi="仿宋" w:cs="仿宋"/>
                <w:kern w:val="0"/>
                <w:sz w:val="24"/>
                <w:szCs w:val="24"/>
              </w:rPr>
            </w:pPr>
            <w:r>
              <w:rPr>
                <w:rFonts w:hint="eastAsia" w:ascii="仿宋" w:hAnsi="仿宋" w:cs="仿宋"/>
                <w:kern w:val="0"/>
                <w:sz w:val="24"/>
                <w:szCs w:val="24"/>
              </w:rPr>
              <w:t>29.43%</w:t>
            </w:r>
          </w:p>
        </w:tc>
        <w:tc>
          <w:tcPr>
            <w:tcW w:w="620" w:type="pct"/>
            <w:shd w:val="clear" w:color="auto" w:fill="auto"/>
            <w:vAlign w:val="center"/>
          </w:tcPr>
          <w:p w14:paraId="73842CDD">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2B89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274484FC">
            <w:pPr>
              <w:ind w:firstLine="480"/>
              <w:rPr>
                <w:rFonts w:ascii="仿宋" w:hAnsi="仿宋" w:cs="仿宋"/>
                <w:kern w:val="0"/>
                <w:sz w:val="24"/>
                <w:szCs w:val="24"/>
              </w:rPr>
            </w:pPr>
            <w:r>
              <w:rPr>
                <w:rFonts w:hint="eastAsia" w:ascii="仿宋" w:hAnsi="仿宋" w:cs="仿宋"/>
                <w:kern w:val="0"/>
                <w:sz w:val="24"/>
                <w:szCs w:val="24"/>
              </w:rPr>
              <w:t>社区（村）居家养老服务站(中心)数(个)</w:t>
            </w:r>
          </w:p>
        </w:tc>
        <w:tc>
          <w:tcPr>
            <w:tcW w:w="901" w:type="pct"/>
            <w:shd w:val="clear" w:color="auto" w:fill="auto"/>
            <w:vAlign w:val="center"/>
          </w:tcPr>
          <w:p w14:paraId="1E0A28B6">
            <w:pPr>
              <w:ind w:firstLine="480"/>
              <w:rPr>
                <w:rFonts w:ascii="仿宋" w:hAnsi="仿宋" w:cs="仿宋"/>
                <w:kern w:val="0"/>
                <w:sz w:val="24"/>
                <w:szCs w:val="24"/>
              </w:rPr>
            </w:pPr>
            <w:r>
              <w:rPr>
                <w:rFonts w:hint="eastAsia" w:ascii="仿宋" w:hAnsi="仿宋" w:cs="仿宋"/>
                <w:kern w:val="0"/>
                <w:sz w:val="24"/>
                <w:szCs w:val="24"/>
              </w:rPr>
              <w:t>11</w:t>
            </w:r>
          </w:p>
        </w:tc>
        <w:tc>
          <w:tcPr>
            <w:tcW w:w="830" w:type="pct"/>
            <w:shd w:val="clear" w:color="auto" w:fill="auto"/>
            <w:vAlign w:val="center"/>
          </w:tcPr>
          <w:p w14:paraId="5F6018CA">
            <w:pPr>
              <w:ind w:firstLine="480"/>
              <w:rPr>
                <w:rFonts w:ascii="仿宋" w:hAnsi="仿宋" w:cs="仿宋"/>
                <w:kern w:val="0"/>
                <w:sz w:val="24"/>
                <w:szCs w:val="24"/>
              </w:rPr>
            </w:pPr>
            <w:r>
              <w:rPr>
                <w:rFonts w:hint="eastAsia" w:ascii="仿宋" w:hAnsi="仿宋" w:cs="仿宋"/>
                <w:kern w:val="0"/>
                <w:sz w:val="24"/>
                <w:szCs w:val="24"/>
              </w:rPr>
              <w:t>20</w:t>
            </w:r>
          </w:p>
        </w:tc>
        <w:tc>
          <w:tcPr>
            <w:tcW w:w="901" w:type="pct"/>
            <w:shd w:val="clear" w:color="auto" w:fill="auto"/>
            <w:vAlign w:val="center"/>
          </w:tcPr>
          <w:p w14:paraId="21E5A1F0">
            <w:pPr>
              <w:ind w:firstLine="480"/>
              <w:rPr>
                <w:rFonts w:ascii="仿宋" w:hAnsi="仿宋" w:cs="仿宋"/>
                <w:kern w:val="0"/>
                <w:sz w:val="24"/>
                <w:szCs w:val="24"/>
              </w:rPr>
            </w:pPr>
            <w:r>
              <w:rPr>
                <w:rFonts w:hint="eastAsia" w:ascii="仿宋" w:hAnsi="仿宋" w:cs="仿宋"/>
                <w:kern w:val="0"/>
                <w:sz w:val="24"/>
                <w:szCs w:val="24"/>
              </w:rPr>
              <w:t>16.36%</w:t>
            </w:r>
          </w:p>
        </w:tc>
        <w:tc>
          <w:tcPr>
            <w:tcW w:w="620" w:type="pct"/>
            <w:shd w:val="clear" w:color="auto" w:fill="auto"/>
            <w:vAlign w:val="center"/>
          </w:tcPr>
          <w:p w14:paraId="5825624F">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0258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18683D44">
            <w:pPr>
              <w:ind w:firstLine="480"/>
              <w:rPr>
                <w:rFonts w:ascii="仿宋" w:hAnsi="仿宋" w:cs="仿宋"/>
                <w:kern w:val="0"/>
                <w:sz w:val="24"/>
                <w:szCs w:val="24"/>
              </w:rPr>
            </w:pPr>
            <w:r>
              <w:rPr>
                <w:rFonts w:hint="eastAsia" w:ascii="仿宋" w:hAnsi="仿宋" w:cs="仿宋"/>
                <w:kern w:val="0"/>
                <w:sz w:val="24"/>
                <w:szCs w:val="24"/>
              </w:rPr>
              <w:t>社区服务中心数(个)</w:t>
            </w:r>
          </w:p>
        </w:tc>
        <w:tc>
          <w:tcPr>
            <w:tcW w:w="901" w:type="pct"/>
            <w:shd w:val="clear" w:color="auto" w:fill="auto"/>
            <w:vAlign w:val="center"/>
          </w:tcPr>
          <w:p w14:paraId="36A61D4C">
            <w:pPr>
              <w:ind w:firstLine="480"/>
              <w:rPr>
                <w:rFonts w:ascii="仿宋" w:hAnsi="仿宋" w:cs="仿宋"/>
                <w:kern w:val="0"/>
                <w:sz w:val="24"/>
                <w:szCs w:val="24"/>
              </w:rPr>
            </w:pPr>
            <w:r>
              <w:rPr>
                <w:rFonts w:hint="eastAsia" w:ascii="仿宋" w:hAnsi="仿宋" w:cs="仿宋"/>
                <w:kern w:val="0"/>
                <w:sz w:val="24"/>
                <w:szCs w:val="24"/>
              </w:rPr>
              <w:t>15</w:t>
            </w:r>
          </w:p>
        </w:tc>
        <w:tc>
          <w:tcPr>
            <w:tcW w:w="830" w:type="pct"/>
            <w:shd w:val="clear" w:color="auto" w:fill="auto"/>
            <w:vAlign w:val="center"/>
          </w:tcPr>
          <w:p w14:paraId="2DFC58D7">
            <w:pPr>
              <w:ind w:firstLine="480"/>
              <w:rPr>
                <w:rFonts w:ascii="仿宋" w:hAnsi="仿宋" w:cs="仿宋"/>
                <w:kern w:val="0"/>
                <w:sz w:val="24"/>
                <w:szCs w:val="24"/>
              </w:rPr>
            </w:pPr>
            <w:r>
              <w:rPr>
                <w:rFonts w:hint="eastAsia" w:ascii="仿宋" w:hAnsi="仿宋" w:cs="仿宋"/>
                <w:kern w:val="0"/>
                <w:sz w:val="24"/>
                <w:szCs w:val="24"/>
              </w:rPr>
              <w:t>17</w:t>
            </w:r>
          </w:p>
        </w:tc>
        <w:tc>
          <w:tcPr>
            <w:tcW w:w="901" w:type="pct"/>
            <w:shd w:val="clear" w:color="auto" w:fill="auto"/>
            <w:vAlign w:val="center"/>
          </w:tcPr>
          <w:p w14:paraId="563B8990">
            <w:pPr>
              <w:ind w:firstLine="480"/>
              <w:rPr>
                <w:rFonts w:ascii="仿宋" w:hAnsi="仿宋" w:cs="仿宋"/>
                <w:kern w:val="0"/>
                <w:sz w:val="24"/>
                <w:szCs w:val="24"/>
              </w:rPr>
            </w:pPr>
            <w:r>
              <w:rPr>
                <w:rFonts w:hint="eastAsia" w:ascii="仿宋" w:hAnsi="仿宋" w:cs="仿宋"/>
                <w:kern w:val="0"/>
                <w:sz w:val="24"/>
                <w:szCs w:val="24"/>
              </w:rPr>
              <w:t>2.66%</w:t>
            </w:r>
          </w:p>
        </w:tc>
        <w:tc>
          <w:tcPr>
            <w:tcW w:w="620" w:type="pct"/>
            <w:shd w:val="clear" w:color="auto" w:fill="auto"/>
            <w:vAlign w:val="center"/>
          </w:tcPr>
          <w:p w14:paraId="42212A4C">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7FEC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013F070E">
            <w:pPr>
              <w:ind w:firstLine="480"/>
              <w:rPr>
                <w:rFonts w:ascii="仿宋" w:hAnsi="仿宋" w:cs="仿宋"/>
                <w:kern w:val="0"/>
                <w:sz w:val="24"/>
                <w:szCs w:val="24"/>
              </w:rPr>
            </w:pPr>
            <w:r>
              <w:rPr>
                <w:rFonts w:hint="eastAsia" w:ascii="仿宋" w:hAnsi="仿宋" w:cs="仿宋"/>
                <w:kern w:val="0"/>
                <w:sz w:val="24"/>
                <w:szCs w:val="24"/>
              </w:rPr>
              <w:t>社会工作者人才队伍数(人)</w:t>
            </w:r>
          </w:p>
        </w:tc>
        <w:tc>
          <w:tcPr>
            <w:tcW w:w="901" w:type="pct"/>
            <w:shd w:val="clear" w:color="auto" w:fill="auto"/>
            <w:vAlign w:val="center"/>
          </w:tcPr>
          <w:p w14:paraId="56AE75AB">
            <w:pPr>
              <w:ind w:firstLine="480"/>
              <w:rPr>
                <w:rFonts w:ascii="仿宋" w:hAnsi="仿宋" w:cs="仿宋"/>
                <w:kern w:val="0"/>
                <w:sz w:val="24"/>
                <w:szCs w:val="24"/>
              </w:rPr>
            </w:pPr>
            <w:r>
              <w:rPr>
                <w:rFonts w:hint="eastAsia" w:ascii="仿宋" w:hAnsi="仿宋" w:cs="仿宋"/>
                <w:kern w:val="0"/>
                <w:sz w:val="24"/>
                <w:szCs w:val="24"/>
              </w:rPr>
              <w:t>300</w:t>
            </w:r>
          </w:p>
        </w:tc>
        <w:tc>
          <w:tcPr>
            <w:tcW w:w="830" w:type="pct"/>
            <w:shd w:val="clear" w:color="auto" w:fill="auto"/>
            <w:vAlign w:val="center"/>
          </w:tcPr>
          <w:p w14:paraId="1FA22CDB">
            <w:pPr>
              <w:ind w:firstLine="480"/>
              <w:rPr>
                <w:rFonts w:ascii="仿宋" w:hAnsi="仿宋" w:cs="仿宋"/>
                <w:kern w:val="0"/>
                <w:sz w:val="24"/>
                <w:szCs w:val="24"/>
              </w:rPr>
            </w:pPr>
            <w:r>
              <w:rPr>
                <w:rFonts w:hint="eastAsia" w:ascii="仿宋" w:hAnsi="仿宋" w:cs="仿宋"/>
                <w:kern w:val="0"/>
                <w:sz w:val="24"/>
                <w:szCs w:val="24"/>
              </w:rPr>
              <w:t>500</w:t>
            </w:r>
          </w:p>
        </w:tc>
        <w:tc>
          <w:tcPr>
            <w:tcW w:w="901" w:type="pct"/>
            <w:shd w:val="clear" w:color="auto" w:fill="auto"/>
            <w:vAlign w:val="center"/>
          </w:tcPr>
          <w:p w14:paraId="27FAE03B">
            <w:pPr>
              <w:ind w:firstLine="480"/>
              <w:rPr>
                <w:rFonts w:ascii="仿宋" w:hAnsi="仿宋" w:cs="仿宋"/>
                <w:kern w:val="0"/>
                <w:sz w:val="24"/>
                <w:szCs w:val="24"/>
              </w:rPr>
            </w:pPr>
            <w:r>
              <w:rPr>
                <w:rFonts w:hint="eastAsia" w:ascii="仿宋" w:hAnsi="仿宋" w:cs="仿宋"/>
                <w:kern w:val="0"/>
                <w:sz w:val="24"/>
                <w:szCs w:val="24"/>
              </w:rPr>
              <w:t>13.34%</w:t>
            </w:r>
          </w:p>
        </w:tc>
        <w:tc>
          <w:tcPr>
            <w:tcW w:w="620" w:type="pct"/>
            <w:shd w:val="clear" w:color="auto" w:fill="auto"/>
            <w:vAlign w:val="center"/>
          </w:tcPr>
          <w:p w14:paraId="12F1E52E">
            <w:pPr>
              <w:ind w:firstLine="0" w:firstLineChars="0"/>
              <w:rPr>
                <w:rFonts w:ascii="仿宋" w:hAnsi="仿宋" w:cs="仿宋"/>
                <w:kern w:val="0"/>
                <w:sz w:val="24"/>
                <w:szCs w:val="24"/>
              </w:rPr>
            </w:pPr>
            <w:r>
              <w:rPr>
                <w:rFonts w:hint="eastAsia" w:ascii="仿宋" w:hAnsi="仿宋" w:cs="仿宋"/>
                <w:kern w:val="0"/>
                <w:sz w:val="24"/>
                <w:szCs w:val="24"/>
              </w:rPr>
              <w:t>预期性</w:t>
            </w:r>
          </w:p>
        </w:tc>
      </w:tr>
      <w:tr w14:paraId="1D23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1CC055D4">
            <w:pPr>
              <w:ind w:firstLine="480"/>
              <w:rPr>
                <w:rFonts w:ascii="仿宋" w:hAnsi="仿宋" w:cs="仿宋"/>
                <w:kern w:val="0"/>
                <w:sz w:val="24"/>
                <w:szCs w:val="24"/>
              </w:rPr>
            </w:pPr>
            <w:r>
              <w:rPr>
                <w:rFonts w:hint="eastAsia" w:ascii="仿宋" w:hAnsi="仿宋" w:cs="仿宋"/>
                <w:kern w:val="0"/>
                <w:sz w:val="24"/>
                <w:szCs w:val="24"/>
              </w:rPr>
              <w:t>殡仪馆数(个)</w:t>
            </w:r>
          </w:p>
        </w:tc>
        <w:tc>
          <w:tcPr>
            <w:tcW w:w="901" w:type="pct"/>
            <w:shd w:val="clear" w:color="auto" w:fill="auto"/>
            <w:vAlign w:val="center"/>
          </w:tcPr>
          <w:p w14:paraId="6240BE25">
            <w:pPr>
              <w:ind w:firstLine="480"/>
              <w:rPr>
                <w:rFonts w:ascii="仿宋" w:hAnsi="仿宋" w:cs="仿宋"/>
                <w:kern w:val="0"/>
                <w:sz w:val="24"/>
                <w:szCs w:val="24"/>
              </w:rPr>
            </w:pPr>
            <w:r>
              <w:rPr>
                <w:rFonts w:hint="eastAsia" w:ascii="仿宋" w:hAnsi="仿宋" w:cs="仿宋"/>
                <w:kern w:val="0"/>
                <w:sz w:val="24"/>
                <w:szCs w:val="24"/>
              </w:rPr>
              <w:t>0</w:t>
            </w:r>
          </w:p>
        </w:tc>
        <w:tc>
          <w:tcPr>
            <w:tcW w:w="830" w:type="pct"/>
            <w:shd w:val="clear" w:color="auto" w:fill="auto"/>
            <w:vAlign w:val="center"/>
          </w:tcPr>
          <w:p w14:paraId="52F0DC69">
            <w:pPr>
              <w:ind w:firstLine="480"/>
              <w:rPr>
                <w:rFonts w:ascii="仿宋" w:hAnsi="仿宋" w:cs="仿宋"/>
                <w:kern w:val="0"/>
                <w:sz w:val="24"/>
                <w:szCs w:val="24"/>
              </w:rPr>
            </w:pPr>
            <w:r>
              <w:rPr>
                <w:rFonts w:hint="eastAsia" w:ascii="仿宋" w:hAnsi="仿宋" w:cs="仿宋"/>
                <w:kern w:val="0"/>
                <w:sz w:val="24"/>
                <w:szCs w:val="24"/>
              </w:rPr>
              <w:t>1</w:t>
            </w:r>
          </w:p>
        </w:tc>
        <w:tc>
          <w:tcPr>
            <w:tcW w:w="901" w:type="pct"/>
            <w:shd w:val="clear" w:color="auto" w:fill="auto"/>
            <w:vAlign w:val="center"/>
          </w:tcPr>
          <w:p w14:paraId="79D00350">
            <w:pPr>
              <w:ind w:firstLine="480"/>
              <w:rPr>
                <w:rFonts w:ascii="仿宋" w:hAnsi="仿宋" w:cs="仿宋"/>
                <w:kern w:val="0"/>
                <w:sz w:val="24"/>
                <w:szCs w:val="24"/>
              </w:rPr>
            </w:pPr>
            <w:r>
              <w:rPr>
                <w:rFonts w:hint="eastAsia" w:ascii="仿宋" w:hAnsi="仿宋" w:cs="仿宋"/>
                <w:kern w:val="0"/>
                <w:sz w:val="24"/>
                <w:szCs w:val="24"/>
              </w:rPr>
              <w:t>-</w:t>
            </w:r>
          </w:p>
        </w:tc>
        <w:tc>
          <w:tcPr>
            <w:tcW w:w="620" w:type="pct"/>
            <w:shd w:val="clear" w:color="auto" w:fill="auto"/>
            <w:vAlign w:val="center"/>
          </w:tcPr>
          <w:p w14:paraId="30172D2C">
            <w:pPr>
              <w:ind w:firstLine="0" w:firstLineChars="0"/>
              <w:rPr>
                <w:rFonts w:ascii="仿宋" w:hAnsi="仿宋" w:cs="仿宋"/>
                <w:kern w:val="0"/>
                <w:sz w:val="24"/>
                <w:szCs w:val="24"/>
              </w:rPr>
            </w:pPr>
            <w:r>
              <w:rPr>
                <w:rFonts w:hint="eastAsia" w:ascii="仿宋" w:hAnsi="仿宋" w:cs="仿宋"/>
                <w:kern w:val="0"/>
                <w:sz w:val="24"/>
                <w:szCs w:val="24"/>
              </w:rPr>
              <w:t>约束性</w:t>
            </w:r>
          </w:p>
        </w:tc>
      </w:tr>
      <w:tr w14:paraId="1CF2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6" w:type="pct"/>
            <w:shd w:val="clear" w:color="auto" w:fill="auto"/>
            <w:vAlign w:val="center"/>
          </w:tcPr>
          <w:p w14:paraId="2F191B1D">
            <w:pPr>
              <w:ind w:firstLine="480"/>
              <w:rPr>
                <w:rFonts w:ascii="仿宋" w:hAnsi="仿宋" w:cs="仿宋"/>
                <w:kern w:val="0"/>
                <w:sz w:val="24"/>
                <w:szCs w:val="24"/>
              </w:rPr>
            </w:pPr>
            <w:r>
              <w:rPr>
                <w:rFonts w:hint="eastAsia" w:ascii="仿宋" w:hAnsi="仿宋" w:cs="仿宋"/>
                <w:kern w:val="0"/>
                <w:sz w:val="24"/>
                <w:szCs w:val="24"/>
              </w:rPr>
              <w:t>城区火化率(%)</w:t>
            </w:r>
          </w:p>
        </w:tc>
        <w:tc>
          <w:tcPr>
            <w:tcW w:w="901" w:type="pct"/>
            <w:shd w:val="clear" w:color="auto" w:fill="auto"/>
            <w:vAlign w:val="center"/>
          </w:tcPr>
          <w:p w14:paraId="0A8863ED">
            <w:pPr>
              <w:ind w:firstLine="480"/>
              <w:rPr>
                <w:rFonts w:ascii="仿宋" w:hAnsi="仿宋" w:cs="仿宋"/>
                <w:kern w:val="0"/>
                <w:sz w:val="24"/>
                <w:szCs w:val="24"/>
              </w:rPr>
            </w:pPr>
            <w:r>
              <w:rPr>
                <w:rFonts w:hint="eastAsia" w:ascii="仿宋" w:hAnsi="仿宋" w:cs="仿宋"/>
                <w:kern w:val="0"/>
                <w:sz w:val="24"/>
                <w:szCs w:val="24"/>
              </w:rPr>
              <w:t>0.5%</w:t>
            </w:r>
          </w:p>
        </w:tc>
        <w:tc>
          <w:tcPr>
            <w:tcW w:w="830" w:type="pct"/>
            <w:shd w:val="clear" w:color="auto" w:fill="auto"/>
            <w:vAlign w:val="center"/>
          </w:tcPr>
          <w:p w14:paraId="35E36713">
            <w:pPr>
              <w:ind w:firstLine="480"/>
              <w:rPr>
                <w:rFonts w:ascii="仿宋" w:hAnsi="仿宋" w:cs="仿宋"/>
                <w:kern w:val="0"/>
                <w:sz w:val="24"/>
                <w:szCs w:val="24"/>
              </w:rPr>
            </w:pPr>
            <w:r>
              <w:rPr>
                <w:rFonts w:hint="eastAsia" w:ascii="仿宋" w:hAnsi="仿宋" w:cs="仿宋"/>
                <w:kern w:val="0"/>
                <w:sz w:val="24"/>
                <w:szCs w:val="24"/>
              </w:rPr>
              <w:t>30%</w:t>
            </w:r>
          </w:p>
        </w:tc>
        <w:tc>
          <w:tcPr>
            <w:tcW w:w="901" w:type="pct"/>
            <w:shd w:val="clear" w:color="auto" w:fill="auto"/>
            <w:vAlign w:val="center"/>
          </w:tcPr>
          <w:p w14:paraId="5F02823C">
            <w:pPr>
              <w:ind w:firstLine="480"/>
              <w:rPr>
                <w:rFonts w:ascii="仿宋" w:hAnsi="仿宋" w:cs="仿宋"/>
                <w:kern w:val="0"/>
                <w:sz w:val="24"/>
                <w:szCs w:val="24"/>
              </w:rPr>
            </w:pPr>
            <w:r>
              <w:rPr>
                <w:rFonts w:hint="eastAsia" w:ascii="仿宋" w:hAnsi="仿宋" w:cs="仿宋"/>
                <w:kern w:val="0"/>
                <w:sz w:val="24"/>
                <w:szCs w:val="24"/>
              </w:rPr>
              <w:t>-</w:t>
            </w:r>
          </w:p>
        </w:tc>
        <w:tc>
          <w:tcPr>
            <w:tcW w:w="620" w:type="pct"/>
            <w:shd w:val="clear" w:color="auto" w:fill="auto"/>
            <w:vAlign w:val="center"/>
          </w:tcPr>
          <w:p w14:paraId="5136DA6F">
            <w:pPr>
              <w:ind w:firstLine="0" w:firstLineChars="0"/>
              <w:rPr>
                <w:rFonts w:ascii="仿宋" w:hAnsi="仿宋" w:cs="仿宋"/>
                <w:kern w:val="0"/>
                <w:sz w:val="24"/>
                <w:szCs w:val="24"/>
              </w:rPr>
            </w:pPr>
            <w:r>
              <w:rPr>
                <w:rFonts w:hint="eastAsia" w:ascii="仿宋" w:hAnsi="仿宋" w:cs="仿宋"/>
                <w:kern w:val="0"/>
                <w:sz w:val="24"/>
                <w:szCs w:val="24"/>
              </w:rPr>
              <w:t>预期性</w:t>
            </w:r>
          </w:p>
        </w:tc>
      </w:tr>
    </w:tbl>
    <w:p w14:paraId="1874B47D">
      <w:pPr>
        <w:widowControl/>
        <w:shd w:val="clear" w:color="auto" w:fill="FFFFFF"/>
        <w:spacing w:line="480" w:lineRule="auto"/>
        <w:ind w:firstLine="640"/>
        <w:jc w:val="left"/>
        <w:rPr>
          <w:rFonts w:ascii="仿宋" w:hAnsi="仿宋" w:cs="仿宋"/>
          <w:color w:val="535353"/>
          <w:kern w:val="0"/>
          <w:sz w:val="32"/>
          <w:szCs w:val="32"/>
        </w:rPr>
      </w:pPr>
      <w:r>
        <w:rPr>
          <w:rFonts w:hint="eastAsia" w:ascii="仿宋" w:hAnsi="仿宋" w:cs="仿宋"/>
          <w:color w:val="535353"/>
          <w:kern w:val="0"/>
          <w:sz w:val="32"/>
          <w:szCs w:val="32"/>
        </w:rPr>
        <w:t>注:主要指标共20个,其中约束性指标7个,预期性指标13个</w:t>
      </w:r>
    </w:p>
    <w:p w14:paraId="470DC06E">
      <w:pPr>
        <w:pStyle w:val="4"/>
        <w:ind w:firstLine="643"/>
        <w:rPr>
          <w:rFonts w:ascii="仿宋" w:hAnsi="仿宋" w:cs="仿宋"/>
          <w:kern w:val="0"/>
        </w:rPr>
      </w:pPr>
      <w:bookmarkStart w:id="19" w:name="_Toc3806"/>
      <w:r>
        <w:rPr>
          <w:rFonts w:hint="eastAsia" w:ascii="仿宋" w:hAnsi="仿宋" w:cs="仿宋"/>
          <w:kern w:val="0"/>
        </w:rPr>
        <w:t>（一）城乡社会救助体系建设</w:t>
      </w:r>
      <w:bookmarkEnd w:id="19"/>
    </w:p>
    <w:p w14:paraId="4F57B9EF">
      <w:pPr>
        <w:ind w:firstLine="643"/>
        <w:rPr>
          <w:rFonts w:ascii="仿宋" w:hAnsi="仿宋" w:cs="仿宋"/>
          <w:kern w:val="0"/>
          <w:sz w:val="32"/>
          <w:szCs w:val="32"/>
        </w:rPr>
      </w:pPr>
      <w:r>
        <w:rPr>
          <w:rFonts w:hint="eastAsia" w:ascii="仿宋" w:hAnsi="仿宋" w:cs="仿宋"/>
          <w:b/>
          <w:bCs/>
          <w:kern w:val="0"/>
          <w:sz w:val="32"/>
          <w:szCs w:val="32"/>
        </w:rPr>
        <w:t>1、切实提高社会救助水平。</w:t>
      </w:r>
      <w:r>
        <w:rPr>
          <w:rFonts w:hint="eastAsia" w:ascii="仿宋" w:hAnsi="仿宋" w:cs="仿宋"/>
          <w:kern w:val="0"/>
          <w:sz w:val="32"/>
          <w:szCs w:val="32"/>
        </w:rPr>
        <w:t>全面贯彻落实《社会救助暂行办法》，健全完善包括低保、特困人员供养、受灾人员救助、医疗、教育、住房、就业、临时救助等八项制度在内的社会救助体系。完善最低生活保障制度，将所有符合条件的困难群众纳入救助范围。落实好全省统一的城乡低保指导标准，推进最低生活保障标准与居民消费支出良性互动，逐步缩小城乡补助差距。加强低保政策和扶贫政策衔接，对完全和部分丧失劳动能力的约14万农村贫困人口，及时纳入农村最低生活保障范围，做到应保尽保、应保能保，到2025年实现农村低保保障标准与扶贫标准“两线合一”，农村低保需兜底保障的绝对贫困对象全部实现政策性脱贫。健全特困供养人员供养制度，科学制定供养标准，稳步提高供养水平。创新供养机构运营机制，逐步形成政府、市场和社会良性互动机制，稳步提高集中供养率。</w:t>
      </w:r>
    </w:p>
    <w:p w14:paraId="414B6F6E">
      <w:pPr>
        <w:ind w:firstLine="643"/>
        <w:rPr>
          <w:rFonts w:ascii="仿宋" w:hAnsi="仿宋" w:cs="仿宋"/>
          <w:kern w:val="0"/>
          <w:sz w:val="32"/>
          <w:szCs w:val="32"/>
        </w:rPr>
      </w:pPr>
      <w:r>
        <w:rPr>
          <w:rFonts w:hint="eastAsia" w:ascii="仿宋" w:hAnsi="仿宋" w:cs="仿宋"/>
          <w:b/>
          <w:bCs/>
          <w:kern w:val="0"/>
          <w:sz w:val="32"/>
          <w:szCs w:val="32"/>
        </w:rPr>
        <w:t>2、全面建立临时救助制度。</w:t>
      </w:r>
      <w:r>
        <w:rPr>
          <w:rFonts w:hint="eastAsia" w:ascii="仿宋" w:hAnsi="仿宋" w:cs="仿宋"/>
          <w:kern w:val="0"/>
          <w:sz w:val="32"/>
          <w:szCs w:val="32"/>
        </w:rPr>
        <w:t>充分发挥临时救助制度的补充性作用，积极开展“救急难”工作，帮助群众解决突发性、临时性基本生活困难。健全社会救助统筹协调机制，整合社会救助资源，全面建立乡镇“一门受理、协同办理”社会救助平台和工作机制，提升社会救助效能和水平。建立完善救助申请家庭经济状况核对机制，建成县级居民家庭经济状况信息核对平台，全面开展低收入认定工作，提高社会救助精准度和公信力。</w:t>
      </w:r>
    </w:p>
    <w:p w14:paraId="4EC2C73B">
      <w:pPr>
        <w:pStyle w:val="4"/>
        <w:ind w:firstLine="643"/>
        <w:rPr>
          <w:rFonts w:ascii="仿宋" w:hAnsi="仿宋" w:cs="仿宋"/>
          <w:kern w:val="0"/>
        </w:rPr>
      </w:pPr>
      <w:bookmarkStart w:id="20" w:name="_Toc31497"/>
      <w:r>
        <w:rPr>
          <w:rFonts w:hint="eastAsia" w:ascii="仿宋" w:hAnsi="仿宋" w:cs="仿宋"/>
          <w:kern w:val="0"/>
        </w:rPr>
        <w:t>（二）基层社会治理体系建设</w:t>
      </w:r>
      <w:bookmarkEnd w:id="20"/>
    </w:p>
    <w:p w14:paraId="520EB0C1">
      <w:pPr>
        <w:ind w:firstLine="643"/>
        <w:rPr>
          <w:rFonts w:ascii="仿宋" w:hAnsi="仿宋" w:cs="仿宋"/>
          <w:kern w:val="0"/>
          <w:sz w:val="32"/>
          <w:szCs w:val="32"/>
        </w:rPr>
      </w:pPr>
      <w:r>
        <w:rPr>
          <w:rFonts w:hint="eastAsia" w:ascii="仿宋" w:hAnsi="仿宋" w:cs="仿宋"/>
          <w:b/>
          <w:bCs/>
          <w:kern w:val="0"/>
          <w:sz w:val="32"/>
          <w:szCs w:val="32"/>
        </w:rPr>
        <w:t>1、加强基层自治组织建设。</w:t>
      </w:r>
      <w:r>
        <w:rPr>
          <w:rFonts w:hint="eastAsia" w:ascii="仿宋" w:hAnsi="仿宋" w:cs="仿宋"/>
          <w:kern w:val="0"/>
          <w:sz w:val="32"/>
          <w:szCs w:val="32"/>
        </w:rPr>
        <w:t>完善村（居）协商议事机制，深化村（居）务监督委员会建设，落实村（居）委会同步换届机制。开展全面建成小康社会村（居）委会依法自治达标率统计监测工作，确保村（居）委会依法自治达标率达到95%以上。深入开展村务公开民主管理示范创建活动，不断健全城乡基层自治组织和民主管理制度，推进村务公开、居务公开、民主评议，引导城乡基层群众自我管理、自我教育、自我服务，让广大城乡居民群众更好地参与基层公共事务。加快农村社区建设，制定出台全县指导性文件，继续扩大农村社区建设覆盖范围。积极筹措资金，健全完善城乡社区工作用房及公益服务设施建设，实现城乡社区建设提档升级。全面展开农村社区建设，普遍建立城乡社区服务体系，城乡社区服务设施达到3000个，每百户城市居民拥有的社区服务设施面积不低于30平方米。</w:t>
      </w:r>
    </w:p>
    <w:p w14:paraId="13EFCACA">
      <w:pPr>
        <w:ind w:firstLine="643"/>
        <w:rPr>
          <w:rFonts w:ascii="仿宋" w:hAnsi="仿宋" w:cs="仿宋"/>
          <w:kern w:val="0"/>
          <w:sz w:val="32"/>
          <w:szCs w:val="32"/>
        </w:rPr>
      </w:pPr>
      <w:r>
        <w:rPr>
          <w:rFonts w:hint="eastAsia" w:ascii="仿宋" w:hAnsi="仿宋" w:cs="仿宋"/>
          <w:b/>
          <w:bCs/>
          <w:kern w:val="0"/>
          <w:sz w:val="32"/>
          <w:szCs w:val="32"/>
        </w:rPr>
        <w:t>2、大力发展社区服务。</w:t>
      </w:r>
      <w:r>
        <w:rPr>
          <w:rFonts w:hint="eastAsia" w:ascii="仿宋" w:hAnsi="仿宋" w:cs="仿宋"/>
          <w:kern w:val="0"/>
          <w:sz w:val="32"/>
          <w:szCs w:val="32"/>
        </w:rPr>
        <w:t>强化社区运转保障，全面建立“三社联动”（社区、社会组织和社会工作者）机制，逐步实现社区公共服务、志愿服务、便民利民服务一体化。深入开展和谐社区示范单位创建活动，加快社区公共服务综合信息平台和社区服务站建设，探索建立社区公共服务准入制度，促进城乡社区基本公共服务均等化，提升社区自我服务功能。探索建立村（社区）干部分级培训长效机制。优先发展和重点培育公益类、服务类、互助类社区社会组织，为其开展活动提供必要的场所和经费资助，打造一批具有民族特色的社区服务品牌。</w:t>
      </w:r>
    </w:p>
    <w:p w14:paraId="1B316598">
      <w:pPr>
        <w:ind w:firstLine="643"/>
        <w:rPr>
          <w:rFonts w:ascii="仿宋" w:hAnsi="仿宋" w:cs="仿宋"/>
          <w:kern w:val="0"/>
          <w:sz w:val="32"/>
          <w:szCs w:val="32"/>
        </w:rPr>
      </w:pPr>
      <w:r>
        <w:rPr>
          <w:rFonts w:hint="eastAsia" w:ascii="仿宋" w:hAnsi="仿宋" w:cs="仿宋"/>
          <w:b/>
          <w:bCs/>
          <w:kern w:val="0"/>
          <w:sz w:val="32"/>
          <w:szCs w:val="32"/>
        </w:rPr>
        <w:t>3、深化社会组织登记管理体制改革。</w:t>
      </w:r>
      <w:r>
        <w:rPr>
          <w:rFonts w:hint="eastAsia" w:ascii="仿宋" w:hAnsi="仿宋" w:cs="仿宋"/>
          <w:kern w:val="0"/>
          <w:sz w:val="32"/>
          <w:szCs w:val="32"/>
        </w:rPr>
        <w:t>营造法制健全、政策完善、待遇公平的社会组织发展环境，构建结构合理、功能完善、诚信自律、有序竞争的社会组织发展格局，加快形成政社分开、权责明确、依法自治的现代社会组织体制。实施社会组织孵化培育工程，完善直接登记制度，重点培育和优先发展行业协会商会类、科技类、公益慈善类和城乡社区服务类社会组织，社会组织登记总量达到340家，每万人拥有社会组织5家以上。推进政府购买社会组织服务，推动政府部门向社会组织转移职能，建立完善福彩公益金支持社会组织参与社会服务项目管理办法，组织开展公益创投活动，加大福彩公益金对各级社会组织孵化基地及龙头社会组织的支持力度。推进行业协会商会与行政机关脱钩，增强社会组织社会性、自主性。创新和完善社会组织综合监管体系，建立健全社会组织第三方评估制度，优化社会组织年检办法，提高社会组织信息公开程度，加强事中事后监管。建立健全联合执法机制，加大执法监察力度。加强社会组织自身建设，健全法人治理结构。加强社会组织党建工作和诚信自律建设，确保社会组织健康有序发展，引导社会组织为经济社会发展服务。</w:t>
      </w:r>
    </w:p>
    <w:p w14:paraId="4A2FFE51">
      <w:pPr>
        <w:ind w:firstLine="643"/>
        <w:rPr>
          <w:rFonts w:ascii="仿宋" w:hAnsi="仿宋" w:cs="仿宋"/>
          <w:kern w:val="0"/>
          <w:sz w:val="32"/>
          <w:szCs w:val="32"/>
        </w:rPr>
      </w:pPr>
      <w:r>
        <w:rPr>
          <w:rFonts w:hint="eastAsia" w:ascii="仿宋" w:hAnsi="仿宋" w:cs="仿宋"/>
          <w:b/>
          <w:bCs/>
          <w:kern w:val="0"/>
          <w:sz w:val="32"/>
          <w:szCs w:val="32"/>
        </w:rPr>
        <w:t>4、推进社工和志愿者队伍建设。</w:t>
      </w:r>
      <w:r>
        <w:rPr>
          <w:rFonts w:hint="eastAsia" w:ascii="仿宋" w:hAnsi="仿宋" w:cs="仿宋"/>
          <w:kern w:val="0"/>
          <w:sz w:val="32"/>
          <w:szCs w:val="32"/>
        </w:rPr>
        <w:t>积极探索具有我县民族特色的社会工作人才培养、岗位开发和标准化建设新路径，在全县支持建设17个示范性社区社会工作站，社会工作专业人才总量达到500人以上。完善社会工作人才培养、使用、评价、激励制度体系，细化社会工作者从业制度和职业规范，建立注册管理、专业技术职务、聘任及岗位考核制度。设立专门资质培训机构，推动形成学历教育、转化培训、继续教育、普及培训四位一体的教育培训体系。大力开发和设置社会工作岗位，重点培养、发展企事业单位、城乡社区中的一线社会工作人才，逐步实现社会工作、社会服务全覆盖。大力发展志愿服务组织，完善志愿服务网络体系，建立健全志愿者招募、注册、培训、管理和志愿服务记录、回馈、保障、荣誉嘉许等制度，不断壮大志愿者队伍。</w:t>
      </w:r>
    </w:p>
    <w:p w14:paraId="5D68CA9D">
      <w:pPr>
        <w:pStyle w:val="4"/>
        <w:ind w:firstLine="643"/>
        <w:rPr>
          <w:rFonts w:ascii="仿宋" w:hAnsi="仿宋" w:cs="仿宋"/>
          <w:kern w:val="0"/>
        </w:rPr>
      </w:pPr>
      <w:bookmarkStart w:id="21" w:name="_Toc11405"/>
      <w:r>
        <w:rPr>
          <w:rFonts w:hint="eastAsia" w:ascii="仿宋" w:hAnsi="仿宋" w:cs="仿宋"/>
          <w:kern w:val="0"/>
        </w:rPr>
        <w:t>（三）社会养老服务体系建设</w:t>
      </w:r>
      <w:bookmarkEnd w:id="21"/>
    </w:p>
    <w:p w14:paraId="30451C34">
      <w:pPr>
        <w:ind w:firstLine="640"/>
        <w:rPr>
          <w:rFonts w:ascii="仿宋" w:hAnsi="仿宋" w:cs="仿宋"/>
          <w:kern w:val="0"/>
          <w:sz w:val="32"/>
          <w:szCs w:val="32"/>
        </w:rPr>
      </w:pPr>
      <w:r>
        <w:rPr>
          <w:rFonts w:hint="eastAsia" w:ascii="仿宋" w:hAnsi="仿宋" w:cs="仿宋"/>
          <w:kern w:val="0"/>
          <w:sz w:val="32"/>
          <w:szCs w:val="32"/>
        </w:rPr>
        <w:t>以打造绥宁湘西南康养中心为主导，夯实生态基础、引进大批量的养老机构。全面建成以居家为基础、社区为依托、机构为支撑的城乡养老服务体系，全县社会养老床位数达到1350张，每千名老年人拥有床位35张，城市和农村社区居家养老服务设施覆盖率分别达到50%和35%。65岁以上失能、半失能困难老人基本养老服务补贴覆盖率达到50%以上。100%的城镇社区及60%以上的农村社区（行政村）建成老年协会，90%以上的企业退休老人享受社区管理服务。全县机构养老、居家社区生活照料和护理服务等提供5000个以上就业岗位。</w:t>
      </w:r>
    </w:p>
    <w:p w14:paraId="10BF5162">
      <w:pPr>
        <w:ind w:firstLine="643"/>
        <w:rPr>
          <w:rFonts w:ascii="仿宋" w:hAnsi="仿宋" w:cs="仿宋"/>
          <w:kern w:val="0"/>
          <w:sz w:val="32"/>
          <w:szCs w:val="32"/>
        </w:rPr>
      </w:pPr>
      <w:r>
        <w:rPr>
          <w:rFonts w:hint="eastAsia" w:ascii="仿宋" w:hAnsi="仿宋" w:cs="仿宋"/>
          <w:b/>
          <w:bCs/>
          <w:kern w:val="0"/>
          <w:sz w:val="32"/>
          <w:szCs w:val="32"/>
        </w:rPr>
        <w:t>1、强化养老设施建设。</w:t>
      </w:r>
      <w:r>
        <w:rPr>
          <w:rFonts w:hint="eastAsia" w:ascii="仿宋" w:hAnsi="仿宋" w:cs="仿宋"/>
          <w:kern w:val="0"/>
          <w:sz w:val="32"/>
          <w:szCs w:val="32"/>
        </w:rPr>
        <w:t>统筹规划养老服务设施建设，落实好50%以上福彩公益金投入养老设施建设和支持养老服务产业发展的要求。采取公建民营、民办公助、政府补贴等多种方式大力兴办养老服务机构，逐步形成覆盖县区、街道和社区的居家养老三级服务架构。深化养老综合改革试点，指导开展公办养老机构改制试点，积极推广公建民营管理模式。</w:t>
      </w:r>
      <w:r>
        <w:rPr>
          <w:rFonts w:hint="eastAsia" w:ascii="仿宋" w:hAnsi="仿宋" w:cs="仿宋"/>
          <w:color w:val="000000" w:themeColor="text1"/>
          <w:kern w:val="0"/>
          <w:sz w:val="32"/>
          <w:szCs w:val="32"/>
          <w14:textFill>
            <w14:solidFill>
              <w14:schemeClr w14:val="tx1"/>
            </w14:solidFill>
          </w14:textFill>
        </w:rPr>
        <w:t>在城区</w:t>
      </w:r>
      <w:r>
        <w:rPr>
          <w:rFonts w:hint="eastAsia" w:ascii="仿宋" w:hAnsi="仿宋" w:cs="仿宋"/>
          <w:kern w:val="0"/>
          <w:sz w:val="32"/>
          <w:szCs w:val="32"/>
        </w:rPr>
        <w:t>选址建设健康养老产业园，建成包括老年公寓、老年休闲娱乐中心、老年疗养康复中心等一体化的老年休闲度假城。</w:t>
      </w:r>
    </w:p>
    <w:p w14:paraId="739683E9">
      <w:pPr>
        <w:ind w:firstLine="643"/>
        <w:rPr>
          <w:rFonts w:ascii="仿宋" w:hAnsi="仿宋" w:cs="仿宋"/>
          <w:kern w:val="0"/>
          <w:sz w:val="32"/>
          <w:szCs w:val="32"/>
        </w:rPr>
      </w:pPr>
      <w:r>
        <w:rPr>
          <w:rFonts w:hint="eastAsia" w:ascii="仿宋" w:hAnsi="仿宋" w:cs="仿宋"/>
          <w:b/>
          <w:bCs/>
          <w:kern w:val="0"/>
          <w:sz w:val="32"/>
          <w:szCs w:val="32"/>
        </w:rPr>
        <w:t>2、健全养老服务网络。</w:t>
      </w:r>
      <w:r>
        <w:rPr>
          <w:rFonts w:hint="eastAsia" w:ascii="仿宋" w:hAnsi="仿宋" w:cs="仿宋"/>
          <w:kern w:val="0"/>
          <w:sz w:val="32"/>
          <w:szCs w:val="32"/>
        </w:rPr>
        <w:t>完善居家养老和社区养老服务网络，强化农村养老服务托底措施，加快养老服务信息平台建设，增强社会养老服务能力。充分发挥公办养老机构托底作用，重点为城乡特困老人、低收入老人、经济困难的失能半失能老人提供无偿或低收费服务。深化老年友好型城市和老年宜居社区创建，全面实施设施无障碍环境改造，不断增强公共服务设施的养老服务功能。</w:t>
      </w:r>
    </w:p>
    <w:p w14:paraId="6FC81FFA">
      <w:pPr>
        <w:ind w:firstLine="643"/>
        <w:rPr>
          <w:rFonts w:ascii="仿宋" w:hAnsi="仿宋" w:cs="仿宋"/>
          <w:kern w:val="0"/>
          <w:sz w:val="32"/>
          <w:szCs w:val="32"/>
        </w:rPr>
      </w:pPr>
      <w:r>
        <w:rPr>
          <w:rFonts w:hint="eastAsia" w:ascii="仿宋" w:hAnsi="仿宋" w:cs="仿宋"/>
          <w:b/>
          <w:bCs/>
          <w:kern w:val="0"/>
          <w:sz w:val="32"/>
          <w:szCs w:val="32"/>
        </w:rPr>
        <w:t>3、完善养老政策体系。</w:t>
      </w:r>
      <w:r>
        <w:rPr>
          <w:rFonts w:hint="eastAsia" w:ascii="仿宋" w:hAnsi="仿宋" w:cs="仿宋"/>
          <w:kern w:val="0"/>
          <w:sz w:val="32"/>
          <w:szCs w:val="32"/>
        </w:rPr>
        <w:t>继续完善优惠政策体系，营造公平参与、平等竞争的市场环境，引导社会力量广泛参与。结合民政部门职能，支持健康养老产业发展，丰富老年产品用品，繁荣养老服务消费市场。支持医养融合发展，创新养老机构与医疗机构合作方式，促进医疗卫生资源进入社区、居民家庭和养老机构。全面加强老年优待工作，推动各级普遍建立高龄津贴、基本养老服务补贴及政府购买服务制度。</w:t>
      </w:r>
    </w:p>
    <w:p w14:paraId="24B00401">
      <w:pPr>
        <w:pStyle w:val="4"/>
        <w:ind w:firstLine="643"/>
        <w:rPr>
          <w:rFonts w:ascii="仿宋" w:hAnsi="仿宋" w:cs="仿宋"/>
          <w:kern w:val="0"/>
        </w:rPr>
      </w:pPr>
      <w:bookmarkStart w:id="22" w:name="_Toc2533"/>
      <w:r>
        <w:rPr>
          <w:rFonts w:hint="eastAsia" w:ascii="仿宋" w:hAnsi="仿宋" w:cs="仿宋"/>
          <w:kern w:val="0"/>
        </w:rPr>
        <w:t>（四）社会福利服务体系建设</w:t>
      </w:r>
      <w:bookmarkEnd w:id="22"/>
    </w:p>
    <w:p w14:paraId="578B7DDB">
      <w:pPr>
        <w:ind w:firstLine="643"/>
        <w:rPr>
          <w:rFonts w:ascii="仿宋" w:hAnsi="仿宋" w:cs="仿宋"/>
          <w:kern w:val="0"/>
          <w:sz w:val="32"/>
          <w:szCs w:val="32"/>
        </w:rPr>
      </w:pPr>
      <w:r>
        <w:rPr>
          <w:rFonts w:hint="eastAsia" w:ascii="仿宋" w:hAnsi="仿宋" w:cs="仿宋"/>
          <w:b/>
          <w:bCs/>
          <w:kern w:val="0"/>
          <w:sz w:val="32"/>
          <w:szCs w:val="32"/>
        </w:rPr>
        <w:t>1、抓好儿童福利工作。</w:t>
      </w:r>
      <w:r>
        <w:rPr>
          <w:rFonts w:hint="eastAsia" w:ascii="仿宋" w:hAnsi="仿宋" w:cs="仿宋"/>
          <w:kern w:val="0"/>
          <w:sz w:val="32"/>
          <w:szCs w:val="32"/>
        </w:rPr>
        <w:t>加强孤儿基本生活保障工作，落实好孤儿基本生活最低养育标准，建立孤儿基本生活最低养育标准自然增长机制。探索建立困境儿童基本生活分类保障制度。全面推行未成年人社会保护工作，建立未成年人社会保护制度。依法开展收养工作，规范完善寄养管理服务，组织实施“残疾孤儿手术康复明天计划”，组织开展“孤残儿童护理员职业技能培训”，提升儿童福利服务水平。</w:t>
      </w:r>
    </w:p>
    <w:p w14:paraId="1AFAD38B">
      <w:pPr>
        <w:ind w:firstLine="643"/>
        <w:rPr>
          <w:rFonts w:ascii="仿宋" w:hAnsi="仿宋" w:cs="仿宋"/>
          <w:kern w:val="0"/>
          <w:sz w:val="32"/>
          <w:szCs w:val="32"/>
        </w:rPr>
      </w:pPr>
      <w:r>
        <w:rPr>
          <w:rFonts w:hint="eastAsia" w:ascii="仿宋" w:hAnsi="仿宋" w:cs="仿宋"/>
          <w:b/>
          <w:bCs/>
          <w:kern w:val="0"/>
          <w:sz w:val="32"/>
          <w:szCs w:val="32"/>
        </w:rPr>
        <w:t>2、促进机构规范发展。</w:t>
      </w:r>
      <w:r>
        <w:rPr>
          <w:rFonts w:hint="eastAsia" w:ascii="仿宋" w:hAnsi="仿宋" w:cs="仿宋"/>
          <w:kern w:val="0"/>
          <w:sz w:val="32"/>
          <w:szCs w:val="32"/>
        </w:rPr>
        <w:t>加快发展残疾人福利事业，规范福利企业准入制度，督促落实福利企业发展优惠政策，为残疾人创造更多就业岗位。加强民政精神卫生机构建设，基本满足“三无”、复退军人精神疾病患者和特困精神病人救治工作需要。搞好生活无着流浪乞讨人员临时救助工作，创新救助管理模式，助力文明城市创建。加强救助管理站所建设，设置专业机构，配齐专业队伍，强化安全管理和救助服务，全面提升流浪乞讨救助管理水平。</w:t>
      </w:r>
    </w:p>
    <w:p w14:paraId="059E5569">
      <w:pPr>
        <w:ind w:firstLine="643"/>
        <w:rPr>
          <w:rFonts w:ascii="仿宋" w:hAnsi="仿宋" w:cs="仿宋"/>
          <w:color w:val="535353"/>
          <w:kern w:val="0"/>
          <w:sz w:val="32"/>
          <w:szCs w:val="32"/>
        </w:rPr>
      </w:pPr>
      <w:r>
        <w:rPr>
          <w:rFonts w:hint="eastAsia" w:ascii="仿宋" w:hAnsi="仿宋" w:cs="仿宋"/>
          <w:b/>
          <w:bCs/>
          <w:kern w:val="0"/>
          <w:sz w:val="32"/>
          <w:szCs w:val="32"/>
        </w:rPr>
        <w:t>3、加快福彩慈善事业发展。</w:t>
      </w:r>
      <w:r>
        <w:rPr>
          <w:rFonts w:hint="eastAsia" w:ascii="仿宋" w:hAnsi="仿宋" w:cs="仿宋"/>
          <w:kern w:val="0"/>
          <w:sz w:val="32"/>
          <w:szCs w:val="32"/>
        </w:rPr>
        <w:t>完善福彩销售管理体制，稳步提高福彩公益金的募集能力，强化安全发行和整体营销，深入开展公益及品牌形象宣传，打造公益、诚信品牌。大力推进慈善事业发展，严格慈善资金管理，争取慈善基金和慈善救助项目资金逐年增长。推进慈善信息公开，规范个人、组织、媒体、网络等募捐活动，完善慈善事业与社会救助、社会福利的政策衔接，鼓励个人和企业以捐赠资金留本运营、利润分配、安置就业、股权捐赠、股息使用、公益信托等方式参与公益慈善。</w:t>
      </w:r>
    </w:p>
    <w:p w14:paraId="53F1EB8A">
      <w:pPr>
        <w:widowControl/>
        <w:shd w:val="clear" w:color="auto" w:fill="FFFFFF"/>
        <w:spacing w:line="480" w:lineRule="auto"/>
        <w:ind w:firstLine="320" w:firstLineChars="100"/>
        <w:jc w:val="left"/>
        <w:rPr>
          <w:rFonts w:ascii="仿宋" w:hAnsi="仿宋" w:cs="仿宋"/>
          <w:color w:val="535353"/>
          <w:kern w:val="0"/>
          <w:sz w:val="32"/>
          <w:szCs w:val="32"/>
        </w:rPr>
      </w:pPr>
      <w:r>
        <w:rPr>
          <w:rFonts w:hint="eastAsia" w:ascii="仿宋" w:hAnsi="仿宋" w:cs="仿宋"/>
          <w:color w:val="535353"/>
          <w:kern w:val="0"/>
          <w:sz w:val="32"/>
          <w:szCs w:val="32"/>
        </w:rPr>
        <w:t> </w:t>
      </w:r>
    </w:p>
    <w:p w14:paraId="732C7D40">
      <w:pPr>
        <w:widowControl/>
        <w:ind w:firstLine="0" w:firstLineChars="0"/>
        <w:jc w:val="left"/>
        <w:rPr>
          <w:rFonts w:ascii="仿宋" w:hAnsi="仿宋" w:cs="仿宋"/>
          <w:b/>
          <w:bCs/>
          <w:kern w:val="0"/>
          <w:sz w:val="32"/>
          <w:szCs w:val="32"/>
        </w:rPr>
      </w:pPr>
      <w:r>
        <w:rPr>
          <w:rFonts w:hint="eastAsia" w:ascii="仿宋" w:hAnsi="仿宋" w:cs="仿宋"/>
          <w:kern w:val="0"/>
          <w:sz w:val="32"/>
          <w:szCs w:val="32"/>
        </w:rPr>
        <w:br w:type="page"/>
      </w:r>
    </w:p>
    <w:p w14:paraId="2FB2B209">
      <w:pPr>
        <w:pStyle w:val="3"/>
        <w:ind w:firstLine="0" w:firstLineChars="0"/>
        <w:jc w:val="center"/>
        <w:rPr>
          <w:rFonts w:ascii="仿宋" w:hAnsi="仿宋" w:eastAsia="仿宋" w:cs="仿宋"/>
          <w:kern w:val="0"/>
        </w:rPr>
      </w:pPr>
      <w:bookmarkStart w:id="23" w:name="_Toc24674"/>
      <w:r>
        <w:rPr>
          <w:rFonts w:hint="eastAsia" w:ascii="仿宋" w:hAnsi="仿宋" w:eastAsia="仿宋" w:cs="仿宋"/>
          <w:kern w:val="0"/>
        </w:rPr>
        <w:t>第五章 保障措施</w:t>
      </w:r>
      <w:bookmarkEnd w:id="23"/>
    </w:p>
    <w:p w14:paraId="6AD1F291">
      <w:pPr>
        <w:ind w:firstLine="640"/>
        <w:rPr>
          <w:rFonts w:ascii="仿宋" w:hAnsi="仿宋" w:cs="仿宋"/>
          <w:kern w:val="0"/>
          <w:sz w:val="32"/>
          <w:szCs w:val="32"/>
        </w:rPr>
      </w:pPr>
      <w:r>
        <w:rPr>
          <w:rFonts w:hint="eastAsia" w:ascii="仿宋" w:hAnsi="仿宋" w:cs="仿宋"/>
          <w:kern w:val="0"/>
          <w:sz w:val="32"/>
          <w:szCs w:val="32"/>
        </w:rPr>
        <w:t>各级民政部门必须坚持政府统筹、规划引领、政策引导、突出重点的原则，加强领导，加大投入，强化管理，提高队伍素质，完善政策措施，强化责任意识，扎实推进今后五年民政事业持续健康发展。</w:t>
      </w:r>
    </w:p>
    <w:p w14:paraId="6170F2AA">
      <w:pPr>
        <w:pStyle w:val="4"/>
        <w:ind w:firstLine="643"/>
        <w:rPr>
          <w:rFonts w:ascii="仿宋" w:hAnsi="仿宋" w:cs="仿宋"/>
          <w:kern w:val="0"/>
        </w:rPr>
      </w:pPr>
      <w:bookmarkStart w:id="24" w:name="_Toc1225"/>
      <w:r>
        <w:rPr>
          <w:rFonts w:hint="eastAsia" w:ascii="仿宋" w:hAnsi="仿宋" w:cs="仿宋"/>
          <w:kern w:val="0"/>
        </w:rPr>
        <w:t>（一）乘势而上，突破民政工作发展瓶颈</w:t>
      </w:r>
      <w:bookmarkEnd w:id="24"/>
    </w:p>
    <w:p w14:paraId="371D1158">
      <w:pPr>
        <w:ind w:firstLine="643"/>
        <w:rPr>
          <w:rFonts w:ascii="仿宋" w:hAnsi="仿宋" w:cs="仿宋"/>
          <w:kern w:val="0"/>
          <w:sz w:val="32"/>
          <w:szCs w:val="32"/>
        </w:rPr>
      </w:pPr>
      <w:r>
        <w:rPr>
          <w:rFonts w:hint="eastAsia" w:ascii="仿宋" w:hAnsi="仿宋" w:cs="仿宋"/>
          <w:b/>
          <w:bCs/>
          <w:kern w:val="0"/>
          <w:sz w:val="32"/>
          <w:szCs w:val="32"/>
        </w:rPr>
        <w:t>1、健全“政府统筹、民政主管、社会协调”的民政事业管理机制，强化组织保障。</w:t>
      </w:r>
      <w:r>
        <w:rPr>
          <w:rFonts w:hint="eastAsia" w:ascii="仿宋" w:hAnsi="仿宋" w:cs="仿宋"/>
          <w:kern w:val="0"/>
          <w:sz w:val="32"/>
          <w:szCs w:val="32"/>
        </w:rPr>
        <w:t>各级政府要把民政工作列入当地经济社会发展总体规划，充分发挥政府的统筹协调作用，争取来自于政府层面的支持，加强民政部门与其他部门的配合，形成“大民政”的工作格局。对重点项目的实施，成立相应领导小组及管理机构进行督促与协调，积极完善相关配套政策和实施细则，强化监督，从严规范，切实保障各项政策措施的贯彻执行。</w:t>
      </w:r>
    </w:p>
    <w:p w14:paraId="0C3B87B4">
      <w:pPr>
        <w:ind w:firstLine="643"/>
        <w:rPr>
          <w:rFonts w:ascii="仿宋" w:hAnsi="仿宋" w:cs="仿宋"/>
          <w:kern w:val="0"/>
          <w:sz w:val="32"/>
          <w:szCs w:val="32"/>
        </w:rPr>
      </w:pPr>
      <w:r>
        <w:rPr>
          <w:rFonts w:hint="eastAsia" w:ascii="仿宋" w:hAnsi="仿宋" w:cs="仿宋"/>
          <w:b/>
          <w:bCs/>
          <w:kern w:val="0"/>
          <w:sz w:val="32"/>
          <w:szCs w:val="32"/>
        </w:rPr>
        <w:t>2、建立“政府主导、政策扶持、社会参与”的民政事业发展机制，加大资金投入。</w:t>
      </w:r>
      <w:r>
        <w:rPr>
          <w:rFonts w:hint="eastAsia" w:ascii="仿宋" w:hAnsi="仿宋" w:cs="仿宋"/>
          <w:kern w:val="0"/>
          <w:sz w:val="32"/>
          <w:szCs w:val="32"/>
        </w:rPr>
        <w:t>针对重点项目，多渠道、多形式增加对民政事业的投入。首先，将民政事业基础设施建设纳入各级政府基本建设计划，在建立公共财政、调整财政支出结构中，不断提高民政事业支出比重。其次，广泛开展经常性社会捐助，大力发展慈善事业，力争多元投入搞好社会救助，促进事业发展。第三，坚持财政统筹、市场运作、各方共赢的原则，积极探索完善财政补助、银行贷款、税费优惠等政策措施，吸引社会资本投入民生事业发展，破解民政基础设施投入不足的难题。</w:t>
      </w:r>
    </w:p>
    <w:p w14:paraId="52B04688">
      <w:pPr>
        <w:ind w:firstLine="643"/>
        <w:rPr>
          <w:rFonts w:ascii="仿宋" w:hAnsi="仿宋" w:cs="仿宋"/>
          <w:kern w:val="0"/>
          <w:sz w:val="32"/>
          <w:szCs w:val="32"/>
        </w:rPr>
      </w:pPr>
      <w:r>
        <w:rPr>
          <w:rFonts w:hint="eastAsia" w:ascii="仿宋" w:hAnsi="仿宋" w:cs="仿宋"/>
          <w:b/>
          <w:bCs/>
          <w:kern w:val="0"/>
          <w:sz w:val="32"/>
          <w:szCs w:val="32"/>
        </w:rPr>
        <w:t>3、先行先试、大胆探索，完善民政法规政策体系，建立法治民政。</w:t>
      </w:r>
      <w:r>
        <w:rPr>
          <w:rFonts w:hint="eastAsia" w:ascii="仿宋" w:hAnsi="仿宋" w:cs="仿宋"/>
          <w:kern w:val="0"/>
          <w:sz w:val="32"/>
          <w:szCs w:val="32"/>
        </w:rPr>
        <w:t>针对民政工作法规政策滞后的现状，深入开展调查研究，制订、修改、完善影响和制约民政事业发展的政策措施。推进民政系统法制建设，提高民政系统依法行政水平。进一步厘清民政行政执法依据，规范执法主体，做到执法有据，与主体合法相统一；落实民政行政执法岗位责任，规范工作流程，做到权责相统一；建立民政行政执法评议考核制度，做到履责追责相统一；完善民政行政执法公开制度，做到公开监督相统一。</w:t>
      </w:r>
    </w:p>
    <w:p w14:paraId="229BEF86">
      <w:pPr>
        <w:pStyle w:val="4"/>
        <w:ind w:firstLine="643"/>
        <w:rPr>
          <w:rFonts w:ascii="仿宋" w:hAnsi="仿宋" w:cs="仿宋"/>
          <w:kern w:val="0"/>
        </w:rPr>
      </w:pPr>
      <w:bookmarkStart w:id="25" w:name="_Toc1453"/>
      <w:r>
        <w:rPr>
          <w:rFonts w:hint="eastAsia" w:ascii="仿宋" w:hAnsi="仿宋" w:cs="仿宋"/>
          <w:kern w:val="0"/>
        </w:rPr>
        <w:t>（二）顺势而为，拓展民政事业发展空间</w:t>
      </w:r>
      <w:bookmarkEnd w:id="25"/>
    </w:p>
    <w:p w14:paraId="15E25416">
      <w:pPr>
        <w:ind w:firstLine="643"/>
        <w:rPr>
          <w:rFonts w:ascii="仿宋" w:hAnsi="仿宋" w:cs="仿宋"/>
          <w:kern w:val="0"/>
          <w:sz w:val="32"/>
          <w:szCs w:val="32"/>
        </w:rPr>
      </w:pPr>
      <w:r>
        <w:rPr>
          <w:rFonts w:hint="eastAsia" w:ascii="仿宋" w:hAnsi="仿宋" w:cs="仿宋"/>
          <w:b/>
          <w:bCs/>
          <w:kern w:val="0"/>
          <w:sz w:val="32"/>
          <w:szCs w:val="32"/>
        </w:rPr>
        <w:t>1、整合相关业务，创新运行机制。</w:t>
      </w:r>
      <w:r>
        <w:rPr>
          <w:rFonts w:hint="eastAsia" w:ascii="仿宋" w:hAnsi="仿宋" w:cs="仿宋"/>
          <w:kern w:val="0"/>
          <w:sz w:val="32"/>
          <w:szCs w:val="32"/>
        </w:rPr>
        <w:t>根据新时期经济社会发展对民政工作的需求，抓住全面深化改革的契机，针对民政工作业务点多线长、面广量多且各项业务相对独立等特点，整合资源，协同推进，形成综合效能充分发挥、整体优势充分彰显的局面。顺应社区建设迅猛发展的趋势，把民政业务有机融入社区建设当中，以社区为平台、社区组织为依托、信息技术为手段，提高民政工作的整体效果，推动民政事业协调可持续发展。</w:t>
      </w:r>
    </w:p>
    <w:p w14:paraId="54FDB160">
      <w:pPr>
        <w:ind w:firstLine="643"/>
        <w:rPr>
          <w:rFonts w:ascii="仿宋" w:hAnsi="仿宋" w:cs="仿宋"/>
          <w:kern w:val="0"/>
          <w:sz w:val="32"/>
          <w:szCs w:val="32"/>
        </w:rPr>
      </w:pPr>
      <w:r>
        <w:rPr>
          <w:rFonts w:hint="eastAsia" w:ascii="仿宋" w:hAnsi="仿宋" w:cs="仿宋"/>
          <w:b/>
          <w:bCs/>
          <w:kern w:val="0"/>
          <w:sz w:val="32"/>
          <w:szCs w:val="32"/>
        </w:rPr>
        <w:t>2、创新管理手段，培育服务市场。</w:t>
      </w:r>
      <w:r>
        <w:rPr>
          <w:rFonts w:hint="eastAsia" w:ascii="仿宋" w:hAnsi="仿宋" w:cs="仿宋"/>
          <w:kern w:val="0"/>
          <w:sz w:val="32"/>
          <w:szCs w:val="32"/>
        </w:rPr>
        <w:t>顺应政府职能转变、经济结构调整趋势，实行社会组织分类管理、等级评估等制度，促进社会组织尤其是行业协会、商会等公益组织的发展，充分发挥社会组织支持地方社会经济发展的作用。制定扶持和保障政策，加大对公益类社会组织的培育力度，形成社会组织广泛参与经济社会事业发展态势，培育形成新的服务业态，为加快社会转型、解决困难群体生产、生活难题提供平台。</w:t>
      </w:r>
    </w:p>
    <w:p w14:paraId="5195E925">
      <w:pPr>
        <w:ind w:firstLine="643"/>
        <w:rPr>
          <w:rFonts w:ascii="仿宋" w:hAnsi="仿宋" w:cs="仿宋"/>
          <w:kern w:val="0"/>
          <w:sz w:val="32"/>
          <w:szCs w:val="32"/>
        </w:rPr>
      </w:pPr>
      <w:r>
        <w:rPr>
          <w:rFonts w:hint="eastAsia" w:ascii="仿宋" w:hAnsi="仿宋" w:cs="仿宋"/>
          <w:b/>
          <w:bCs/>
          <w:kern w:val="0"/>
          <w:sz w:val="32"/>
          <w:szCs w:val="32"/>
        </w:rPr>
        <w:t>3、加强舆论宣传，强化示范效应。</w:t>
      </w:r>
      <w:r>
        <w:rPr>
          <w:rFonts w:hint="eastAsia" w:ascii="仿宋" w:hAnsi="仿宋" w:cs="仿宋"/>
          <w:kern w:val="0"/>
          <w:sz w:val="32"/>
          <w:szCs w:val="32"/>
        </w:rPr>
        <w:t>坚持正确的舆论导向，贴近社会现实和服务对象，充分运用主流媒体，准确、及时、生动地宣传党的民政方针和民生政策。把民政宣传纳入民政事业发展计划、年度工作安排，建立民政宣传工作的考核和激励机制。深度挖掘民政工作的宣传资源，拓展民政工作的宣传范围，改进民政工作的宣传方法，注重民政宣传的时效性，增强民政的聚合力，扩大民政的社会影响、树立民政新形象。坚持“数字民政”发展思路，构建全县统一的民政信息网络，消除信息孤岛，确保实现民政系统业务数据互联互通，与外界交流信息共享，切实提高民政工作科学化水平。</w:t>
      </w:r>
    </w:p>
    <w:p w14:paraId="10DCBC76">
      <w:pPr>
        <w:pStyle w:val="4"/>
        <w:ind w:firstLine="643"/>
        <w:rPr>
          <w:rFonts w:ascii="仿宋" w:hAnsi="仿宋" w:cs="仿宋"/>
          <w:kern w:val="0"/>
        </w:rPr>
      </w:pPr>
      <w:bookmarkStart w:id="26" w:name="_Toc18347"/>
      <w:r>
        <w:rPr>
          <w:rFonts w:hint="eastAsia" w:ascii="仿宋" w:hAnsi="仿宋" w:cs="仿宋"/>
          <w:kern w:val="0"/>
        </w:rPr>
        <w:t>（三）因势利导，夯实民政事业持续发展基础 </w:t>
      </w:r>
      <w:bookmarkEnd w:id="26"/>
    </w:p>
    <w:p w14:paraId="4E4023E4">
      <w:pPr>
        <w:ind w:firstLine="643"/>
        <w:rPr>
          <w:rFonts w:ascii="仿宋" w:hAnsi="仿宋" w:cs="仿宋"/>
          <w:kern w:val="0"/>
          <w:sz w:val="32"/>
          <w:szCs w:val="32"/>
        </w:rPr>
      </w:pPr>
      <w:r>
        <w:rPr>
          <w:rFonts w:hint="eastAsia" w:ascii="仿宋" w:hAnsi="仿宋" w:cs="仿宋"/>
          <w:b/>
          <w:bCs/>
          <w:kern w:val="0"/>
          <w:sz w:val="32"/>
          <w:szCs w:val="32"/>
        </w:rPr>
        <w:t>1、加强民政基础设施建设。</w:t>
      </w:r>
      <w:r>
        <w:rPr>
          <w:rFonts w:hint="eastAsia" w:ascii="仿宋" w:hAnsi="仿宋" w:cs="仿宋"/>
          <w:kern w:val="0"/>
          <w:sz w:val="32"/>
          <w:szCs w:val="32"/>
        </w:rPr>
        <w:t>适应民政事业发展需要，合理规划、布局社会公共服务设施建设，增强民政公共服务实力。加大各级财政支持力度，督促县区政府落实配套资金。制定实施财政补助、税费减免及用水、用电、用气等优惠政策，鼓励和引导银行、保险等机构创新服务方式，增加服务产品，积极引导民营资本、慈善资金、社会捐赠等社会资本投资兴建社会福利设施。完善土地供应政策，将民政公共服务设施建设用地纳入县土地利用总体规划和年度用地计划，采取划拨、协议出让、招拍挂、租赁等多种方式优先保障社会福利设施建设。创新社会服务设施运营模式，推进公办民营、公建民营、民办公助、政府购买服务等方式，提高民政公共服务设施使用效益。</w:t>
      </w:r>
    </w:p>
    <w:p w14:paraId="15EF2AF9">
      <w:pPr>
        <w:ind w:firstLine="643"/>
        <w:rPr>
          <w:rFonts w:ascii="仿宋" w:hAnsi="仿宋" w:cs="仿宋"/>
          <w:kern w:val="0"/>
          <w:sz w:val="32"/>
          <w:szCs w:val="32"/>
        </w:rPr>
      </w:pPr>
      <w:r>
        <w:rPr>
          <w:rFonts w:hint="eastAsia" w:ascii="仿宋" w:hAnsi="仿宋" w:cs="仿宋"/>
          <w:b/>
          <w:bCs/>
          <w:kern w:val="0"/>
          <w:sz w:val="32"/>
          <w:szCs w:val="32"/>
        </w:rPr>
        <w:t>2、高度重视民政人才培养。</w:t>
      </w:r>
      <w:r>
        <w:rPr>
          <w:rFonts w:hint="eastAsia" w:ascii="仿宋" w:hAnsi="仿宋" w:cs="仿宋"/>
          <w:kern w:val="0"/>
          <w:sz w:val="32"/>
          <w:szCs w:val="32"/>
        </w:rPr>
        <w:t>从职业道德教育、能力提升和廉政建设入手，加强社会建设理论、公共管理政策的学习与培训，努力建设一支政治强、业务精、作风正、服务优的民政干部队伍。从专业培训、岗位设置和职业准入破题，建立健全培养、评价、使用、激励等配套政策，多渠道吸纳社会人才，提高民政工作专业化水平，建设一支数量庞大、结构合理、素质优良的社会工作人才队伍。逐步形成以行政力量为主导、专业力量为支撑、公众力量为基础的民政工作人力资源保障体系。</w:t>
      </w:r>
    </w:p>
    <w:p w14:paraId="5650BCDD">
      <w:pPr>
        <w:ind w:firstLine="643"/>
        <w:rPr>
          <w:rFonts w:ascii="仿宋" w:hAnsi="仿宋" w:cs="仿宋"/>
          <w:kern w:val="0"/>
          <w:sz w:val="32"/>
          <w:szCs w:val="32"/>
        </w:rPr>
      </w:pPr>
      <w:r>
        <w:rPr>
          <w:rFonts w:hint="eastAsia" w:ascii="仿宋" w:hAnsi="仿宋" w:cs="仿宋"/>
          <w:b/>
          <w:bCs/>
          <w:kern w:val="0"/>
          <w:sz w:val="32"/>
          <w:szCs w:val="32"/>
        </w:rPr>
        <w:t>3、切实加强基层民政建设。</w:t>
      </w:r>
      <w:r>
        <w:rPr>
          <w:rFonts w:hint="eastAsia" w:ascii="仿宋" w:hAnsi="仿宋" w:cs="仿宋"/>
          <w:kern w:val="0"/>
          <w:sz w:val="32"/>
          <w:szCs w:val="32"/>
        </w:rPr>
        <w:t>针对基层民政机构不健全、工作力量薄弱、工作手段落后的实际，在机构编制和人员配置、经费保障上，充分利用并乡镇改革以及机构改革的契机，积极争取各级党委、政府的重视支持，切实解决基层工作力量不足，经费无保障等实际问题；在工作手段上，把加强民政信息化建设延伸到基层民政部门，提高基层民政的工作效率和服务质量；在学习培训上，为基层民政干部创造条件、提供机会、强化业务培训，实施学历教育，鼓励争先创优，确保各项民政工作任务在基层得到落实。</w:t>
      </w:r>
    </w:p>
    <w:p w14:paraId="46EB73BA">
      <w:pPr>
        <w:widowControl/>
        <w:shd w:val="clear" w:color="auto" w:fill="FFFFFF"/>
        <w:spacing w:line="480" w:lineRule="auto"/>
        <w:ind w:firstLine="640"/>
        <w:jc w:val="left"/>
        <w:rPr>
          <w:rFonts w:ascii="仿宋" w:hAnsi="仿宋" w:cs="仿宋"/>
          <w:color w:val="535353"/>
          <w:kern w:val="0"/>
          <w:sz w:val="32"/>
          <w:szCs w:val="32"/>
        </w:rPr>
      </w:pPr>
      <w:r>
        <w:rPr>
          <w:rFonts w:hint="eastAsia" w:ascii="仿宋" w:hAnsi="仿宋" w:cs="仿宋"/>
          <w:color w:val="535353"/>
          <w:kern w:val="0"/>
          <w:sz w:val="32"/>
          <w:szCs w:val="32"/>
        </w:rPr>
        <w:t> </w:t>
      </w:r>
    </w:p>
    <w:p w14:paraId="3A6BC6A3">
      <w:pPr>
        <w:widowControl/>
        <w:shd w:val="clear" w:color="auto" w:fill="FFFFFF"/>
        <w:spacing w:line="480" w:lineRule="auto"/>
        <w:ind w:firstLine="640"/>
        <w:jc w:val="left"/>
        <w:rPr>
          <w:rFonts w:ascii="仿宋" w:hAnsi="仿宋" w:cs="仿宋"/>
          <w:color w:val="535353"/>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14:paraId="0DAF4479">
      <w:pPr>
        <w:widowControl/>
        <w:shd w:val="clear" w:color="auto" w:fill="FFFFFF"/>
        <w:spacing w:line="480" w:lineRule="auto"/>
        <w:ind w:firstLine="480"/>
        <w:jc w:val="center"/>
        <w:rPr>
          <w:rFonts w:ascii="宋体" w:hAnsi="宋体" w:eastAsia="宋体" w:cs="宋体"/>
          <w:color w:val="535353"/>
          <w:kern w:val="0"/>
          <w:sz w:val="24"/>
          <w:szCs w:val="24"/>
        </w:rPr>
      </w:pPr>
      <w:r>
        <w:rPr>
          <w:rFonts w:hint="eastAsia" w:ascii="宋体" w:hAnsi="宋体" w:eastAsia="宋体" w:cs="宋体"/>
          <w:color w:val="535353"/>
          <w:kern w:val="0"/>
          <w:sz w:val="24"/>
          <w:szCs w:val="24"/>
        </w:rPr>
        <w:t>附表：“十四五”民政事业规划重大项目表</w:t>
      </w:r>
    </w:p>
    <w:tbl>
      <w:tblPr>
        <w:tblStyle w:val="14"/>
        <w:tblW w:w="14743" w:type="dxa"/>
        <w:tblInd w:w="95" w:type="dxa"/>
        <w:tblLayout w:type="autofit"/>
        <w:tblCellMar>
          <w:top w:w="0" w:type="dxa"/>
          <w:left w:w="108" w:type="dxa"/>
          <w:bottom w:w="0" w:type="dxa"/>
          <w:right w:w="108" w:type="dxa"/>
        </w:tblCellMar>
      </w:tblPr>
      <w:tblGrid>
        <w:gridCol w:w="746"/>
        <w:gridCol w:w="1448"/>
        <w:gridCol w:w="1331"/>
        <w:gridCol w:w="861"/>
        <w:gridCol w:w="4184"/>
        <w:gridCol w:w="1416"/>
        <w:gridCol w:w="989"/>
        <w:gridCol w:w="1573"/>
        <w:gridCol w:w="1223"/>
        <w:gridCol w:w="972"/>
      </w:tblGrid>
      <w:tr w14:paraId="5DC51274">
        <w:tblPrEx>
          <w:tblCellMar>
            <w:top w:w="0" w:type="dxa"/>
            <w:left w:w="108" w:type="dxa"/>
            <w:bottom w:w="0" w:type="dxa"/>
            <w:right w:w="108" w:type="dxa"/>
          </w:tblCellMar>
        </w:tblPrEx>
        <w:trPr>
          <w:trHeight w:val="735" w:hRule="atLeast"/>
          <w:tblHead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3F6EF3E">
            <w:pPr>
              <w:ind w:firstLine="45" w:firstLineChars="19"/>
              <w:rPr>
                <w:rFonts w:ascii="宋体" w:hAnsi="宋体" w:eastAsia="宋体" w:cs="宋体"/>
                <w:kern w:val="0"/>
                <w:sz w:val="24"/>
                <w:szCs w:val="24"/>
              </w:rPr>
            </w:pPr>
            <w:r>
              <w:rPr>
                <w:rFonts w:hint="eastAsia" w:ascii="宋体" w:hAnsi="宋体" w:eastAsia="宋体" w:cs="宋体"/>
                <w:kern w:val="0"/>
                <w:sz w:val="24"/>
                <w:szCs w:val="24"/>
              </w:rPr>
              <w:t>序号</w:t>
            </w:r>
          </w:p>
        </w:tc>
        <w:tc>
          <w:tcPr>
            <w:tcW w:w="1448" w:type="dxa"/>
            <w:tcBorders>
              <w:top w:val="single" w:color="auto" w:sz="4" w:space="0"/>
              <w:left w:val="nil"/>
              <w:bottom w:val="single" w:color="auto" w:sz="4" w:space="0"/>
              <w:right w:val="single" w:color="auto" w:sz="4" w:space="0"/>
            </w:tcBorders>
            <w:shd w:val="clear" w:color="auto" w:fill="auto"/>
            <w:vAlign w:val="center"/>
          </w:tcPr>
          <w:p w14:paraId="002B1436">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331" w:type="dxa"/>
            <w:tcBorders>
              <w:top w:val="single" w:color="auto" w:sz="4" w:space="0"/>
              <w:left w:val="nil"/>
              <w:bottom w:val="single" w:color="auto" w:sz="4" w:space="0"/>
              <w:right w:val="single" w:color="auto" w:sz="4" w:space="0"/>
            </w:tcBorders>
            <w:shd w:val="clear" w:color="auto" w:fill="auto"/>
            <w:vAlign w:val="center"/>
          </w:tcPr>
          <w:p w14:paraId="12DAE42F">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项目业主</w:t>
            </w:r>
          </w:p>
        </w:tc>
        <w:tc>
          <w:tcPr>
            <w:tcW w:w="861" w:type="dxa"/>
            <w:tcBorders>
              <w:top w:val="single" w:color="auto" w:sz="4" w:space="0"/>
              <w:left w:val="nil"/>
              <w:bottom w:val="single" w:color="auto" w:sz="4" w:space="0"/>
              <w:right w:val="single" w:color="auto" w:sz="4" w:space="0"/>
            </w:tcBorders>
            <w:shd w:val="clear" w:color="auto" w:fill="auto"/>
            <w:vAlign w:val="center"/>
          </w:tcPr>
          <w:p w14:paraId="5EE99230">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建设性质</w:t>
            </w:r>
          </w:p>
        </w:tc>
        <w:tc>
          <w:tcPr>
            <w:tcW w:w="4184" w:type="dxa"/>
            <w:tcBorders>
              <w:top w:val="single" w:color="auto" w:sz="4" w:space="0"/>
              <w:left w:val="nil"/>
              <w:bottom w:val="single" w:color="auto" w:sz="4" w:space="0"/>
              <w:right w:val="single" w:color="auto" w:sz="4" w:space="0"/>
            </w:tcBorders>
            <w:shd w:val="clear" w:color="auto" w:fill="auto"/>
            <w:vAlign w:val="center"/>
          </w:tcPr>
          <w:p w14:paraId="41733C80">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建设内容及规模</w:t>
            </w:r>
          </w:p>
        </w:tc>
        <w:tc>
          <w:tcPr>
            <w:tcW w:w="1416" w:type="dxa"/>
            <w:tcBorders>
              <w:top w:val="single" w:color="auto" w:sz="4" w:space="0"/>
              <w:left w:val="nil"/>
              <w:bottom w:val="single" w:color="auto" w:sz="4" w:space="0"/>
              <w:right w:val="single" w:color="auto" w:sz="4" w:space="0"/>
            </w:tcBorders>
            <w:shd w:val="clear" w:color="auto" w:fill="auto"/>
            <w:vAlign w:val="center"/>
          </w:tcPr>
          <w:p w14:paraId="3AA09DD3">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起止年限</w:t>
            </w:r>
          </w:p>
        </w:tc>
        <w:tc>
          <w:tcPr>
            <w:tcW w:w="989" w:type="dxa"/>
            <w:tcBorders>
              <w:top w:val="single" w:color="auto" w:sz="4" w:space="0"/>
              <w:left w:val="nil"/>
              <w:bottom w:val="single" w:color="auto" w:sz="4" w:space="0"/>
              <w:right w:val="single" w:color="auto" w:sz="4" w:space="0"/>
            </w:tcBorders>
            <w:shd w:val="clear" w:color="auto" w:fill="auto"/>
            <w:vAlign w:val="center"/>
          </w:tcPr>
          <w:p w14:paraId="23D34C28">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总投资（万元）</w:t>
            </w:r>
          </w:p>
        </w:tc>
        <w:tc>
          <w:tcPr>
            <w:tcW w:w="1573" w:type="dxa"/>
            <w:tcBorders>
              <w:top w:val="single" w:color="auto" w:sz="4" w:space="0"/>
              <w:left w:val="nil"/>
              <w:bottom w:val="single" w:color="auto" w:sz="4" w:space="0"/>
              <w:right w:val="single" w:color="auto" w:sz="4" w:space="0"/>
            </w:tcBorders>
            <w:shd w:val="clear" w:color="auto" w:fill="auto"/>
            <w:vAlign w:val="center"/>
          </w:tcPr>
          <w:p w14:paraId="78AB8A84">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目前工作进展情况</w:t>
            </w:r>
          </w:p>
        </w:tc>
        <w:tc>
          <w:tcPr>
            <w:tcW w:w="1223" w:type="dxa"/>
            <w:tcBorders>
              <w:top w:val="single" w:color="auto" w:sz="4" w:space="0"/>
              <w:left w:val="nil"/>
              <w:bottom w:val="single" w:color="auto" w:sz="4" w:space="0"/>
              <w:right w:val="single" w:color="auto" w:sz="4" w:space="0"/>
            </w:tcBorders>
            <w:shd w:val="clear" w:color="auto" w:fill="auto"/>
            <w:vAlign w:val="center"/>
          </w:tcPr>
          <w:p w14:paraId="56B5F58B">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计划投资（万元）</w:t>
            </w:r>
          </w:p>
        </w:tc>
        <w:tc>
          <w:tcPr>
            <w:tcW w:w="972" w:type="dxa"/>
            <w:tcBorders>
              <w:top w:val="single" w:color="auto" w:sz="4" w:space="0"/>
              <w:left w:val="nil"/>
              <w:bottom w:val="single" w:color="auto" w:sz="4" w:space="0"/>
              <w:right w:val="single" w:color="auto" w:sz="4" w:space="0"/>
            </w:tcBorders>
            <w:shd w:val="clear" w:color="auto" w:fill="auto"/>
            <w:vAlign w:val="center"/>
          </w:tcPr>
          <w:p w14:paraId="1F67BE21">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14:paraId="7DA1408B">
        <w:tblPrEx>
          <w:tblCellMar>
            <w:top w:w="0" w:type="dxa"/>
            <w:left w:w="108" w:type="dxa"/>
            <w:bottom w:w="0" w:type="dxa"/>
            <w:right w:w="108" w:type="dxa"/>
          </w:tblCellMar>
        </w:tblPrEx>
        <w:trPr>
          <w:trHeight w:val="1155" w:hRule="atLeast"/>
        </w:trPr>
        <w:tc>
          <w:tcPr>
            <w:tcW w:w="746" w:type="dxa"/>
            <w:tcBorders>
              <w:top w:val="nil"/>
              <w:left w:val="single" w:color="auto" w:sz="4" w:space="0"/>
              <w:bottom w:val="single" w:color="auto" w:sz="4" w:space="0"/>
              <w:right w:val="single" w:color="auto" w:sz="4" w:space="0"/>
            </w:tcBorders>
            <w:shd w:val="clear" w:color="auto" w:fill="auto"/>
            <w:vAlign w:val="center"/>
          </w:tcPr>
          <w:p w14:paraId="5064DC6A">
            <w:pPr>
              <w:widowControl/>
              <w:ind w:firstLine="0" w:firstLineChars="0"/>
              <w:jc w:val="center"/>
              <w:rPr>
                <w:rFonts w:ascii="仿宋" w:hAnsi="仿宋" w:cs="仿宋"/>
                <w:color w:val="000000"/>
                <w:kern w:val="0"/>
                <w:sz w:val="24"/>
                <w:szCs w:val="24"/>
              </w:rPr>
            </w:pPr>
            <w:r>
              <w:rPr>
                <w:rFonts w:hint="eastAsia" w:ascii="仿宋" w:hAnsi="仿宋" w:cs="仿宋"/>
                <w:color w:val="000000"/>
                <w:kern w:val="0"/>
                <w:sz w:val="24"/>
                <w:szCs w:val="24"/>
              </w:rPr>
              <w:t>1</w:t>
            </w:r>
          </w:p>
        </w:tc>
        <w:tc>
          <w:tcPr>
            <w:tcW w:w="1448" w:type="dxa"/>
            <w:tcBorders>
              <w:top w:val="nil"/>
              <w:left w:val="nil"/>
              <w:bottom w:val="single" w:color="auto" w:sz="4" w:space="0"/>
              <w:right w:val="single" w:color="auto" w:sz="4" w:space="0"/>
            </w:tcBorders>
            <w:shd w:val="clear" w:color="auto" w:fill="auto"/>
            <w:vAlign w:val="center"/>
          </w:tcPr>
          <w:p w14:paraId="3C69D64C">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绥宁县佘家养老服务中心</w:t>
            </w:r>
          </w:p>
        </w:tc>
        <w:tc>
          <w:tcPr>
            <w:tcW w:w="1331" w:type="dxa"/>
            <w:tcBorders>
              <w:top w:val="nil"/>
              <w:left w:val="nil"/>
              <w:bottom w:val="single" w:color="auto" w:sz="4" w:space="0"/>
              <w:right w:val="single" w:color="auto" w:sz="4" w:space="0"/>
            </w:tcBorders>
            <w:shd w:val="clear" w:color="auto" w:fill="auto"/>
            <w:vAlign w:val="center"/>
          </w:tcPr>
          <w:p w14:paraId="3458587E">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湖南上堡古国生态旅游开发有限公司</w:t>
            </w:r>
          </w:p>
        </w:tc>
        <w:tc>
          <w:tcPr>
            <w:tcW w:w="861" w:type="dxa"/>
            <w:tcBorders>
              <w:top w:val="nil"/>
              <w:left w:val="nil"/>
              <w:bottom w:val="single" w:color="auto" w:sz="4" w:space="0"/>
              <w:right w:val="single" w:color="auto" w:sz="4" w:space="0"/>
            </w:tcBorders>
            <w:shd w:val="clear" w:color="auto" w:fill="auto"/>
            <w:vAlign w:val="center"/>
          </w:tcPr>
          <w:p w14:paraId="7C606681">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新建</w:t>
            </w:r>
          </w:p>
        </w:tc>
        <w:tc>
          <w:tcPr>
            <w:tcW w:w="4184" w:type="dxa"/>
            <w:tcBorders>
              <w:top w:val="nil"/>
              <w:left w:val="nil"/>
              <w:bottom w:val="single" w:color="auto" w:sz="4" w:space="0"/>
              <w:right w:val="single" w:color="auto" w:sz="4" w:space="0"/>
            </w:tcBorders>
            <w:shd w:val="clear" w:color="auto" w:fill="auto"/>
            <w:vAlign w:val="center"/>
          </w:tcPr>
          <w:p w14:paraId="36FBD4FC">
            <w:pPr>
              <w:widowControl/>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新建老年公寓及老年养护中心、老年活动中心及管护用房、道路、给出排水、电力通讯等设施，总建筑面积73226平方米，床位1100张</w:t>
            </w:r>
          </w:p>
        </w:tc>
        <w:tc>
          <w:tcPr>
            <w:tcW w:w="1416" w:type="dxa"/>
            <w:tcBorders>
              <w:top w:val="nil"/>
              <w:left w:val="nil"/>
              <w:bottom w:val="single" w:color="auto" w:sz="4" w:space="0"/>
              <w:right w:val="single" w:color="auto" w:sz="4" w:space="0"/>
            </w:tcBorders>
            <w:shd w:val="clear" w:color="auto" w:fill="auto"/>
            <w:vAlign w:val="center"/>
          </w:tcPr>
          <w:p w14:paraId="0FE0E6B3">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2020-2024</w:t>
            </w:r>
          </w:p>
        </w:tc>
        <w:tc>
          <w:tcPr>
            <w:tcW w:w="989" w:type="dxa"/>
            <w:tcBorders>
              <w:top w:val="nil"/>
              <w:left w:val="nil"/>
              <w:bottom w:val="single" w:color="auto" w:sz="4" w:space="0"/>
              <w:right w:val="single" w:color="auto" w:sz="4" w:space="0"/>
            </w:tcBorders>
            <w:shd w:val="clear" w:color="auto" w:fill="auto"/>
            <w:vAlign w:val="center"/>
          </w:tcPr>
          <w:p w14:paraId="44579834">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25000</w:t>
            </w:r>
          </w:p>
        </w:tc>
        <w:tc>
          <w:tcPr>
            <w:tcW w:w="1573" w:type="dxa"/>
            <w:tcBorders>
              <w:top w:val="nil"/>
              <w:left w:val="nil"/>
              <w:bottom w:val="single" w:color="auto" w:sz="4" w:space="0"/>
              <w:right w:val="single" w:color="auto" w:sz="4" w:space="0"/>
            </w:tcBorders>
            <w:shd w:val="clear" w:color="auto" w:fill="auto"/>
            <w:vAlign w:val="center"/>
          </w:tcPr>
          <w:p w14:paraId="78F7DEC9">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完成项目备案、规划选址、用地预审、环评批复等项目前期工作</w:t>
            </w:r>
          </w:p>
        </w:tc>
        <w:tc>
          <w:tcPr>
            <w:tcW w:w="1223" w:type="dxa"/>
            <w:tcBorders>
              <w:top w:val="nil"/>
              <w:left w:val="nil"/>
              <w:bottom w:val="single" w:color="auto" w:sz="4" w:space="0"/>
              <w:right w:val="single" w:color="auto" w:sz="4" w:space="0"/>
            </w:tcBorders>
            <w:shd w:val="clear" w:color="auto" w:fill="auto"/>
            <w:vAlign w:val="center"/>
          </w:tcPr>
          <w:p w14:paraId="30A5DE77">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25000</w:t>
            </w:r>
          </w:p>
        </w:tc>
        <w:tc>
          <w:tcPr>
            <w:tcW w:w="972" w:type="dxa"/>
            <w:tcBorders>
              <w:top w:val="nil"/>
              <w:left w:val="nil"/>
              <w:bottom w:val="single" w:color="auto" w:sz="4" w:space="0"/>
              <w:right w:val="single" w:color="auto" w:sz="4" w:space="0"/>
            </w:tcBorders>
            <w:shd w:val="clear" w:color="auto" w:fill="auto"/>
            <w:vAlign w:val="center"/>
          </w:tcPr>
          <w:p w14:paraId="7715DC2C">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07FF092">
        <w:tblPrEx>
          <w:tblCellMar>
            <w:top w:w="0" w:type="dxa"/>
            <w:left w:w="108" w:type="dxa"/>
            <w:bottom w:w="0" w:type="dxa"/>
            <w:right w:w="108" w:type="dxa"/>
          </w:tblCellMar>
        </w:tblPrEx>
        <w:trPr>
          <w:trHeight w:val="2175" w:hRule="atLeast"/>
        </w:trPr>
        <w:tc>
          <w:tcPr>
            <w:tcW w:w="746" w:type="dxa"/>
            <w:tcBorders>
              <w:top w:val="nil"/>
              <w:left w:val="single" w:color="auto" w:sz="4" w:space="0"/>
              <w:bottom w:val="single" w:color="auto" w:sz="4" w:space="0"/>
              <w:right w:val="single" w:color="auto" w:sz="4" w:space="0"/>
            </w:tcBorders>
            <w:shd w:val="clear" w:color="auto" w:fill="auto"/>
            <w:vAlign w:val="center"/>
          </w:tcPr>
          <w:p w14:paraId="20962636">
            <w:pPr>
              <w:widowControl/>
              <w:ind w:firstLine="0" w:firstLineChars="0"/>
              <w:jc w:val="center"/>
              <w:rPr>
                <w:rFonts w:ascii="仿宋" w:hAnsi="仿宋" w:cs="仿宋"/>
                <w:color w:val="000000"/>
                <w:kern w:val="0"/>
                <w:sz w:val="24"/>
                <w:szCs w:val="24"/>
              </w:rPr>
            </w:pPr>
            <w:r>
              <w:rPr>
                <w:rFonts w:hint="eastAsia" w:ascii="仿宋" w:hAnsi="仿宋" w:cs="仿宋"/>
                <w:color w:val="000000"/>
                <w:kern w:val="0"/>
                <w:sz w:val="24"/>
                <w:szCs w:val="24"/>
              </w:rPr>
              <w:t>2</w:t>
            </w:r>
          </w:p>
        </w:tc>
        <w:tc>
          <w:tcPr>
            <w:tcW w:w="1448" w:type="dxa"/>
            <w:tcBorders>
              <w:top w:val="nil"/>
              <w:left w:val="nil"/>
              <w:bottom w:val="single" w:color="auto" w:sz="4" w:space="0"/>
              <w:right w:val="single" w:color="auto" w:sz="4" w:space="0"/>
            </w:tcBorders>
            <w:shd w:val="clear" w:color="auto" w:fill="auto"/>
            <w:vAlign w:val="center"/>
          </w:tcPr>
          <w:p w14:paraId="08EE5634">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绥宁县老年养护中心二期</w:t>
            </w:r>
          </w:p>
        </w:tc>
        <w:tc>
          <w:tcPr>
            <w:tcW w:w="1331" w:type="dxa"/>
            <w:tcBorders>
              <w:top w:val="nil"/>
              <w:left w:val="nil"/>
              <w:bottom w:val="single" w:color="auto" w:sz="4" w:space="0"/>
              <w:right w:val="single" w:color="auto" w:sz="4" w:space="0"/>
            </w:tcBorders>
            <w:shd w:val="clear" w:color="auto" w:fill="auto"/>
            <w:vAlign w:val="center"/>
          </w:tcPr>
          <w:p w14:paraId="3C1D116F">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绥宁县民政局</w:t>
            </w:r>
          </w:p>
        </w:tc>
        <w:tc>
          <w:tcPr>
            <w:tcW w:w="861" w:type="dxa"/>
            <w:tcBorders>
              <w:top w:val="nil"/>
              <w:left w:val="nil"/>
              <w:bottom w:val="single" w:color="auto" w:sz="4" w:space="0"/>
              <w:right w:val="single" w:color="auto" w:sz="4" w:space="0"/>
            </w:tcBorders>
            <w:shd w:val="clear" w:color="auto" w:fill="auto"/>
            <w:vAlign w:val="center"/>
          </w:tcPr>
          <w:p w14:paraId="03DA6518">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新建</w:t>
            </w:r>
          </w:p>
        </w:tc>
        <w:tc>
          <w:tcPr>
            <w:tcW w:w="4184" w:type="dxa"/>
            <w:tcBorders>
              <w:top w:val="nil"/>
              <w:left w:val="nil"/>
              <w:bottom w:val="single" w:color="auto" w:sz="4" w:space="0"/>
              <w:right w:val="single" w:color="auto" w:sz="4" w:space="0"/>
            </w:tcBorders>
            <w:shd w:val="clear" w:color="auto" w:fill="auto"/>
            <w:vAlign w:val="center"/>
          </w:tcPr>
          <w:p w14:paraId="3D197C82">
            <w:pPr>
              <w:widowControl/>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老年养护大楼一栋和一处老年健身公园，内容包括五区一园一中心：居家养老区、全自理养老区、半失能养老区、全失能养老区、失智养老区、老年健身公园（老年养生文化园）和老年康复中心，以及老人生活居住娱乐等配套设施。总建筑面积20000平方米，床位数600张</w:t>
            </w:r>
          </w:p>
        </w:tc>
        <w:tc>
          <w:tcPr>
            <w:tcW w:w="1416" w:type="dxa"/>
            <w:tcBorders>
              <w:top w:val="nil"/>
              <w:left w:val="nil"/>
              <w:bottom w:val="single" w:color="auto" w:sz="4" w:space="0"/>
              <w:right w:val="single" w:color="auto" w:sz="4" w:space="0"/>
            </w:tcBorders>
            <w:shd w:val="clear" w:color="auto" w:fill="auto"/>
            <w:vAlign w:val="center"/>
          </w:tcPr>
          <w:p w14:paraId="319BE549">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2020-2024</w:t>
            </w:r>
          </w:p>
        </w:tc>
        <w:tc>
          <w:tcPr>
            <w:tcW w:w="989" w:type="dxa"/>
            <w:tcBorders>
              <w:top w:val="nil"/>
              <w:left w:val="nil"/>
              <w:bottom w:val="single" w:color="auto" w:sz="4" w:space="0"/>
              <w:right w:val="single" w:color="auto" w:sz="4" w:space="0"/>
            </w:tcBorders>
            <w:shd w:val="clear" w:color="auto" w:fill="auto"/>
            <w:vAlign w:val="center"/>
          </w:tcPr>
          <w:p w14:paraId="308CAB2A">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1573" w:type="dxa"/>
            <w:tcBorders>
              <w:top w:val="nil"/>
              <w:left w:val="nil"/>
              <w:bottom w:val="single" w:color="auto" w:sz="4" w:space="0"/>
              <w:right w:val="single" w:color="auto" w:sz="4" w:space="0"/>
            </w:tcBorders>
            <w:shd w:val="clear" w:color="auto" w:fill="auto"/>
            <w:vAlign w:val="center"/>
          </w:tcPr>
          <w:p w14:paraId="065868B9">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完成征地、可研、规划等前期工作</w:t>
            </w:r>
          </w:p>
        </w:tc>
        <w:tc>
          <w:tcPr>
            <w:tcW w:w="1223" w:type="dxa"/>
            <w:tcBorders>
              <w:top w:val="nil"/>
              <w:left w:val="nil"/>
              <w:bottom w:val="single" w:color="auto" w:sz="4" w:space="0"/>
              <w:right w:val="single" w:color="auto" w:sz="4" w:space="0"/>
            </w:tcBorders>
            <w:shd w:val="clear" w:color="auto" w:fill="auto"/>
            <w:vAlign w:val="center"/>
          </w:tcPr>
          <w:p w14:paraId="1EA76F3F">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972" w:type="dxa"/>
            <w:tcBorders>
              <w:top w:val="nil"/>
              <w:left w:val="nil"/>
              <w:bottom w:val="single" w:color="auto" w:sz="4" w:space="0"/>
              <w:right w:val="single" w:color="auto" w:sz="4" w:space="0"/>
            </w:tcBorders>
            <w:shd w:val="clear" w:color="auto" w:fill="auto"/>
            <w:vAlign w:val="center"/>
          </w:tcPr>
          <w:p w14:paraId="03291D38">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D760C47">
        <w:tblPrEx>
          <w:tblCellMar>
            <w:top w:w="0" w:type="dxa"/>
            <w:left w:w="108" w:type="dxa"/>
            <w:bottom w:w="0" w:type="dxa"/>
            <w:right w:w="108" w:type="dxa"/>
          </w:tblCellMar>
        </w:tblPrEx>
        <w:trPr>
          <w:trHeight w:val="1980" w:hRule="atLeast"/>
        </w:trPr>
        <w:tc>
          <w:tcPr>
            <w:tcW w:w="746" w:type="dxa"/>
            <w:tcBorders>
              <w:top w:val="nil"/>
              <w:left w:val="single" w:color="auto" w:sz="4" w:space="0"/>
              <w:bottom w:val="single" w:color="auto" w:sz="4" w:space="0"/>
              <w:right w:val="single" w:color="auto" w:sz="4" w:space="0"/>
            </w:tcBorders>
            <w:shd w:val="clear" w:color="auto" w:fill="auto"/>
            <w:vAlign w:val="center"/>
          </w:tcPr>
          <w:p w14:paraId="478D2337">
            <w:pPr>
              <w:widowControl/>
              <w:ind w:firstLine="0" w:firstLineChars="0"/>
              <w:jc w:val="center"/>
              <w:rPr>
                <w:rFonts w:ascii="仿宋" w:hAnsi="仿宋" w:cs="仿宋"/>
                <w:color w:val="000000"/>
                <w:kern w:val="0"/>
                <w:sz w:val="24"/>
                <w:szCs w:val="24"/>
              </w:rPr>
            </w:pPr>
            <w:r>
              <w:rPr>
                <w:rFonts w:hint="eastAsia" w:ascii="仿宋" w:hAnsi="仿宋" w:cs="仿宋"/>
                <w:color w:val="000000"/>
                <w:kern w:val="0"/>
                <w:sz w:val="24"/>
                <w:szCs w:val="24"/>
              </w:rPr>
              <w:t>3</w:t>
            </w:r>
          </w:p>
        </w:tc>
        <w:tc>
          <w:tcPr>
            <w:tcW w:w="1448" w:type="dxa"/>
            <w:tcBorders>
              <w:top w:val="nil"/>
              <w:left w:val="nil"/>
              <w:bottom w:val="single" w:color="auto" w:sz="4" w:space="0"/>
              <w:right w:val="single" w:color="auto" w:sz="4" w:space="0"/>
            </w:tcBorders>
            <w:shd w:val="clear" w:color="auto" w:fill="auto"/>
            <w:vAlign w:val="center"/>
          </w:tcPr>
          <w:p w14:paraId="54EA7735">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寨市中心敬老院</w:t>
            </w:r>
          </w:p>
        </w:tc>
        <w:tc>
          <w:tcPr>
            <w:tcW w:w="1331" w:type="dxa"/>
            <w:tcBorders>
              <w:top w:val="nil"/>
              <w:left w:val="nil"/>
              <w:bottom w:val="single" w:color="auto" w:sz="4" w:space="0"/>
              <w:right w:val="single" w:color="auto" w:sz="4" w:space="0"/>
            </w:tcBorders>
            <w:shd w:val="clear" w:color="auto" w:fill="auto"/>
            <w:vAlign w:val="center"/>
          </w:tcPr>
          <w:p w14:paraId="517E8E37">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寨市乡政府</w:t>
            </w:r>
          </w:p>
        </w:tc>
        <w:tc>
          <w:tcPr>
            <w:tcW w:w="861" w:type="dxa"/>
            <w:tcBorders>
              <w:top w:val="nil"/>
              <w:left w:val="nil"/>
              <w:bottom w:val="single" w:color="auto" w:sz="4" w:space="0"/>
              <w:right w:val="single" w:color="auto" w:sz="4" w:space="0"/>
            </w:tcBorders>
            <w:shd w:val="clear" w:color="auto" w:fill="auto"/>
            <w:vAlign w:val="center"/>
          </w:tcPr>
          <w:p w14:paraId="38BC9421">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新建</w:t>
            </w:r>
          </w:p>
        </w:tc>
        <w:tc>
          <w:tcPr>
            <w:tcW w:w="4184" w:type="dxa"/>
            <w:tcBorders>
              <w:top w:val="nil"/>
              <w:left w:val="nil"/>
              <w:bottom w:val="single" w:color="auto" w:sz="4" w:space="0"/>
              <w:right w:val="single" w:color="auto" w:sz="4" w:space="0"/>
            </w:tcBorders>
            <w:shd w:val="clear" w:color="auto" w:fill="auto"/>
            <w:vAlign w:val="center"/>
          </w:tcPr>
          <w:p w14:paraId="70919831">
            <w:pPr>
              <w:widowControl/>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寨市中心敬老院、负责绥宁县南片特困老人及社会老人集中养老和康复服务，内容包括老人宿舍、老人活动中心、康复中心、办公管护用房，以及老人生活居住娱乐等配套设施。总建筑面积4000平方米，床位150张</w:t>
            </w:r>
          </w:p>
        </w:tc>
        <w:tc>
          <w:tcPr>
            <w:tcW w:w="1416" w:type="dxa"/>
            <w:tcBorders>
              <w:top w:val="nil"/>
              <w:left w:val="nil"/>
              <w:bottom w:val="single" w:color="auto" w:sz="4" w:space="0"/>
              <w:right w:val="single" w:color="auto" w:sz="4" w:space="0"/>
            </w:tcBorders>
            <w:shd w:val="clear" w:color="auto" w:fill="auto"/>
            <w:vAlign w:val="center"/>
          </w:tcPr>
          <w:p w14:paraId="662A8524">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2020-2024</w:t>
            </w:r>
          </w:p>
        </w:tc>
        <w:tc>
          <w:tcPr>
            <w:tcW w:w="989" w:type="dxa"/>
            <w:tcBorders>
              <w:top w:val="nil"/>
              <w:left w:val="nil"/>
              <w:bottom w:val="single" w:color="auto" w:sz="4" w:space="0"/>
              <w:right w:val="single" w:color="auto" w:sz="4" w:space="0"/>
            </w:tcBorders>
            <w:shd w:val="clear" w:color="auto" w:fill="auto"/>
            <w:vAlign w:val="center"/>
          </w:tcPr>
          <w:p w14:paraId="1A69B60F">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1573" w:type="dxa"/>
            <w:tcBorders>
              <w:top w:val="nil"/>
              <w:left w:val="nil"/>
              <w:bottom w:val="single" w:color="auto" w:sz="4" w:space="0"/>
              <w:right w:val="single" w:color="auto" w:sz="4" w:space="0"/>
            </w:tcBorders>
            <w:shd w:val="clear" w:color="auto" w:fill="auto"/>
            <w:vAlign w:val="center"/>
          </w:tcPr>
          <w:p w14:paraId="261092F6">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完成项目选址</w:t>
            </w:r>
          </w:p>
        </w:tc>
        <w:tc>
          <w:tcPr>
            <w:tcW w:w="1223" w:type="dxa"/>
            <w:tcBorders>
              <w:top w:val="nil"/>
              <w:left w:val="nil"/>
              <w:bottom w:val="single" w:color="auto" w:sz="4" w:space="0"/>
              <w:right w:val="single" w:color="auto" w:sz="4" w:space="0"/>
            </w:tcBorders>
            <w:shd w:val="clear" w:color="auto" w:fill="auto"/>
            <w:vAlign w:val="center"/>
          </w:tcPr>
          <w:p w14:paraId="3A46239C">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972" w:type="dxa"/>
            <w:tcBorders>
              <w:top w:val="nil"/>
              <w:left w:val="nil"/>
              <w:bottom w:val="single" w:color="auto" w:sz="4" w:space="0"/>
              <w:right w:val="single" w:color="auto" w:sz="4" w:space="0"/>
            </w:tcBorders>
            <w:shd w:val="clear" w:color="auto" w:fill="auto"/>
            <w:vAlign w:val="center"/>
          </w:tcPr>
          <w:p w14:paraId="18D22CA0">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301E4E4">
        <w:tblPrEx>
          <w:tblCellMar>
            <w:top w:w="0" w:type="dxa"/>
            <w:left w:w="108" w:type="dxa"/>
            <w:bottom w:w="0" w:type="dxa"/>
            <w:right w:w="108" w:type="dxa"/>
          </w:tblCellMar>
        </w:tblPrEx>
        <w:trPr>
          <w:trHeight w:val="1935" w:hRule="atLeast"/>
        </w:trPr>
        <w:tc>
          <w:tcPr>
            <w:tcW w:w="746" w:type="dxa"/>
            <w:tcBorders>
              <w:top w:val="nil"/>
              <w:left w:val="single" w:color="auto" w:sz="4" w:space="0"/>
              <w:bottom w:val="single" w:color="auto" w:sz="4" w:space="0"/>
              <w:right w:val="single" w:color="auto" w:sz="4" w:space="0"/>
            </w:tcBorders>
            <w:shd w:val="clear" w:color="auto" w:fill="auto"/>
            <w:vAlign w:val="center"/>
          </w:tcPr>
          <w:p w14:paraId="1899AE7D">
            <w:pPr>
              <w:widowControl/>
              <w:ind w:firstLine="0" w:firstLineChars="0"/>
              <w:jc w:val="center"/>
              <w:rPr>
                <w:rFonts w:ascii="仿宋" w:hAnsi="仿宋" w:cs="仿宋"/>
                <w:color w:val="000000"/>
                <w:kern w:val="0"/>
                <w:sz w:val="24"/>
                <w:szCs w:val="24"/>
              </w:rPr>
            </w:pPr>
            <w:r>
              <w:rPr>
                <w:rFonts w:hint="eastAsia" w:ascii="仿宋" w:hAnsi="仿宋" w:cs="仿宋"/>
                <w:color w:val="000000"/>
                <w:kern w:val="0"/>
                <w:sz w:val="24"/>
                <w:szCs w:val="24"/>
              </w:rPr>
              <w:t>4</w:t>
            </w:r>
          </w:p>
        </w:tc>
        <w:tc>
          <w:tcPr>
            <w:tcW w:w="1448" w:type="dxa"/>
            <w:tcBorders>
              <w:top w:val="nil"/>
              <w:left w:val="nil"/>
              <w:bottom w:val="single" w:color="auto" w:sz="4" w:space="0"/>
              <w:right w:val="single" w:color="auto" w:sz="4" w:space="0"/>
            </w:tcBorders>
            <w:shd w:val="clear" w:color="auto" w:fill="auto"/>
            <w:vAlign w:val="center"/>
          </w:tcPr>
          <w:p w14:paraId="39542EEA">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武阳中心敬老院</w:t>
            </w:r>
          </w:p>
        </w:tc>
        <w:tc>
          <w:tcPr>
            <w:tcW w:w="1331" w:type="dxa"/>
            <w:tcBorders>
              <w:top w:val="nil"/>
              <w:left w:val="nil"/>
              <w:bottom w:val="single" w:color="auto" w:sz="4" w:space="0"/>
              <w:right w:val="single" w:color="auto" w:sz="4" w:space="0"/>
            </w:tcBorders>
            <w:shd w:val="clear" w:color="auto" w:fill="auto"/>
            <w:vAlign w:val="center"/>
          </w:tcPr>
          <w:p w14:paraId="1A7241C3">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武阳镇政府</w:t>
            </w:r>
          </w:p>
        </w:tc>
        <w:tc>
          <w:tcPr>
            <w:tcW w:w="861" w:type="dxa"/>
            <w:tcBorders>
              <w:top w:val="nil"/>
              <w:left w:val="nil"/>
              <w:bottom w:val="single" w:color="auto" w:sz="4" w:space="0"/>
              <w:right w:val="single" w:color="auto" w:sz="4" w:space="0"/>
            </w:tcBorders>
            <w:shd w:val="clear" w:color="auto" w:fill="auto"/>
            <w:vAlign w:val="center"/>
          </w:tcPr>
          <w:p w14:paraId="0ECB0177">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新建</w:t>
            </w:r>
          </w:p>
        </w:tc>
        <w:tc>
          <w:tcPr>
            <w:tcW w:w="4184" w:type="dxa"/>
            <w:tcBorders>
              <w:top w:val="nil"/>
              <w:left w:val="nil"/>
              <w:bottom w:val="single" w:color="auto" w:sz="4" w:space="0"/>
              <w:right w:val="single" w:color="auto" w:sz="4" w:space="0"/>
            </w:tcBorders>
            <w:shd w:val="clear" w:color="auto" w:fill="auto"/>
            <w:vAlign w:val="center"/>
          </w:tcPr>
          <w:p w14:paraId="5ADD54F2">
            <w:pPr>
              <w:widowControl/>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武阳中心敬老院、负责绥宁县南片特困老人及社会老人集中养老和康复服务，内容包括老人宿舍、老人活动中心、康复中心、办公管护用房，以及老人生活居住娱乐等配套设施。总建筑面积4000平方米，床位150张</w:t>
            </w:r>
          </w:p>
        </w:tc>
        <w:tc>
          <w:tcPr>
            <w:tcW w:w="1416" w:type="dxa"/>
            <w:tcBorders>
              <w:top w:val="nil"/>
              <w:left w:val="nil"/>
              <w:bottom w:val="single" w:color="auto" w:sz="4" w:space="0"/>
              <w:right w:val="single" w:color="auto" w:sz="4" w:space="0"/>
            </w:tcBorders>
            <w:shd w:val="clear" w:color="auto" w:fill="auto"/>
            <w:vAlign w:val="center"/>
          </w:tcPr>
          <w:p w14:paraId="753BDD2E">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2020-2024</w:t>
            </w:r>
          </w:p>
        </w:tc>
        <w:tc>
          <w:tcPr>
            <w:tcW w:w="989" w:type="dxa"/>
            <w:tcBorders>
              <w:top w:val="nil"/>
              <w:left w:val="nil"/>
              <w:bottom w:val="single" w:color="auto" w:sz="4" w:space="0"/>
              <w:right w:val="single" w:color="auto" w:sz="4" w:space="0"/>
            </w:tcBorders>
            <w:shd w:val="clear" w:color="auto" w:fill="auto"/>
            <w:vAlign w:val="center"/>
          </w:tcPr>
          <w:p w14:paraId="74DE0380">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1573" w:type="dxa"/>
            <w:tcBorders>
              <w:top w:val="nil"/>
              <w:left w:val="nil"/>
              <w:bottom w:val="single" w:color="auto" w:sz="4" w:space="0"/>
              <w:right w:val="single" w:color="auto" w:sz="4" w:space="0"/>
            </w:tcBorders>
            <w:shd w:val="clear" w:color="auto" w:fill="auto"/>
            <w:vAlign w:val="center"/>
          </w:tcPr>
          <w:p w14:paraId="2D119EE2">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完成项目选址</w:t>
            </w:r>
          </w:p>
        </w:tc>
        <w:tc>
          <w:tcPr>
            <w:tcW w:w="1223" w:type="dxa"/>
            <w:tcBorders>
              <w:top w:val="nil"/>
              <w:left w:val="nil"/>
              <w:bottom w:val="single" w:color="auto" w:sz="4" w:space="0"/>
              <w:right w:val="single" w:color="auto" w:sz="4" w:space="0"/>
            </w:tcBorders>
            <w:shd w:val="clear" w:color="auto" w:fill="auto"/>
            <w:vAlign w:val="center"/>
          </w:tcPr>
          <w:p w14:paraId="4D49EF8F">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972" w:type="dxa"/>
            <w:tcBorders>
              <w:top w:val="nil"/>
              <w:left w:val="nil"/>
              <w:bottom w:val="single" w:color="auto" w:sz="4" w:space="0"/>
              <w:right w:val="single" w:color="auto" w:sz="4" w:space="0"/>
            </w:tcBorders>
            <w:shd w:val="clear" w:color="auto" w:fill="auto"/>
            <w:vAlign w:val="center"/>
          </w:tcPr>
          <w:p w14:paraId="3541681B">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5D379D1">
        <w:tblPrEx>
          <w:tblCellMar>
            <w:top w:w="0" w:type="dxa"/>
            <w:left w:w="108" w:type="dxa"/>
            <w:bottom w:w="0" w:type="dxa"/>
            <w:right w:w="108" w:type="dxa"/>
          </w:tblCellMar>
        </w:tblPrEx>
        <w:trPr>
          <w:trHeight w:val="1935"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4A18E581">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48" w:type="dxa"/>
            <w:tcBorders>
              <w:top w:val="single" w:color="auto" w:sz="4" w:space="0"/>
              <w:left w:val="nil"/>
              <w:bottom w:val="single" w:color="auto" w:sz="4" w:space="0"/>
              <w:right w:val="single" w:color="auto" w:sz="4" w:space="0"/>
            </w:tcBorders>
            <w:shd w:val="clear" w:color="auto" w:fill="auto"/>
            <w:vAlign w:val="center"/>
          </w:tcPr>
          <w:p w14:paraId="73CCA666">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绥宁县社会救助站</w:t>
            </w:r>
          </w:p>
        </w:tc>
        <w:tc>
          <w:tcPr>
            <w:tcW w:w="1331" w:type="dxa"/>
            <w:tcBorders>
              <w:top w:val="single" w:color="auto" w:sz="4" w:space="0"/>
              <w:left w:val="nil"/>
              <w:bottom w:val="single" w:color="auto" w:sz="4" w:space="0"/>
              <w:right w:val="single" w:color="auto" w:sz="4" w:space="0"/>
            </w:tcBorders>
            <w:shd w:val="clear" w:color="auto" w:fill="auto"/>
            <w:vAlign w:val="center"/>
          </w:tcPr>
          <w:p w14:paraId="165735DB">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绥宁县民政局</w:t>
            </w:r>
          </w:p>
        </w:tc>
        <w:tc>
          <w:tcPr>
            <w:tcW w:w="861" w:type="dxa"/>
            <w:tcBorders>
              <w:top w:val="single" w:color="auto" w:sz="4" w:space="0"/>
              <w:left w:val="nil"/>
              <w:bottom w:val="single" w:color="auto" w:sz="4" w:space="0"/>
              <w:right w:val="single" w:color="auto" w:sz="4" w:space="0"/>
            </w:tcBorders>
            <w:shd w:val="clear" w:color="auto" w:fill="auto"/>
            <w:vAlign w:val="center"/>
          </w:tcPr>
          <w:p w14:paraId="4D7DAF47">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新建</w:t>
            </w:r>
          </w:p>
        </w:tc>
        <w:tc>
          <w:tcPr>
            <w:tcW w:w="4184" w:type="dxa"/>
            <w:tcBorders>
              <w:top w:val="single" w:color="auto" w:sz="4" w:space="0"/>
              <w:left w:val="nil"/>
              <w:bottom w:val="single" w:color="auto" w:sz="4" w:space="0"/>
              <w:right w:val="single" w:color="auto" w:sz="4" w:space="0"/>
            </w:tcBorders>
            <w:shd w:val="clear" w:color="auto" w:fill="auto"/>
            <w:vAlign w:val="center"/>
          </w:tcPr>
          <w:p w14:paraId="374827C7">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新建流浪乞讨人员的救助管理站，建筑面积1500平方米，床位15张</w:t>
            </w:r>
          </w:p>
        </w:tc>
        <w:tc>
          <w:tcPr>
            <w:tcW w:w="1416" w:type="dxa"/>
            <w:tcBorders>
              <w:top w:val="single" w:color="auto" w:sz="4" w:space="0"/>
              <w:left w:val="nil"/>
              <w:bottom w:val="single" w:color="auto" w:sz="4" w:space="0"/>
              <w:right w:val="single" w:color="auto" w:sz="4" w:space="0"/>
            </w:tcBorders>
            <w:shd w:val="clear" w:color="auto" w:fill="auto"/>
            <w:vAlign w:val="center"/>
          </w:tcPr>
          <w:p w14:paraId="282E763A">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2021—2023</w:t>
            </w:r>
          </w:p>
        </w:tc>
        <w:tc>
          <w:tcPr>
            <w:tcW w:w="989" w:type="dxa"/>
            <w:tcBorders>
              <w:top w:val="single" w:color="auto" w:sz="4" w:space="0"/>
              <w:left w:val="nil"/>
              <w:bottom w:val="single" w:color="auto" w:sz="4" w:space="0"/>
              <w:right w:val="single" w:color="auto" w:sz="4" w:space="0"/>
            </w:tcBorders>
            <w:shd w:val="clear" w:color="auto" w:fill="auto"/>
            <w:vAlign w:val="center"/>
          </w:tcPr>
          <w:p w14:paraId="61265A89">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300</w:t>
            </w:r>
          </w:p>
        </w:tc>
        <w:tc>
          <w:tcPr>
            <w:tcW w:w="1573" w:type="dxa"/>
            <w:tcBorders>
              <w:top w:val="single" w:color="auto" w:sz="4" w:space="0"/>
              <w:left w:val="nil"/>
              <w:bottom w:val="single" w:color="auto" w:sz="4" w:space="0"/>
              <w:right w:val="single" w:color="auto" w:sz="4" w:space="0"/>
            </w:tcBorders>
            <w:shd w:val="clear" w:color="auto" w:fill="auto"/>
            <w:vAlign w:val="center"/>
          </w:tcPr>
          <w:p w14:paraId="05608D74">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开展前期工作</w:t>
            </w:r>
          </w:p>
        </w:tc>
        <w:tc>
          <w:tcPr>
            <w:tcW w:w="1223" w:type="dxa"/>
            <w:tcBorders>
              <w:top w:val="single" w:color="auto" w:sz="4" w:space="0"/>
              <w:left w:val="nil"/>
              <w:bottom w:val="single" w:color="auto" w:sz="4" w:space="0"/>
              <w:right w:val="single" w:color="auto" w:sz="4" w:space="0"/>
            </w:tcBorders>
            <w:shd w:val="clear" w:color="auto" w:fill="auto"/>
            <w:vAlign w:val="center"/>
          </w:tcPr>
          <w:p w14:paraId="1D1FEDDF">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300</w:t>
            </w:r>
          </w:p>
        </w:tc>
        <w:tc>
          <w:tcPr>
            <w:tcW w:w="972" w:type="dxa"/>
            <w:tcBorders>
              <w:top w:val="single" w:color="auto" w:sz="4" w:space="0"/>
              <w:left w:val="nil"/>
              <w:bottom w:val="single" w:color="auto" w:sz="4" w:space="0"/>
              <w:right w:val="single" w:color="auto" w:sz="4" w:space="0"/>
            </w:tcBorders>
            <w:shd w:val="clear" w:color="auto" w:fill="auto"/>
            <w:vAlign w:val="center"/>
          </w:tcPr>
          <w:p w14:paraId="64267E90">
            <w:pPr>
              <w:widowControl/>
              <w:ind w:firstLine="0" w:firstLineChars="0"/>
              <w:jc w:val="center"/>
              <w:rPr>
                <w:rFonts w:ascii="宋体" w:hAnsi="宋体" w:eastAsia="宋体" w:cs="宋体"/>
                <w:color w:val="000000"/>
                <w:kern w:val="0"/>
                <w:sz w:val="24"/>
                <w:szCs w:val="24"/>
              </w:rPr>
            </w:pPr>
          </w:p>
        </w:tc>
      </w:tr>
      <w:tr w14:paraId="7A675DC8">
        <w:tblPrEx>
          <w:tblCellMar>
            <w:top w:w="0" w:type="dxa"/>
            <w:left w:w="108" w:type="dxa"/>
            <w:bottom w:w="0" w:type="dxa"/>
            <w:right w:w="108" w:type="dxa"/>
          </w:tblCellMar>
        </w:tblPrEx>
        <w:trPr>
          <w:trHeight w:val="1935"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654118E6">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48" w:type="dxa"/>
            <w:tcBorders>
              <w:top w:val="single" w:color="auto" w:sz="4" w:space="0"/>
              <w:left w:val="nil"/>
              <w:bottom w:val="single" w:color="auto" w:sz="4" w:space="0"/>
              <w:right w:val="single" w:color="auto" w:sz="4" w:space="0"/>
            </w:tcBorders>
            <w:shd w:val="clear" w:color="auto" w:fill="auto"/>
            <w:vAlign w:val="center"/>
          </w:tcPr>
          <w:p w14:paraId="523F234D">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绥宁县康养产业园</w:t>
            </w:r>
          </w:p>
        </w:tc>
        <w:tc>
          <w:tcPr>
            <w:tcW w:w="1331" w:type="dxa"/>
            <w:tcBorders>
              <w:top w:val="single" w:color="auto" w:sz="4" w:space="0"/>
              <w:left w:val="nil"/>
              <w:bottom w:val="single" w:color="auto" w:sz="4" w:space="0"/>
              <w:right w:val="single" w:color="auto" w:sz="4" w:space="0"/>
            </w:tcBorders>
            <w:shd w:val="clear" w:color="auto" w:fill="auto"/>
            <w:vAlign w:val="center"/>
          </w:tcPr>
          <w:p w14:paraId="34C41EF2">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绥宁县民政局</w:t>
            </w:r>
          </w:p>
        </w:tc>
        <w:tc>
          <w:tcPr>
            <w:tcW w:w="861" w:type="dxa"/>
            <w:tcBorders>
              <w:top w:val="single" w:color="auto" w:sz="4" w:space="0"/>
              <w:left w:val="nil"/>
              <w:bottom w:val="single" w:color="auto" w:sz="4" w:space="0"/>
              <w:right w:val="single" w:color="auto" w:sz="4" w:space="0"/>
            </w:tcBorders>
            <w:shd w:val="clear" w:color="auto" w:fill="auto"/>
            <w:vAlign w:val="center"/>
          </w:tcPr>
          <w:p w14:paraId="62D9AC5A">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新建</w:t>
            </w:r>
          </w:p>
        </w:tc>
        <w:tc>
          <w:tcPr>
            <w:tcW w:w="4184" w:type="dxa"/>
            <w:tcBorders>
              <w:top w:val="single" w:color="auto" w:sz="4" w:space="0"/>
              <w:left w:val="nil"/>
              <w:bottom w:val="single" w:color="auto" w:sz="4" w:space="0"/>
              <w:right w:val="single" w:color="auto" w:sz="4" w:space="0"/>
            </w:tcBorders>
            <w:shd w:val="clear" w:color="auto" w:fill="auto"/>
            <w:vAlign w:val="center"/>
          </w:tcPr>
          <w:p w14:paraId="49FD02D0">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一期旅居园工程，规划用地100亩，计划投资1亿元；二期健康服务区（共享农庄），规划用地200亩计划投资3亿元；三期孵化园区项目，规划用地200亩，计划投资3亿元。</w:t>
            </w:r>
          </w:p>
        </w:tc>
        <w:tc>
          <w:tcPr>
            <w:tcW w:w="1416" w:type="dxa"/>
            <w:tcBorders>
              <w:top w:val="single" w:color="auto" w:sz="4" w:space="0"/>
              <w:left w:val="nil"/>
              <w:bottom w:val="single" w:color="auto" w:sz="4" w:space="0"/>
              <w:right w:val="single" w:color="auto" w:sz="4" w:space="0"/>
            </w:tcBorders>
            <w:shd w:val="clear" w:color="auto" w:fill="auto"/>
            <w:vAlign w:val="center"/>
          </w:tcPr>
          <w:p w14:paraId="08E04616">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2021-2025</w:t>
            </w:r>
          </w:p>
        </w:tc>
        <w:tc>
          <w:tcPr>
            <w:tcW w:w="989" w:type="dxa"/>
            <w:tcBorders>
              <w:top w:val="single" w:color="auto" w:sz="4" w:space="0"/>
              <w:left w:val="nil"/>
              <w:bottom w:val="single" w:color="auto" w:sz="4" w:space="0"/>
              <w:right w:val="single" w:color="auto" w:sz="4" w:space="0"/>
            </w:tcBorders>
            <w:shd w:val="clear" w:color="auto" w:fill="auto"/>
            <w:vAlign w:val="center"/>
          </w:tcPr>
          <w:p w14:paraId="750170CE">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70000</w:t>
            </w:r>
          </w:p>
        </w:tc>
        <w:tc>
          <w:tcPr>
            <w:tcW w:w="1573" w:type="dxa"/>
            <w:tcBorders>
              <w:top w:val="single" w:color="auto" w:sz="4" w:space="0"/>
              <w:left w:val="nil"/>
              <w:bottom w:val="single" w:color="auto" w:sz="4" w:space="0"/>
              <w:right w:val="single" w:color="auto" w:sz="4" w:space="0"/>
            </w:tcBorders>
            <w:shd w:val="clear" w:color="auto" w:fill="auto"/>
            <w:vAlign w:val="center"/>
          </w:tcPr>
          <w:p w14:paraId="243A219C">
            <w:pPr>
              <w:widowControl/>
              <w:ind w:firstLine="0" w:firstLineChars="0"/>
              <w:jc w:val="center"/>
              <w:rPr>
                <w:rFonts w:ascii="宋体" w:hAnsi="宋体" w:eastAsia="宋体" w:cs="宋体"/>
                <w:color w:val="000000"/>
                <w:kern w:val="0"/>
                <w:sz w:val="24"/>
                <w:szCs w:val="24"/>
              </w:rPr>
            </w:pPr>
          </w:p>
        </w:tc>
        <w:tc>
          <w:tcPr>
            <w:tcW w:w="1223" w:type="dxa"/>
            <w:tcBorders>
              <w:top w:val="single" w:color="auto" w:sz="4" w:space="0"/>
              <w:left w:val="nil"/>
              <w:bottom w:val="single" w:color="auto" w:sz="4" w:space="0"/>
              <w:right w:val="single" w:color="auto" w:sz="4" w:space="0"/>
            </w:tcBorders>
            <w:shd w:val="clear" w:color="auto" w:fill="auto"/>
            <w:vAlign w:val="center"/>
          </w:tcPr>
          <w:p w14:paraId="1A0FEE6E">
            <w:pPr>
              <w:widowControl/>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70000</w:t>
            </w:r>
          </w:p>
        </w:tc>
        <w:tc>
          <w:tcPr>
            <w:tcW w:w="972" w:type="dxa"/>
            <w:tcBorders>
              <w:top w:val="single" w:color="auto" w:sz="4" w:space="0"/>
              <w:left w:val="nil"/>
              <w:bottom w:val="single" w:color="auto" w:sz="4" w:space="0"/>
              <w:right w:val="single" w:color="auto" w:sz="4" w:space="0"/>
            </w:tcBorders>
            <w:shd w:val="clear" w:color="auto" w:fill="auto"/>
            <w:vAlign w:val="center"/>
          </w:tcPr>
          <w:p w14:paraId="339A27DD">
            <w:pPr>
              <w:widowControl/>
              <w:ind w:firstLine="0" w:firstLineChars="0"/>
              <w:jc w:val="center"/>
              <w:rPr>
                <w:rFonts w:ascii="宋体" w:hAnsi="宋体" w:eastAsia="宋体" w:cs="宋体"/>
                <w:color w:val="000000"/>
                <w:kern w:val="0"/>
                <w:sz w:val="24"/>
                <w:szCs w:val="24"/>
              </w:rPr>
            </w:pPr>
          </w:p>
        </w:tc>
      </w:tr>
    </w:tbl>
    <w:p w14:paraId="4AF572A5">
      <w:pPr>
        <w:ind w:firstLine="640"/>
        <w:rPr>
          <w:rFonts w:ascii="仿宋" w:hAnsi="仿宋" w:cs="仿宋"/>
          <w:kern w:val="0"/>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aiTi_GB2312">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36973"/>
    </w:sdtPr>
    <w:sdtContent>
      <w:p w14:paraId="17C773B8">
        <w:pPr>
          <w:pStyle w:val="10"/>
          <w:ind w:firstLine="360"/>
          <w:jc w:val="center"/>
          <w:rPr>
            <w:rFonts w:hint="eastAsia"/>
          </w:rPr>
        </w:pPr>
        <w:r>
          <w:fldChar w:fldCharType="begin"/>
        </w:r>
        <w:r>
          <w:instrText xml:space="preserve"> PAGE   \* MERGEFORMAT </w:instrText>
        </w:r>
        <w:r>
          <w:fldChar w:fldCharType="separate"/>
        </w:r>
        <w:r>
          <w:rPr>
            <w:rFonts w:hint="eastAsia"/>
            <w:lang w:val="zh-CN"/>
          </w:rPr>
          <w:t>44</w:t>
        </w:r>
        <w:r>
          <w:rPr>
            <w:lang w:val="zh-CN"/>
          </w:rPr>
          <w:fldChar w:fldCharType="end"/>
        </w:r>
      </w:p>
    </w:sdtContent>
  </w:sdt>
  <w:p w14:paraId="2A82965B">
    <w:pPr>
      <w:pStyle w:val="10"/>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21C3">
    <w:pPr>
      <w:pStyle w:val="10"/>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B198">
    <w:pPr>
      <w:pStyle w:val="10"/>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91C2">
    <w:pPr>
      <w:ind w:left="60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3B70">
    <w:pPr>
      <w:pStyle w:val="11"/>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8D202">
    <w:pPr>
      <w:pStyle w:val="11"/>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MWJlNzJlZDkwODIzMDI0YjBjNmVhZDlmMDljNWQifQ=="/>
  </w:docVars>
  <w:rsids>
    <w:rsidRoot w:val="004073D9"/>
    <w:rsid w:val="00023574"/>
    <w:rsid w:val="000601C8"/>
    <w:rsid w:val="000646A8"/>
    <w:rsid w:val="000A5E1B"/>
    <w:rsid w:val="00121039"/>
    <w:rsid w:val="00122086"/>
    <w:rsid w:val="001520F6"/>
    <w:rsid w:val="00205DF6"/>
    <w:rsid w:val="00242B08"/>
    <w:rsid w:val="002A13C6"/>
    <w:rsid w:val="0035566C"/>
    <w:rsid w:val="00363A7C"/>
    <w:rsid w:val="003857C4"/>
    <w:rsid w:val="003955FF"/>
    <w:rsid w:val="004073D9"/>
    <w:rsid w:val="004470E6"/>
    <w:rsid w:val="00472A5F"/>
    <w:rsid w:val="0049510A"/>
    <w:rsid w:val="004D6BC4"/>
    <w:rsid w:val="00602131"/>
    <w:rsid w:val="00636AF6"/>
    <w:rsid w:val="00667F86"/>
    <w:rsid w:val="006E1EF8"/>
    <w:rsid w:val="00717365"/>
    <w:rsid w:val="00725D15"/>
    <w:rsid w:val="007620DB"/>
    <w:rsid w:val="00821F32"/>
    <w:rsid w:val="008E4A01"/>
    <w:rsid w:val="00946F8F"/>
    <w:rsid w:val="00947FC7"/>
    <w:rsid w:val="00950538"/>
    <w:rsid w:val="00984F8D"/>
    <w:rsid w:val="009A2CBE"/>
    <w:rsid w:val="009D00E1"/>
    <w:rsid w:val="00A83596"/>
    <w:rsid w:val="00A945D7"/>
    <w:rsid w:val="00B26BF2"/>
    <w:rsid w:val="00B332B4"/>
    <w:rsid w:val="00B54079"/>
    <w:rsid w:val="00B600A4"/>
    <w:rsid w:val="00BA2188"/>
    <w:rsid w:val="00BC0520"/>
    <w:rsid w:val="00BF0F68"/>
    <w:rsid w:val="00C35444"/>
    <w:rsid w:val="00C42537"/>
    <w:rsid w:val="00CA3E75"/>
    <w:rsid w:val="00CD0E92"/>
    <w:rsid w:val="00D320BA"/>
    <w:rsid w:val="00E132D7"/>
    <w:rsid w:val="00E8233D"/>
    <w:rsid w:val="00EE4D48"/>
    <w:rsid w:val="00FF69D4"/>
    <w:rsid w:val="02CF5BBF"/>
    <w:rsid w:val="02EA03C6"/>
    <w:rsid w:val="03636DCE"/>
    <w:rsid w:val="03804329"/>
    <w:rsid w:val="049E34AF"/>
    <w:rsid w:val="06233602"/>
    <w:rsid w:val="06477931"/>
    <w:rsid w:val="068D3DD6"/>
    <w:rsid w:val="0A027E72"/>
    <w:rsid w:val="0B810B7C"/>
    <w:rsid w:val="0BE279B6"/>
    <w:rsid w:val="0D0D7378"/>
    <w:rsid w:val="0D554801"/>
    <w:rsid w:val="0E2F0329"/>
    <w:rsid w:val="0E405E9A"/>
    <w:rsid w:val="0F9C0176"/>
    <w:rsid w:val="0FA67E37"/>
    <w:rsid w:val="11F739D4"/>
    <w:rsid w:val="122355D6"/>
    <w:rsid w:val="12457A77"/>
    <w:rsid w:val="12542EBE"/>
    <w:rsid w:val="15400297"/>
    <w:rsid w:val="15927568"/>
    <w:rsid w:val="16C833B5"/>
    <w:rsid w:val="17AA60BF"/>
    <w:rsid w:val="18883242"/>
    <w:rsid w:val="18B030A6"/>
    <w:rsid w:val="18E15DD6"/>
    <w:rsid w:val="1B6B4311"/>
    <w:rsid w:val="1C2D6207"/>
    <w:rsid w:val="1CB01421"/>
    <w:rsid w:val="1CDC6D4A"/>
    <w:rsid w:val="1E775F6F"/>
    <w:rsid w:val="2014701E"/>
    <w:rsid w:val="204A6AF8"/>
    <w:rsid w:val="21F91319"/>
    <w:rsid w:val="237E294D"/>
    <w:rsid w:val="24E22690"/>
    <w:rsid w:val="25BF5E48"/>
    <w:rsid w:val="2A092B0D"/>
    <w:rsid w:val="2AF20725"/>
    <w:rsid w:val="2DB0437A"/>
    <w:rsid w:val="2E364F8D"/>
    <w:rsid w:val="2E444F53"/>
    <w:rsid w:val="2E977DA3"/>
    <w:rsid w:val="2F6A4398"/>
    <w:rsid w:val="2FF40E22"/>
    <w:rsid w:val="348C1B3E"/>
    <w:rsid w:val="34C07DD8"/>
    <w:rsid w:val="356A622C"/>
    <w:rsid w:val="36507671"/>
    <w:rsid w:val="378261AC"/>
    <w:rsid w:val="37911414"/>
    <w:rsid w:val="39003811"/>
    <w:rsid w:val="395507BC"/>
    <w:rsid w:val="397C51E7"/>
    <w:rsid w:val="3A2F5B44"/>
    <w:rsid w:val="3A6442AD"/>
    <w:rsid w:val="3DEC1BEC"/>
    <w:rsid w:val="40A83BE9"/>
    <w:rsid w:val="449F2D8E"/>
    <w:rsid w:val="4789414E"/>
    <w:rsid w:val="483A6532"/>
    <w:rsid w:val="48B16EB8"/>
    <w:rsid w:val="48E572CE"/>
    <w:rsid w:val="4BD439B7"/>
    <w:rsid w:val="4BF661CC"/>
    <w:rsid w:val="4DC03A85"/>
    <w:rsid w:val="4DC6389A"/>
    <w:rsid w:val="50290DA7"/>
    <w:rsid w:val="515C2DD0"/>
    <w:rsid w:val="53323CE5"/>
    <w:rsid w:val="5456642E"/>
    <w:rsid w:val="55B6770F"/>
    <w:rsid w:val="55F1109C"/>
    <w:rsid w:val="564947AB"/>
    <w:rsid w:val="57C00F57"/>
    <w:rsid w:val="5B1A3E67"/>
    <w:rsid w:val="5CBE5F73"/>
    <w:rsid w:val="5F237F28"/>
    <w:rsid w:val="5F4C042C"/>
    <w:rsid w:val="603360D2"/>
    <w:rsid w:val="61A048ED"/>
    <w:rsid w:val="630007A8"/>
    <w:rsid w:val="63084159"/>
    <w:rsid w:val="644B5750"/>
    <w:rsid w:val="64A966D7"/>
    <w:rsid w:val="664F1DED"/>
    <w:rsid w:val="67FA50BB"/>
    <w:rsid w:val="6A7B00B5"/>
    <w:rsid w:val="6A947728"/>
    <w:rsid w:val="6AE82130"/>
    <w:rsid w:val="6C0234A2"/>
    <w:rsid w:val="6C76065F"/>
    <w:rsid w:val="6D1639DD"/>
    <w:rsid w:val="6D480632"/>
    <w:rsid w:val="6F574D5A"/>
    <w:rsid w:val="71830CB5"/>
    <w:rsid w:val="72C62A6A"/>
    <w:rsid w:val="75191872"/>
    <w:rsid w:val="75E52221"/>
    <w:rsid w:val="76404611"/>
    <w:rsid w:val="766212F5"/>
    <w:rsid w:val="7828385A"/>
    <w:rsid w:val="78F9378E"/>
    <w:rsid w:val="79E2475A"/>
    <w:rsid w:val="7A1A5F04"/>
    <w:rsid w:val="7BA67F0B"/>
    <w:rsid w:val="7BD52676"/>
    <w:rsid w:val="7C421396"/>
    <w:rsid w:val="7C521CC5"/>
    <w:rsid w:val="7CE8094A"/>
    <w:rsid w:val="7D0973B5"/>
    <w:rsid w:val="7D9629C7"/>
    <w:rsid w:val="7F9C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仿宋" w:cs="Times New Roman"/>
      <w:kern w:val="2"/>
      <w:sz w:val="30"/>
      <w:szCs w:val="22"/>
      <w:lang w:val="en-US" w:eastAsia="zh-CN" w:bidi="ar-SA"/>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paragraph" w:styleId="6">
    <w:name w:val="Document Map"/>
    <w:basedOn w:val="1"/>
    <w:link w:val="19"/>
    <w:semiHidden/>
    <w:unhideWhenUsed/>
    <w:qFormat/>
    <w:uiPriority w:val="99"/>
    <w:rPr>
      <w:rFonts w:ascii="宋体"/>
      <w:sz w:val="18"/>
      <w:szCs w:val="18"/>
    </w:rPr>
  </w:style>
  <w:style w:type="paragraph" w:styleId="7">
    <w:name w:val="Body Text Indent"/>
    <w:unhideWhenUsed/>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8">
    <w:name w:val="toc 3"/>
    <w:basedOn w:val="1"/>
    <w:next w:val="1"/>
    <w:unhideWhenUsed/>
    <w:qFormat/>
    <w:uiPriority w:val="39"/>
    <w:pPr>
      <w:spacing w:line="360" w:lineRule="auto"/>
      <w:ind w:left="840" w:leftChars="400" w:firstLine="0" w:firstLineChars="0"/>
    </w:pPr>
    <w:rPr>
      <w:rFonts w:asciiTheme="minorHAnsi" w:hAnsiTheme="minorHAnsi" w:eastAsiaTheme="minorEastAsia" w:cstheme="minorBidi"/>
      <w:sz w:val="28"/>
    </w:rPr>
  </w:style>
  <w:style w:type="paragraph" w:styleId="9">
    <w:name w:val="Balloon Text"/>
    <w:basedOn w:val="1"/>
    <w:link w:val="25"/>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tabs>
        <w:tab w:val="right" w:leader="dot" w:pos="8296"/>
      </w:tabs>
      <w:spacing w:line="360" w:lineRule="auto"/>
      <w:ind w:left="420" w:leftChars="200" w:firstLine="0" w:firstLineChars="0"/>
    </w:pPr>
    <w:rPr>
      <w:rFonts w:asciiTheme="minorHAnsi" w:hAnsiTheme="minorHAnsi" w:eastAsiaTheme="minorEastAsia" w:cstheme="minorBidi"/>
      <w:sz w:val="2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Emphasis"/>
    <w:basedOn w:val="15"/>
    <w:qFormat/>
    <w:uiPriority w:val="20"/>
    <w:rPr>
      <w:i/>
      <w:iCs/>
    </w:rPr>
  </w:style>
  <w:style w:type="character" w:styleId="17">
    <w:name w:val="Hyperlink"/>
    <w:basedOn w:val="15"/>
    <w:unhideWhenUsed/>
    <w:qFormat/>
    <w:uiPriority w:val="99"/>
    <w:rPr>
      <w:color w:val="333333"/>
      <w:u w:val="none"/>
    </w:rPr>
  </w:style>
  <w:style w:type="character" w:customStyle="1" w:styleId="18">
    <w:name w:val="apple-converted-space"/>
    <w:basedOn w:val="15"/>
    <w:qFormat/>
    <w:uiPriority w:val="0"/>
  </w:style>
  <w:style w:type="character" w:customStyle="1" w:styleId="19">
    <w:name w:val="文档结构图 Char"/>
    <w:basedOn w:val="15"/>
    <w:link w:val="6"/>
    <w:semiHidden/>
    <w:qFormat/>
    <w:uiPriority w:val="99"/>
    <w:rPr>
      <w:rFonts w:ascii="宋体"/>
      <w:kern w:val="2"/>
      <w:sz w:val="18"/>
      <w:szCs w:val="18"/>
    </w:rPr>
  </w:style>
  <w:style w:type="character" w:customStyle="1" w:styleId="20">
    <w:name w:val="页眉 Char"/>
    <w:basedOn w:val="15"/>
    <w:link w:val="11"/>
    <w:semiHidden/>
    <w:qFormat/>
    <w:uiPriority w:val="99"/>
    <w:rPr>
      <w:kern w:val="2"/>
      <w:sz w:val="18"/>
      <w:szCs w:val="18"/>
    </w:rPr>
  </w:style>
  <w:style w:type="character" w:customStyle="1" w:styleId="21">
    <w:name w:val="页脚 Char"/>
    <w:basedOn w:val="15"/>
    <w:link w:val="10"/>
    <w:qFormat/>
    <w:uiPriority w:val="99"/>
    <w:rPr>
      <w:kern w:val="2"/>
      <w:sz w:val="18"/>
      <w:szCs w:val="18"/>
    </w:rPr>
  </w:style>
  <w:style w:type="character" w:customStyle="1" w:styleId="22">
    <w:name w:val="标题 2 Char"/>
    <w:basedOn w:val="15"/>
    <w:link w:val="3"/>
    <w:qFormat/>
    <w:uiPriority w:val="9"/>
    <w:rPr>
      <w:rFonts w:asciiTheme="majorHAnsi" w:hAnsiTheme="majorHAnsi" w:eastAsiaTheme="majorEastAsia" w:cstheme="majorBidi"/>
      <w:b/>
      <w:bCs/>
      <w:kern w:val="2"/>
      <w:sz w:val="32"/>
      <w:szCs w:val="32"/>
    </w:rPr>
  </w:style>
  <w:style w:type="character" w:customStyle="1" w:styleId="23">
    <w:name w:val="标题 3 Char"/>
    <w:basedOn w:val="15"/>
    <w:link w:val="4"/>
    <w:qFormat/>
    <w:uiPriority w:val="9"/>
    <w:rPr>
      <w:b/>
      <w:bCs/>
      <w:kern w:val="2"/>
      <w:sz w:val="32"/>
      <w:szCs w:val="32"/>
    </w:rPr>
  </w:style>
  <w:style w:type="character" w:customStyle="1" w:styleId="24">
    <w:name w:val="标题 4 Char"/>
    <w:basedOn w:val="15"/>
    <w:link w:val="5"/>
    <w:qFormat/>
    <w:uiPriority w:val="9"/>
    <w:rPr>
      <w:rFonts w:asciiTheme="majorHAnsi" w:hAnsiTheme="majorHAnsi" w:eastAsiaTheme="majorEastAsia" w:cstheme="majorBidi"/>
      <w:b/>
      <w:bCs/>
      <w:kern w:val="2"/>
      <w:sz w:val="28"/>
      <w:szCs w:val="28"/>
    </w:rPr>
  </w:style>
  <w:style w:type="character" w:customStyle="1" w:styleId="25">
    <w:name w:val="批注框文本 Char"/>
    <w:basedOn w:val="15"/>
    <w:link w:val="9"/>
    <w:semiHidden/>
    <w:qFormat/>
    <w:uiPriority w:val="99"/>
    <w:rPr>
      <w:rFonts w:eastAsia="仿宋"/>
      <w:kern w:val="2"/>
      <w:sz w:val="18"/>
      <w:szCs w:val="18"/>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A223-0FB2-40C7-9498-154EFEFA5506}">
  <ds:schemaRefs/>
</ds:datastoreItem>
</file>

<file path=docProps/app.xml><?xml version="1.0" encoding="utf-8"?>
<Properties xmlns="http://schemas.openxmlformats.org/officeDocument/2006/extended-properties" xmlns:vt="http://schemas.openxmlformats.org/officeDocument/2006/docPropsVTypes">
  <Template>Normal</Template>
  <Pages>44</Pages>
  <Words>5211</Words>
  <Characters>5538</Characters>
  <Lines>20</Lines>
  <Paragraphs>45</Paragraphs>
  <TotalTime>10</TotalTime>
  <ScaleCrop>false</ScaleCrop>
  <LinksUpToDate>false</LinksUpToDate>
  <CharactersWithSpaces>5727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2020-08-09T23:27:00Z</dcterms:created>
  <dc:creator>lenovo</dc:creator>
  <cp:lastModifiedBy>随风而起</cp:lastModifiedBy>
  <dcterms:modified xsi:type="dcterms:W3CDTF">2025-01-08T09:35:51Z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547C4BA0ABBB4C66B5F299FFABDACC7B_13</vt:lpwstr>
  </property>
  <property fmtid="{D5CDD505-2E9C-101B-9397-08002B2CF9AE}" pid="4" name="KSOTemplateDocerSaveRecord">
    <vt:lpwstr>eyJoZGlkIjoiMzUyMGJjZGJkYTMxNmM2MGVkODM5NTNmZjk2YzllNDIiLCJ1c2VySWQiOiIyNzg1MzQ3NzgifQ==</vt:lpwstr>
  </property>
</Properties>
</file>