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solid" w:color="FFFFFF" w:fill="auto"/>
        <w:autoSpaceDN w:val="0"/>
        <w:spacing w:line="560" w:lineRule="atLeast"/>
        <w:jc w:val="center"/>
        <w:rPr>
          <w:rFonts w:hint="eastAsia" w:ascii="黑体" w:hAnsi="黑体" w:eastAsia="黑体" w:cs="宋体"/>
          <w:b/>
          <w:bCs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bCs/>
          <w:kern w:val="0"/>
          <w:sz w:val="36"/>
          <w:szCs w:val="36"/>
          <w:lang w:val="en-US" w:eastAsia="zh-CN"/>
        </w:rPr>
        <w:t>2022年度</w:t>
      </w:r>
      <w:r>
        <w:rPr>
          <w:rFonts w:hint="eastAsia" w:ascii="黑体" w:hAnsi="黑体" w:eastAsia="黑体" w:cs="宋体"/>
          <w:b/>
          <w:bCs/>
          <w:kern w:val="0"/>
          <w:sz w:val="36"/>
          <w:szCs w:val="36"/>
          <w:lang w:eastAsia="zh-CN"/>
        </w:rPr>
        <w:t>古树名木责任保险</w:t>
      </w:r>
      <w:r>
        <w:rPr>
          <w:rFonts w:hint="eastAsia" w:ascii="黑体" w:hAnsi="黑体" w:eastAsia="黑体" w:cs="宋体"/>
          <w:b/>
          <w:bCs/>
          <w:kern w:val="0"/>
          <w:sz w:val="36"/>
          <w:szCs w:val="36"/>
        </w:rPr>
        <w:t>资金绩效自评价报告</w:t>
      </w:r>
    </w:p>
    <w:p>
      <w:pPr>
        <w:shd w:val="solid" w:color="FFFFFF" w:fill="auto"/>
        <w:autoSpaceDN w:val="0"/>
        <w:spacing w:line="560" w:lineRule="atLeast"/>
        <w:ind w:firstLine="585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lang w:eastAsia="zh-CN"/>
        </w:rPr>
        <w:t>绥宁县林业局</w:t>
      </w:r>
    </w:p>
    <w:p>
      <w:pPr>
        <w:shd w:val="solid" w:color="FFFFFF" w:fill="auto"/>
        <w:autoSpaceDN w:val="0"/>
        <w:spacing w:line="560" w:lineRule="atLeast"/>
        <w:ind w:firstLine="585"/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lang w:val="en-US" w:eastAsia="zh-CN"/>
        </w:rPr>
        <w:t>2023年4月13日）</w:t>
      </w:r>
    </w:p>
    <w:p>
      <w:pPr>
        <w:shd w:val="solid" w:color="FFFFFF" w:fill="auto"/>
        <w:autoSpaceDN w:val="0"/>
        <w:spacing w:line="540" w:lineRule="exact"/>
        <w:rPr>
          <w:rStyle w:val="5"/>
          <w:rFonts w:hint="eastAsia" w:ascii="仿宋" w:hAnsi="仿宋" w:eastAsia="仿宋" w:cs="仿宋"/>
          <w:b/>
          <w:bCs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b/>
          <w:bCs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一、绩效目标分解下达情况</w:t>
      </w:r>
    </w:p>
    <w:p>
      <w:pPr>
        <w:shd w:val="solid" w:color="FFFFFF" w:fill="auto"/>
        <w:autoSpaceDN w:val="0"/>
        <w:spacing w:line="540" w:lineRule="exact"/>
        <w:ind w:firstLine="585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资金指标下达情况；</w:t>
      </w:r>
    </w:p>
    <w:p>
      <w:pPr>
        <w:shd w:val="solid" w:color="FFFFFF" w:fill="auto"/>
        <w:autoSpaceDN w:val="0"/>
        <w:spacing w:line="540" w:lineRule="exact"/>
        <w:ind w:firstLine="585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根据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绥财预【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】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0001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号)文件精神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，预下达给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县林业局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古树名木保险资金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12万</w:t>
      </w:r>
      <w:bookmarkStart w:id="0" w:name="_GoBack"/>
      <w:bookmarkEnd w:id="0"/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元，为全县古树4800株购买责任保险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shd w:val="solid" w:color="FFFFFF" w:fill="auto"/>
        <w:autoSpaceDN w:val="0"/>
        <w:spacing w:line="540" w:lineRule="exact"/>
        <w:ind w:firstLine="585"/>
        <w:rPr>
          <w:rFonts w:hint="eastAsia" w:ascii="仿宋" w:hAnsi="仿宋" w:eastAsia="仿宋" w:cs="仿宋"/>
          <w:spacing w:val="1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10"/>
          <w:sz w:val="30"/>
          <w:szCs w:val="30"/>
        </w:rPr>
        <w:t>资金项目绩效目标设定情况</w:t>
      </w:r>
      <w:r>
        <w:rPr>
          <w:rFonts w:hint="eastAsia" w:ascii="仿宋" w:hAnsi="仿宋" w:eastAsia="仿宋" w:cs="仿宋"/>
          <w:spacing w:val="10"/>
          <w:sz w:val="30"/>
          <w:szCs w:val="30"/>
          <w:lang w:eastAsia="zh-CN"/>
        </w:rPr>
        <w:t>；</w:t>
      </w:r>
    </w:p>
    <w:p>
      <w:pPr>
        <w:numPr>
          <w:ilvl w:val="0"/>
          <w:numId w:val="1"/>
        </w:numPr>
        <w:shd w:val="solid" w:color="FFFFFF" w:fill="auto"/>
        <w:autoSpaceDN w:val="0"/>
        <w:spacing w:line="540" w:lineRule="exact"/>
        <w:ind w:firstLine="585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古树保险项目分布在东山乡、鹅公乡、乐安乡、麻塘乡、寨市乡、河口乡、长铺子乡、关峡乡、武阳镇、红岩镇、李熙桥镇、唐家坊镇、黄土矿乡13个乡镇；保险树33个科59个属71种共计4800株，其中:一级31株、二级376株、三级4393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b/>
          <w:bCs/>
          <w:spacing w:val="10"/>
          <w:sz w:val="30"/>
          <w:szCs w:val="30"/>
        </w:rPr>
      </w:pPr>
      <w:r>
        <w:rPr>
          <w:rStyle w:val="5"/>
          <w:rFonts w:hint="eastAsia" w:ascii="仿宋" w:hAnsi="仿宋" w:eastAsia="仿宋" w:cs="仿宋"/>
          <w:b/>
          <w:bCs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仿宋" w:hAnsi="仿宋" w:eastAsia="仿宋" w:cs="仿宋"/>
          <w:b/>
          <w:bCs/>
          <w:spacing w:val="10"/>
          <w:sz w:val="30"/>
          <w:szCs w:val="30"/>
        </w:rPr>
        <w:t>绩效自评工作开展情况</w:t>
      </w:r>
    </w:p>
    <w:p>
      <w:pPr>
        <w:shd w:val="solid" w:color="FFFFFF" w:fill="auto"/>
        <w:autoSpaceDN w:val="0"/>
        <w:spacing w:line="540" w:lineRule="exact"/>
        <w:ind w:firstLine="64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古树名木，是我国林木资源中的瑰宝，也是自然界和前人留下的珍贵遗产，具有重要的科学、文化、经济价值。加强古树名木的保护，发展珍贵稀有和有纪念意义的树木，对于弘扬民族精神，普及林业科学知识，促进社会主义精神文明和物质文明建设都具有十分重要的意义，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为推进我县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古树名木的保护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工作，根据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《湖南省古树名木保护办法》（省政府第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306号令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精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神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，确保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我县古树名木保护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工作圆满完成，结合我县实际，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对全县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13个乡镇的古树的所处区域、种类、等级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进行了全方位的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模底造册，在6月底前全面完成了全县13个乡镇33个科59个属71种共计4800株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古树名木保险工作。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b/>
          <w:bCs/>
          <w:spacing w:val="10"/>
          <w:sz w:val="30"/>
          <w:szCs w:val="30"/>
        </w:rPr>
      </w:pPr>
      <w:r>
        <w:rPr>
          <w:rStyle w:val="5"/>
          <w:rFonts w:hint="eastAsia" w:ascii="仿宋" w:hAnsi="仿宋" w:eastAsia="仿宋" w:cs="仿宋"/>
          <w:b/>
          <w:bCs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" w:hAnsi="仿宋" w:eastAsia="仿宋" w:cs="仿宋"/>
          <w:b/>
          <w:bCs/>
          <w:spacing w:val="10"/>
          <w:sz w:val="30"/>
          <w:szCs w:val="30"/>
        </w:rPr>
        <w:t>绩效目标完成情况分析</w:t>
      </w:r>
    </w:p>
    <w:p>
      <w:pPr>
        <w:shd w:val="solid" w:color="FFFFFF" w:fill="auto"/>
        <w:autoSpaceDN w:val="0"/>
        <w:spacing w:line="560" w:lineRule="atLeast"/>
        <w:ind w:firstLine="640"/>
        <w:rPr>
          <w:rStyle w:val="5"/>
          <w:rFonts w:hint="eastAsia" w:ascii="仿宋" w:hAnsi="仿宋" w:eastAsia="仿宋" w:cs="仿宋"/>
          <w:b/>
          <w:bCs/>
          <w:color w:val="auto"/>
          <w:sz w:val="30"/>
          <w:szCs w:val="30"/>
          <w:u w:val="none"/>
        </w:rPr>
      </w:pPr>
      <w:r>
        <w:rPr>
          <w:rStyle w:val="5"/>
          <w:rFonts w:hint="eastAsia" w:ascii="仿宋" w:hAnsi="仿宋" w:eastAsia="仿宋" w:cs="仿宋"/>
          <w:b/>
          <w:bCs/>
          <w:color w:val="auto"/>
          <w:sz w:val="30"/>
          <w:szCs w:val="30"/>
          <w:u w:val="none"/>
        </w:rPr>
        <w:t>（一）项目资金情况分析。</w:t>
      </w:r>
    </w:p>
    <w:p>
      <w:pPr>
        <w:shd w:val="solid" w:color="FFFFFF" w:fill="auto"/>
        <w:autoSpaceDN w:val="0"/>
        <w:spacing w:line="540" w:lineRule="exact"/>
        <w:ind w:firstLine="640"/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</w:pP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  <w:t>1.项目资金到位情况分析；</w:t>
      </w:r>
    </w:p>
    <w:p>
      <w:pPr>
        <w:shd w:val="solid" w:color="FFFFFF" w:fill="auto"/>
        <w:autoSpaceDN w:val="0"/>
        <w:spacing w:line="540" w:lineRule="exact"/>
        <w:ind w:firstLine="64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  <w:lang w:eastAsia="zh-CN"/>
        </w:rPr>
        <w:t>按绥财预指［</w:t>
      </w: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2022</w:t>
      </w: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  <w:lang w:eastAsia="zh-CN"/>
        </w:rPr>
        <w:t>］</w:t>
      </w: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0301文件精神，下达给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县林业局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年度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古树名木保险建设项目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资金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万元。</w:t>
      </w:r>
    </w:p>
    <w:p>
      <w:pPr>
        <w:shd w:val="solid" w:color="FFFFFF" w:fill="auto"/>
        <w:autoSpaceDN w:val="0"/>
        <w:spacing w:line="540" w:lineRule="exact"/>
        <w:ind w:firstLine="600" w:firstLineChars="2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  <w:t>2.项目资金执行情况分析；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县林业局实际使用该专项资金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万元，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主要对象是全县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13个乡镇的33个科59个属71种共计4800株的古树名木，其中:一级31株、二级376株、三级4393株进行保险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。</w:t>
      </w:r>
    </w:p>
    <w:p>
      <w:pPr>
        <w:shd w:val="solid" w:color="FFFFFF" w:fill="auto"/>
        <w:autoSpaceDN w:val="0"/>
        <w:spacing w:line="540" w:lineRule="exact"/>
        <w:ind w:firstLine="600" w:firstLineChars="2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  <w:t>3.项目资金管理情况分析；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该资金由县林业局计财股负责管理，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林业综合中心对古树名木调查核实造册，由保险公司进行保险，按保险合同条例及资金使用规定进行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资金按实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拨付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。</w:t>
      </w:r>
    </w:p>
    <w:p>
      <w:pPr>
        <w:shd w:val="solid" w:color="FFFFFF" w:fill="auto"/>
        <w:autoSpaceDN w:val="0"/>
        <w:spacing w:line="560" w:lineRule="atLeast"/>
        <w:ind w:firstLine="301" w:firstLineChars="100"/>
        <w:rPr>
          <w:rStyle w:val="5"/>
          <w:rFonts w:hint="eastAsia" w:ascii="仿宋" w:hAnsi="仿宋" w:eastAsia="仿宋" w:cs="仿宋"/>
          <w:b/>
          <w:bCs/>
          <w:color w:val="auto"/>
          <w:sz w:val="30"/>
          <w:szCs w:val="30"/>
          <w:u w:val="none"/>
        </w:rPr>
      </w:pPr>
      <w:r>
        <w:rPr>
          <w:rStyle w:val="5"/>
          <w:rFonts w:hint="eastAsia" w:ascii="仿宋" w:hAnsi="仿宋" w:eastAsia="仿宋" w:cs="仿宋"/>
          <w:b/>
          <w:bCs/>
          <w:color w:val="auto"/>
          <w:sz w:val="30"/>
          <w:szCs w:val="30"/>
          <w:u w:val="none"/>
        </w:rPr>
        <w:t xml:space="preserve">（二）项目绩效指标完成情况 </w:t>
      </w:r>
    </w:p>
    <w:p>
      <w:pPr>
        <w:shd w:val="solid" w:color="FFFFFF" w:fill="auto"/>
        <w:autoSpaceDN w:val="0"/>
        <w:spacing w:line="560" w:lineRule="atLeast"/>
        <w:ind w:firstLine="640"/>
        <w:rPr>
          <w:rStyle w:val="5"/>
          <w:rFonts w:hint="eastAsia" w:ascii="仿宋" w:hAnsi="仿宋" w:eastAsia="仿宋" w:cs="仿宋"/>
          <w:b/>
          <w:bCs/>
          <w:color w:val="auto"/>
          <w:sz w:val="30"/>
          <w:szCs w:val="30"/>
          <w:u w:val="none"/>
        </w:rPr>
      </w:pPr>
      <w:r>
        <w:rPr>
          <w:rStyle w:val="5"/>
          <w:rFonts w:hint="eastAsia" w:ascii="仿宋" w:hAnsi="仿宋" w:eastAsia="仿宋" w:cs="仿宋"/>
          <w:b/>
          <w:bCs/>
          <w:color w:val="auto"/>
          <w:sz w:val="30"/>
          <w:szCs w:val="30"/>
          <w:u w:val="none"/>
        </w:rPr>
        <w:t>1.产出指标完成情况分析</w:t>
      </w:r>
    </w:p>
    <w:p>
      <w:pPr>
        <w:shd w:val="solid" w:color="FFFFFF" w:fill="auto"/>
        <w:autoSpaceDN w:val="0"/>
        <w:spacing w:line="540" w:lineRule="exact"/>
        <w:ind w:firstLine="300" w:firstLineChars="1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  <w:t>（1）项目完成数量；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基本完成了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13个乡镇的33个科59个属71种4800株的古树名木保险</w:t>
      </w: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建设任务。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其中:一级31株、二级376株、三级4393</w:t>
      </w: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株。</w:t>
      </w:r>
    </w:p>
    <w:p>
      <w:pPr>
        <w:shd w:val="solid" w:color="FFFFFF" w:fill="auto"/>
        <w:autoSpaceDN w:val="0"/>
        <w:spacing w:line="540" w:lineRule="exact"/>
        <w:ind w:firstLine="300" w:firstLineChars="1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  <w:t>（2）项目完成质量；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县林业局对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对全县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13个乡镇的古树的所处区域、种类、等级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进行了全方位的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模底造册做到了按要求圆满完成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。</w:t>
      </w:r>
    </w:p>
    <w:p>
      <w:pPr>
        <w:shd w:val="solid" w:color="FFFFFF" w:fill="auto"/>
        <w:autoSpaceDN w:val="0"/>
        <w:spacing w:line="540" w:lineRule="exact"/>
        <w:ind w:firstLine="300" w:firstLineChars="1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  <w:t>（3）项目实施进度；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所有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古树名木保险任务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都在20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年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月底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前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完成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hd w:val="solid" w:color="FFFFFF" w:fill="auto"/>
        <w:autoSpaceDN w:val="0"/>
        <w:spacing w:line="540" w:lineRule="exact"/>
        <w:ind w:firstLine="300" w:firstLineChars="1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  <w:t>（4）项目成本节约情况；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严格控制经费支出，尽量利用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优质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资源。按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照保险条例规定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进行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保险结算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。</w:t>
      </w:r>
    </w:p>
    <w:p>
      <w:pPr>
        <w:shd w:val="solid" w:color="FFFFFF" w:fill="auto"/>
        <w:autoSpaceDN w:val="0"/>
        <w:spacing w:line="560" w:lineRule="atLeast"/>
        <w:ind w:firstLine="602" w:firstLineChars="200"/>
        <w:rPr>
          <w:rStyle w:val="5"/>
          <w:rFonts w:hint="eastAsia" w:ascii="仿宋" w:hAnsi="仿宋" w:eastAsia="仿宋" w:cs="仿宋"/>
          <w:b/>
          <w:bCs/>
          <w:color w:val="auto"/>
          <w:sz w:val="30"/>
          <w:szCs w:val="30"/>
          <w:u w:val="none"/>
        </w:rPr>
      </w:pPr>
      <w:r>
        <w:rPr>
          <w:rStyle w:val="5"/>
          <w:rFonts w:hint="eastAsia" w:ascii="仿宋" w:hAnsi="仿宋" w:eastAsia="仿宋" w:cs="仿宋"/>
          <w:b/>
          <w:bCs/>
          <w:color w:val="auto"/>
          <w:sz w:val="30"/>
          <w:szCs w:val="30"/>
          <w:u w:val="none"/>
        </w:rPr>
        <w:t>2.效益指标完成情况分析</w:t>
      </w:r>
    </w:p>
    <w:p>
      <w:pPr>
        <w:shd w:val="solid" w:color="FFFFFF" w:fill="auto"/>
        <w:autoSpaceDN w:val="0"/>
        <w:spacing w:line="540" w:lineRule="exact"/>
        <w:ind w:firstLine="300" w:firstLineChars="1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  <w:t>（1）项目实施的经济效益分析；</w:t>
      </w: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  <w:lang w:eastAsia="zh-CN"/>
        </w:rPr>
        <w:t>能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挽回因古树名木因自然灾害等造成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当地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群众的经济损失，给老百姓增加收入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15万元以上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。</w:t>
      </w:r>
    </w:p>
    <w:p>
      <w:pPr>
        <w:shd w:val="solid" w:color="FFFFFF" w:fill="auto"/>
        <w:autoSpaceDN w:val="0"/>
        <w:spacing w:line="540" w:lineRule="exact"/>
        <w:ind w:firstLine="300" w:firstLineChars="1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  <w:t>（2）项目实施的社会效益分析；</w:t>
      </w: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  <w:lang w:eastAsia="zh-CN"/>
        </w:rPr>
        <w:t>起到保障有古树名木区域内的居民人身、财产安全和保护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自然界和前人留下的珍贵遗产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相结合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的作用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，效果明显。</w:t>
      </w:r>
    </w:p>
    <w:p>
      <w:pPr>
        <w:shd w:val="solid" w:color="FFFFFF" w:fill="auto"/>
        <w:autoSpaceDN w:val="0"/>
        <w:spacing w:line="540" w:lineRule="exact"/>
        <w:ind w:firstLine="600" w:firstLineChars="2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  <w:t>（3）项目实施的生态效益分析；</w:t>
      </w: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  <w:lang w:eastAsia="zh-CN"/>
        </w:rPr>
        <w:t>古树名木的保护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具有重要的科学、文化、经济价值，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能直接改善生态环境，提高人民群众的生活质量，促进大家积极参与我县的生态文明建设，提倡绿色发展，保护绿色家园。</w:t>
      </w:r>
    </w:p>
    <w:p>
      <w:pPr>
        <w:shd w:val="solid" w:color="FFFFFF" w:fill="auto"/>
        <w:autoSpaceDN w:val="0"/>
        <w:spacing w:line="540" w:lineRule="exact"/>
        <w:ind w:firstLine="600" w:firstLineChars="2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  <w:t>（4）项目实施的可持续影响分析；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能持续提升人民群众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生活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环境、美化环境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，改善环境的作用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。</w:t>
      </w:r>
    </w:p>
    <w:p>
      <w:pPr>
        <w:shd w:val="solid" w:color="FFFFFF" w:fill="auto"/>
        <w:autoSpaceDN w:val="0"/>
        <w:spacing w:line="540" w:lineRule="exact"/>
        <w:ind w:firstLine="600" w:firstLineChars="2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spacing w:val="10"/>
          <w:sz w:val="30"/>
          <w:szCs w:val="30"/>
        </w:rPr>
        <w:t>满意度指标完成情况分析</w:t>
      </w:r>
      <w:r>
        <w:rPr>
          <w:rFonts w:hint="eastAsia" w:ascii="仿宋" w:hAnsi="仿宋" w:eastAsia="仿宋" w:cs="仿宋"/>
          <w:spacing w:val="10"/>
          <w:sz w:val="30"/>
          <w:szCs w:val="30"/>
          <w:lang w:eastAsia="zh-CN"/>
        </w:rPr>
        <w:t>：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群众积极参古树名木保护，满意度大幅提高。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1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pacing w:val="10"/>
          <w:sz w:val="30"/>
          <w:szCs w:val="30"/>
        </w:rPr>
        <w:t>四、存在的主要问题及产生的原因</w:t>
      </w:r>
    </w:p>
    <w:p>
      <w:pPr>
        <w:pStyle w:val="6"/>
        <w:ind w:firstLine="450" w:firstLineChars="150"/>
        <w:rPr>
          <w:rStyle w:val="5"/>
          <w:rFonts w:hint="eastAsia" w:ascii="仿宋" w:hAnsi="仿宋" w:eastAsia="仿宋" w:cs="仿宋"/>
          <w:color w:val="auto"/>
          <w:kern w:val="2"/>
          <w:sz w:val="30"/>
          <w:szCs w:val="30"/>
          <w:u w:val="none"/>
        </w:rPr>
      </w:pPr>
      <w:r>
        <w:rPr>
          <w:rStyle w:val="5"/>
          <w:rFonts w:hint="eastAsia" w:ascii="仿宋" w:hAnsi="仿宋" w:eastAsia="仿宋" w:cs="仿宋"/>
          <w:color w:val="auto"/>
          <w:kern w:val="2"/>
          <w:sz w:val="30"/>
          <w:szCs w:val="30"/>
          <w:u w:val="none"/>
        </w:rPr>
        <w:t>（一）项目申报及实施管理方面</w:t>
      </w:r>
    </w:p>
    <w:p>
      <w:pPr>
        <w:pStyle w:val="6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auto"/>
          <w:kern w:val="2"/>
          <w:sz w:val="30"/>
          <w:szCs w:val="30"/>
          <w:u w:val="none"/>
        </w:rPr>
        <w:t>  1、项目立项；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pStyle w:val="6"/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auto"/>
          <w:kern w:val="2"/>
          <w:sz w:val="30"/>
          <w:szCs w:val="30"/>
          <w:u w:val="none"/>
        </w:rPr>
        <w:t>  2、项目跟踪监管；</w:t>
      </w:r>
      <w:r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pStyle w:val="6"/>
        <w:ind w:firstLine="600"/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3、项目实施进度：无</w:t>
      </w:r>
    </w:p>
    <w:p>
      <w:pPr>
        <w:pStyle w:val="6"/>
        <w:ind w:firstLine="600"/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4、项目其他方面：无</w:t>
      </w:r>
    </w:p>
    <w:p>
      <w:pPr>
        <w:pStyle w:val="6"/>
        <w:ind w:firstLine="300" w:firstLineChars="100"/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（二）资金管理方面</w:t>
      </w:r>
    </w:p>
    <w:p>
      <w:pPr>
        <w:pStyle w:val="6"/>
        <w:ind w:firstLine="600"/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1、资金使用：无</w:t>
      </w:r>
    </w:p>
    <w:p>
      <w:pPr>
        <w:pStyle w:val="6"/>
        <w:ind w:firstLine="600"/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2、项目资金拨付：无</w:t>
      </w:r>
    </w:p>
    <w:p>
      <w:pPr>
        <w:pStyle w:val="6"/>
        <w:ind w:firstLine="600"/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3、会计核算：无</w:t>
      </w:r>
    </w:p>
    <w:p>
      <w:pPr>
        <w:pStyle w:val="6"/>
        <w:ind w:firstLine="300" w:firstLineChars="100"/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kern w:val="2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（三）产生的原因：无</w:t>
      </w:r>
    </w:p>
    <w:p>
      <w:pPr>
        <w:widowControl/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</w:pP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  <w:lang w:eastAsia="zh-CN"/>
        </w:rPr>
        <w:t>五</w:t>
      </w:r>
      <w:r>
        <w:rPr>
          <w:rStyle w:val="5"/>
          <w:rFonts w:hint="eastAsia" w:ascii="仿宋" w:hAnsi="仿宋" w:eastAsia="仿宋" w:cs="仿宋"/>
          <w:color w:val="auto"/>
          <w:sz w:val="30"/>
          <w:szCs w:val="30"/>
          <w:u w:val="none"/>
        </w:rPr>
        <w:t>、下一步改进措施及建议</w:t>
      </w:r>
    </w:p>
    <w:p>
      <w:pPr>
        <w:ind w:firstLine="600" w:firstLineChars="2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加</w:t>
      </w:r>
      <w:r>
        <w:rPr>
          <w:rFonts w:hint="eastAsia" w:ascii="仿宋" w:hAnsi="仿宋" w:eastAsia="仿宋" w:cs="仿宋"/>
          <w:kern w:val="0"/>
          <w:sz w:val="30"/>
          <w:szCs w:val="30"/>
        </w:rPr>
        <w:t>大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古树名木保护，</w:t>
      </w:r>
      <w:r>
        <w:rPr>
          <w:rFonts w:hint="eastAsia" w:ascii="仿宋" w:hAnsi="仿宋" w:eastAsia="仿宋" w:cs="仿宋"/>
          <w:kern w:val="0"/>
          <w:sz w:val="30"/>
          <w:szCs w:val="30"/>
        </w:rPr>
        <w:t>增加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保护各种经费的</w:t>
      </w:r>
      <w:r>
        <w:rPr>
          <w:rFonts w:hint="eastAsia" w:ascii="仿宋" w:hAnsi="仿宋" w:eastAsia="仿宋" w:cs="仿宋"/>
          <w:kern w:val="0"/>
          <w:sz w:val="30"/>
          <w:szCs w:val="30"/>
        </w:rPr>
        <w:t>资金投入，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提升人民群众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生活环境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质量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，提高全县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生态环境</w:t>
      </w: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保护。</w:t>
      </w:r>
    </w:p>
    <w:p>
      <w:pPr>
        <w:numPr>
          <w:ilvl w:val="0"/>
          <w:numId w:val="0"/>
        </w:numP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六、绩效自评结果拟应用和公开情况</w:t>
      </w:r>
    </w:p>
    <w:p>
      <w:pPr>
        <w:numPr>
          <w:ilvl w:val="0"/>
          <w:numId w:val="0"/>
        </w:numPr>
        <w:ind w:firstLine="600" w:firstLineChars="2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通过绩效自评，结果为优秀。并将结果进行公示。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附件：</w:t>
      </w:r>
    </w:p>
    <w:p>
      <w:pPr>
        <w:spacing w:before="227" w:line="182" w:lineRule="auto"/>
        <w:jc w:val="center"/>
        <w:rPr>
          <w:rFonts w:hint="eastAsia" w:ascii="仿宋_GB2312" w:hAnsi="仿宋_GB2312" w:eastAsia="仿宋_GB2312" w:cs="仿宋_GB2312"/>
          <w:spacing w:val="-1"/>
          <w:sz w:val="36"/>
          <w:szCs w:val="36"/>
        </w:rPr>
      </w:pPr>
      <w:r>
        <w:rPr>
          <w:rFonts w:hint="eastAsia" w:ascii="仿宋_GB2312" w:hAnsi="仿宋_GB2312" w:eastAsia="仿宋_GB2312" w:cs="仿宋_GB2312"/>
          <w:spacing w:val="-2"/>
          <w:sz w:val="36"/>
          <w:szCs w:val="36"/>
          <w:lang w:val="en-US" w:eastAsia="zh-CN"/>
        </w:rPr>
        <w:t>项目支出</w:t>
      </w:r>
      <w:r>
        <w:rPr>
          <w:rFonts w:hint="eastAsia" w:ascii="仿宋_GB2312" w:hAnsi="仿宋_GB2312" w:eastAsia="仿宋_GB2312" w:cs="仿宋_GB2312"/>
          <w:spacing w:val="-2"/>
          <w:sz w:val="36"/>
          <w:szCs w:val="36"/>
        </w:rPr>
        <w:t>绩</w:t>
      </w:r>
      <w:r>
        <w:rPr>
          <w:rFonts w:hint="eastAsia" w:ascii="仿宋_GB2312" w:hAnsi="仿宋_GB2312" w:eastAsia="仿宋_GB2312" w:cs="仿宋_GB2312"/>
          <w:spacing w:val="-1"/>
          <w:sz w:val="36"/>
          <w:szCs w:val="36"/>
        </w:rPr>
        <w:t>效目标自评表</w:t>
      </w:r>
    </w:p>
    <w:p>
      <w:pPr>
        <w:spacing w:before="47" w:line="197" w:lineRule="auto"/>
        <w:ind w:left="3525"/>
        <w:rPr>
          <w:rFonts w:hint="eastAsia" w:ascii="仿宋" w:hAnsi="仿宋" w:eastAsia="仿宋" w:cs="仿宋"/>
          <w:spacing w:val="-1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17145</wp:posOffset>
                </wp:positionV>
                <wp:extent cx="633095" cy="23622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09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 w:line="219" w:lineRule="auto"/>
                              <w:ind w:left="20"/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5.25pt;margin-top:1.35pt;height:18.6pt;width:49.85pt;z-index:251659264;mso-width-relative:page;mso-height-relative:page;" filled="f" stroked="f" coordsize="21600,21600" o:gfxdata="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Lyz/S2AAAAAgBAAAPAAAAAAAAAAEAIAAAACIAAABkcnMvZG93bnJldi54bWxQSwEC&#10;FAAUAAAACACHTuJAhdehcLsBAABxAwAADgAAAAAAAAABACAAAAAn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 w:line="219" w:lineRule="auto"/>
                        <w:ind w:left="20"/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pacing w:val="22"/>
          <w:sz w:val="32"/>
          <w:szCs w:val="32"/>
        </w:rPr>
        <w:t>(</w:t>
      </w:r>
      <w:r>
        <w:rPr>
          <w:rFonts w:hint="eastAsia" w:ascii="仿宋" w:hAnsi="仿宋" w:eastAsia="仿宋" w:cs="仿宋"/>
          <w:b/>
          <w:bCs/>
          <w:spacing w:val="17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pacing w:val="17"/>
          <w:sz w:val="32"/>
          <w:szCs w:val="32"/>
        </w:rPr>
        <w:t>年度)</w:t>
      </w:r>
    </w:p>
    <w:tbl>
      <w:tblPr>
        <w:tblStyle w:val="7"/>
        <w:tblW w:w="8132" w:type="dxa"/>
        <w:tblInd w:w="2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3"/>
        <w:gridCol w:w="695"/>
        <w:gridCol w:w="658"/>
        <w:gridCol w:w="1596"/>
        <w:gridCol w:w="735"/>
        <w:gridCol w:w="888"/>
        <w:gridCol w:w="706"/>
        <w:gridCol w:w="650"/>
        <w:gridCol w:w="820"/>
        <w:gridCol w:w="8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06" w:type="dxa"/>
            <w:gridSpan w:val="3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项目名称</w:t>
            </w:r>
          </w:p>
        </w:tc>
        <w:tc>
          <w:tcPr>
            <w:tcW w:w="2331" w:type="dxa"/>
            <w:gridSpan w:val="2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古树名木保险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项目负责人及电话</w:t>
            </w:r>
          </w:p>
        </w:tc>
        <w:tc>
          <w:tcPr>
            <w:tcW w:w="2301" w:type="dxa"/>
            <w:gridSpan w:val="3"/>
            <w:vAlign w:val="top"/>
          </w:tcPr>
          <w:p>
            <w:pPr>
              <w:spacing w:before="59" w:line="227" w:lineRule="auto"/>
              <w:jc w:val="both"/>
              <w:rPr>
                <w:rFonts w:hint="default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魏建平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13607476713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906" w:type="dxa"/>
            <w:gridSpan w:val="3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主管部门</w:t>
            </w:r>
          </w:p>
        </w:tc>
        <w:tc>
          <w:tcPr>
            <w:tcW w:w="2331" w:type="dxa"/>
            <w:gridSpan w:val="2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绥宁县林业局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实施单位</w:t>
            </w:r>
          </w:p>
        </w:tc>
        <w:tc>
          <w:tcPr>
            <w:tcW w:w="2301" w:type="dxa"/>
            <w:gridSpan w:val="3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eastAsia="zh-CN"/>
              </w:rPr>
              <w:t>绥宁县林业局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906" w:type="dxa"/>
            <w:gridSpan w:val="3"/>
            <w:vMerge w:val="restart"/>
            <w:tcBorders>
              <w:bottom w:val="nil"/>
            </w:tcBorders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资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金情况(万元)</w:t>
            </w:r>
          </w:p>
        </w:tc>
        <w:tc>
          <w:tcPr>
            <w:tcW w:w="1596" w:type="dxa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全年预算数(A)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全年执行数(B)</w:t>
            </w:r>
          </w:p>
        </w:tc>
        <w:tc>
          <w:tcPr>
            <w:tcW w:w="650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分值</w:t>
            </w:r>
          </w:p>
        </w:tc>
        <w:tc>
          <w:tcPr>
            <w:tcW w:w="820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执行率(B/A)</w:t>
            </w:r>
          </w:p>
        </w:tc>
        <w:tc>
          <w:tcPr>
            <w:tcW w:w="831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90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年度资金总额：</w:t>
            </w:r>
          </w:p>
        </w:tc>
        <w:tc>
          <w:tcPr>
            <w:tcW w:w="735" w:type="dxa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12万</w:t>
            </w:r>
          </w:p>
        </w:tc>
        <w:tc>
          <w:tcPr>
            <w:tcW w:w="1594" w:type="dxa"/>
            <w:gridSpan w:val="2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12万</w:t>
            </w:r>
          </w:p>
        </w:tc>
        <w:tc>
          <w:tcPr>
            <w:tcW w:w="650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10</w:t>
            </w:r>
          </w:p>
        </w:tc>
        <w:tc>
          <w:tcPr>
            <w:tcW w:w="820" w:type="dxa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31" w:type="dxa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0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其中：本年财政拨款</w:t>
            </w:r>
          </w:p>
        </w:tc>
        <w:tc>
          <w:tcPr>
            <w:tcW w:w="735" w:type="dxa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12万</w:t>
            </w:r>
          </w:p>
        </w:tc>
        <w:tc>
          <w:tcPr>
            <w:tcW w:w="1594" w:type="dxa"/>
            <w:gridSpan w:val="2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12万</w:t>
            </w:r>
          </w:p>
        </w:tc>
        <w:tc>
          <w:tcPr>
            <w:tcW w:w="650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10</w:t>
            </w:r>
          </w:p>
        </w:tc>
        <w:tc>
          <w:tcPr>
            <w:tcW w:w="820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31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06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其他资金</w:t>
            </w:r>
          </w:p>
        </w:tc>
        <w:tc>
          <w:tcPr>
            <w:tcW w:w="735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1594" w:type="dxa"/>
            <w:gridSpan w:val="2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  <w:tc>
          <w:tcPr>
            <w:tcW w:w="820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831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09" w:hRule="atLeast"/>
        </w:trPr>
        <w:tc>
          <w:tcPr>
            <w:tcW w:w="553" w:type="dxa"/>
            <w:vMerge w:val="restart"/>
            <w:tcBorders>
              <w:bottom w:val="nil"/>
            </w:tcBorders>
            <w:vAlign w:val="center"/>
          </w:tcPr>
          <w:p>
            <w:pPr>
              <w:spacing w:before="176" w:line="219" w:lineRule="auto"/>
              <w:ind w:left="184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年度总体目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标</w:t>
            </w:r>
          </w:p>
        </w:tc>
        <w:tc>
          <w:tcPr>
            <w:tcW w:w="3684" w:type="dxa"/>
            <w:gridSpan w:val="4"/>
            <w:vAlign w:val="top"/>
          </w:tcPr>
          <w:p>
            <w:pPr>
              <w:spacing w:before="10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初设定目标</w:t>
            </w:r>
          </w:p>
        </w:tc>
        <w:tc>
          <w:tcPr>
            <w:tcW w:w="3895" w:type="dxa"/>
            <w:gridSpan w:val="5"/>
            <w:vAlign w:val="top"/>
          </w:tcPr>
          <w:p>
            <w:pPr>
              <w:spacing w:before="10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年度总体目标完成情况综述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08" w:hRule="atLeast"/>
        </w:trPr>
        <w:tc>
          <w:tcPr>
            <w:tcW w:w="553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684" w:type="dxa"/>
            <w:gridSpan w:val="4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eastAsia="zh-CN"/>
              </w:rPr>
              <w:t>建立县域范围内古树名木发生倾倒、倾斜、折断以及主干分枝折损掉落等意外事故，导致第三者人身伤亡和财产损失的政府赔偿。完成全县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4800株古树名木保险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br w:type="textWrapping"/>
            </w:r>
          </w:p>
        </w:tc>
        <w:tc>
          <w:tcPr>
            <w:tcW w:w="3895" w:type="dxa"/>
            <w:gridSpan w:val="5"/>
            <w:vAlign w:val="top"/>
          </w:tcPr>
          <w:p>
            <w:pPr>
              <w:ind w:firstLine="222" w:firstLineChars="1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eastAsia="zh-CN"/>
              </w:rPr>
              <w:t>全年完成全县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13个乡镇的33个科59个属71种共计4800株的古树名木，其中:一级31株、二级376株、三级4393株进行保险工作。完成自然灾害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eastAsia="zh-CN"/>
              </w:rPr>
              <w:t>导致房屋损坏财产损失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理赔和古树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eastAsia="zh-CN"/>
              </w:rPr>
              <w:t>倾倒、倾斜修复理赔工作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553" w:type="dxa"/>
            <w:vMerge w:val="restart"/>
            <w:tcBorders>
              <w:bottom w:val="nil"/>
            </w:tcBorders>
            <w:vAlign w:val="bottom"/>
          </w:tcPr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  <w:t>绩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  <w:t>效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指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695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一级指标</w:t>
            </w:r>
          </w:p>
        </w:tc>
        <w:tc>
          <w:tcPr>
            <w:tcW w:w="658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二级指标</w:t>
            </w:r>
          </w:p>
        </w:tc>
        <w:tc>
          <w:tcPr>
            <w:tcW w:w="1596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三级指标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分值</w:t>
            </w:r>
          </w:p>
        </w:tc>
        <w:tc>
          <w:tcPr>
            <w:tcW w:w="888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年度指标值</w:t>
            </w:r>
          </w:p>
        </w:tc>
        <w:tc>
          <w:tcPr>
            <w:tcW w:w="706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全年实际值</w:t>
            </w:r>
          </w:p>
        </w:tc>
        <w:tc>
          <w:tcPr>
            <w:tcW w:w="650" w:type="dxa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得分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未完成的原因及拟采取的改进措施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vAlign w:val="center"/>
          </w:tcPr>
          <w:p>
            <w:pPr>
              <w:spacing w:before="58" w:line="42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产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出指</w:t>
            </w: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标</w:t>
            </w: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</w:rPr>
              <w:t>(5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0分)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21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数量指标</w:t>
            </w: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4800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株</w:t>
            </w: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800株</w:t>
            </w: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4800株</w:t>
            </w: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5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212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质量指标</w:t>
            </w:r>
          </w:p>
        </w:tc>
        <w:tc>
          <w:tcPr>
            <w:tcW w:w="1596" w:type="dxa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完成自然灾害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eastAsia="zh-CN"/>
              </w:rPr>
              <w:t>导致房屋损坏财产损失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理赔和古树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eastAsia="zh-CN"/>
              </w:rPr>
              <w:t>倾倒、倾斜修复理赔</w:t>
            </w: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21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 w:cs="仿宋"/>
                <w:spacing w:val="3"/>
                <w:sz w:val="21"/>
                <w:szCs w:val="21"/>
              </w:rPr>
              <w:t>效指标</w:t>
            </w: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2022年6月3日—2023年6月2日</w:t>
            </w: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2022年6月3日—2023年6月2日</w:t>
            </w: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212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成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本指标</w:t>
            </w: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年度政府投入保险经费12万元</w:t>
            </w: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年度政府投入保险经费12万元</w:t>
            </w: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年度政府投入保险经费12万元</w:t>
            </w: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1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vAlign w:val="center"/>
          </w:tcPr>
          <w:p>
            <w:pPr>
              <w:spacing w:before="59" w:line="212" w:lineRule="auto"/>
              <w:ind w:right="62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效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益指标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(30</w:t>
            </w:r>
            <w:r>
              <w:rPr>
                <w:rFonts w:hint="eastAsia" w:ascii="仿宋" w:hAnsi="仿宋" w:eastAsia="仿宋" w:cs="仿宋"/>
                <w:spacing w:val="20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 w:cs="仿宋"/>
                <w:spacing w:val="19"/>
                <w:sz w:val="21"/>
                <w:szCs w:val="21"/>
              </w:rPr>
              <w:t>)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111" w:line="221" w:lineRule="auto"/>
              <w:ind w:right="11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经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济效益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老百姓增收大于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12万元</w:t>
            </w: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2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18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4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7" w:line="209" w:lineRule="auto"/>
              <w:ind w:right="11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社会效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益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保障古树区域内的所有居民人身、财产安全</w:t>
            </w: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保障古树区域内的所有居民人身、财产安全</w:t>
            </w: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持续</w:t>
            </w: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111" w:line="223" w:lineRule="auto"/>
              <w:ind w:right="23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生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态效益指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保护生物多样性直接改善生态环境，提高人民群众的生活质量</w:t>
            </w: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保护生物多样性直接改善生态环境，提高人民群众的生活质量</w:t>
            </w: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持续</w:t>
            </w: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111" w:line="221" w:lineRule="auto"/>
              <w:ind w:right="23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可持续影响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保障古树区域内的所有居民人身、财产安全</w:t>
            </w: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保障古树区域内的所有居民人身、财产安全</w:t>
            </w: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持续</w:t>
            </w: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29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156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vAlign w:val="center"/>
          </w:tcPr>
          <w:p>
            <w:pPr>
              <w:spacing w:before="4" w:line="194" w:lineRule="auto"/>
              <w:ind w:right="62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满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意度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标(10)</w:t>
            </w:r>
            <w:r>
              <w:rPr>
                <w:rFonts w:hint="eastAsia" w:ascii="仿宋" w:hAnsi="仿宋" w:eastAsia="仿宋" w:cs="仿宋"/>
                <w:spacing w:val="1"/>
                <w:sz w:val="21"/>
                <w:szCs w:val="21"/>
              </w:rPr>
              <w:t>分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vAlign w:val="center"/>
          </w:tcPr>
          <w:p>
            <w:pPr>
              <w:spacing w:before="101" w:line="20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9"/>
                <w:sz w:val="21"/>
                <w:szCs w:val="21"/>
              </w:rPr>
              <w:t>服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务对象满</w:t>
            </w:r>
            <w:r>
              <w:rPr>
                <w:rFonts w:hint="eastAsia" w:ascii="仿宋" w:hAnsi="仿宋" w:eastAsia="仿宋" w:cs="仿宋"/>
                <w:spacing w:val="3"/>
                <w:sz w:val="21"/>
                <w:szCs w:val="21"/>
              </w:rPr>
              <w:t>意度指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群众积极参古树名木保护，满意度大幅提高</w:t>
            </w: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群众积极参古树名木保护，满意度大幅提高</w:t>
            </w: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长期100%</w:t>
            </w: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8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69" w:hRule="atLeast"/>
        </w:trPr>
        <w:tc>
          <w:tcPr>
            <w:tcW w:w="55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96" w:type="dxa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88" w:type="dxa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50" w:hRule="atLeast"/>
        </w:trPr>
        <w:tc>
          <w:tcPr>
            <w:tcW w:w="3502" w:type="dxa"/>
            <w:gridSpan w:val="4"/>
            <w:vAlign w:val="top"/>
          </w:tcPr>
          <w:p>
            <w:pPr>
              <w:spacing w:before="71" w:line="229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</w:rPr>
              <w:t>总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分</w:t>
            </w:r>
          </w:p>
        </w:tc>
        <w:tc>
          <w:tcPr>
            <w:tcW w:w="735" w:type="dxa"/>
            <w:vAlign w:val="top"/>
          </w:tcPr>
          <w:p>
            <w:pPr>
              <w:spacing w:before="104" w:line="19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100</w:t>
            </w:r>
          </w:p>
        </w:tc>
        <w:tc>
          <w:tcPr>
            <w:tcW w:w="1594" w:type="dxa"/>
            <w:gridSpan w:val="2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vAlign w:val="top"/>
          </w:tcPr>
          <w:p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651" w:type="dxa"/>
            <w:gridSpan w:val="2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说明：1.分值设定100分，其中预算执行率10分、产出指标50分、效益指标30分、满意度指标10分。除预算执行率外的指标应根据权重自行合理设定分值。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  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2.综合评价等级分为优秀（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大于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90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）、良好（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80-90分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）、较差（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60-80分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 差（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小于60分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</w:t>
      </w:r>
      <w:r>
        <w:rPr>
          <w:rFonts w:ascii="Calibri" w:hAnsi="Calibri" w:eastAsia="仿宋_GB2312" w:cs="Calibri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。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firstLine="480" w:firstLineChars="20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 3.三级绩效指标按需自行增减行。个别不涉及的二级指标可删除不要。</w:t>
      </w:r>
    </w:p>
    <w:p>
      <w:pPr>
        <w:spacing w:line="600" w:lineRule="exact"/>
        <w:rPr>
          <w:rFonts w:hint="default" w:ascii="仿宋" w:hAnsi="仿宋" w:eastAsia="仿宋"/>
          <w:sz w:val="32"/>
          <w:szCs w:val="32"/>
          <w:lang w:val="en-US" w:eastAsia="zh-CN"/>
        </w:rPr>
      </w:pPr>
    </w:p>
    <w:p/>
    <w:p>
      <w:pPr>
        <w:rPr>
          <w:rFonts w:hint="eastAsia" w:eastAsia="仿宋"/>
          <w:color w:val="000000" w:themeColor="text1"/>
          <w:u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firstLine="600" w:firstLineChars="200"/>
        <w:rPr>
          <w:rStyle w:val="5"/>
          <w:rFonts w:hint="eastAsia" w:ascii="仿宋" w:hAnsi="仿宋" w:eastAsia="仿宋" w:cs="仿宋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376E70"/>
    <w:multiLevelType w:val="singleLevel"/>
    <w:tmpl w:val="64376E7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OWNiNGQwMTIzYzIwMDE1MzlhMTQ5MzZlODY1MmIifQ=="/>
  </w:docVars>
  <w:rsids>
    <w:rsidRoot w:val="1CB03D4B"/>
    <w:rsid w:val="1CB03D4B"/>
    <w:rsid w:val="247D66BE"/>
    <w:rsid w:val="2A727BBF"/>
    <w:rsid w:val="39A924C0"/>
    <w:rsid w:val="439B6303"/>
    <w:rsid w:val="50427BE9"/>
    <w:rsid w:val="55887482"/>
    <w:rsid w:val="587709B4"/>
    <w:rsid w:val="7F92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nhideWhenUsed/>
    <w:qFormat/>
    <w:uiPriority w:val="0"/>
    <w:rPr>
      <w:color w:val="0000FF"/>
      <w:u w:val="single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hAnsi="微软雅黑" w:cs="微软雅黑" w:eastAsiaTheme="minorEastAsia"/>
      <w:color w:val="000000"/>
      <w:kern w:val="0"/>
      <w:sz w:val="24"/>
      <w:szCs w:val="24"/>
      <w:lang w:val="en-US" w:eastAsia="zh-CN" w:bidi="ar-SA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2319</Words>
  <Characters>2534</Characters>
  <Lines>0</Lines>
  <Paragraphs>0</Paragraphs>
  <TotalTime>1</TotalTime>
  <ScaleCrop>false</ScaleCrop>
  <LinksUpToDate>false</LinksUpToDate>
  <CharactersWithSpaces>2550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2023-04-13T00:11:00Z</dcterms:created>
  <dc:creator>彭游</dc:creator>
  <cp:lastModifiedBy>刘朝辉</cp:lastModifiedBy>
  <dcterms:modified xsi:type="dcterms:W3CDTF">2023-08-01T09:28:02Z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CF6148FA37CC4EA8A971394A6E3DADED_11</vt:lpwstr>
  </property>
</Properties>
</file>