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spacing w:beforeAutospacing="0" w:afterAutospacing="0" w:line="480" w:lineRule="atLeast"/>
        <w:jc w:val="center"/>
        <w:rPr>
          <w:rFonts w:ascii="黑体" w:hAnsi="黑体" w:eastAsia="黑体" w:cs="黑体"/>
          <w:color w:val="000000"/>
          <w:sz w:val="44"/>
          <w:szCs w:val="44"/>
        </w:rPr>
      </w:pPr>
      <w:r>
        <w:rPr>
          <w:rFonts w:hint="eastAsia" w:ascii="黑体" w:hAnsi="黑体" w:eastAsia="黑体" w:cs="黑体"/>
          <w:color w:val="000000"/>
          <w:sz w:val="44"/>
          <w:szCs w:val="44"/>
          <w:shd w:val="clear" w:color="auto" w:fill="FFFFFF"/>
        </w:rPr>
        <w:t>绥宁县编制新一轮林地保护利用规划（2021-2035年）自评报告</w:t>
      </w:r>
    </w:p>
    <w:p>
      <w:pPr>
        <w:pStyle w:val="2"/>
        <w:widowControl/>
        <w:shd w:val="clear" w:color="auto" w:fill="FFFFFF"/>
        <w:spacing w:beforeAutospacing="0" w:afterAutospacing="0" w:line="480" w:lineRule="atLeast"/>
        <w:jc w:val="center"/>
        <w:rPr>
          <w:rFonts w:ascii="楷体" w:hAnsi="楷体" w:eastAsia="楷体" w:cs="楷体"/>
          <w:color w:val="000000"/>
          <w:sz w:val="32"/>
          <w:szCs w:val="32"/>
          <w:shd w:val="clear" w:color="auto" w:fill="FFFFFF"/>
        </w:rPr>
      </w:pPr>
      <w:r>
        <w:rPr>
          <w:rFonts w:hint="eastAsia" w:ascii="楷体" w:hAnsi="楷体" w:eastAsia="楷体" w:cs="楷体"/>
          <w:color w:val="000000"/>
          <w:sz w:val="32"/>
          <w:szCs w:val="32"/>
          <w:shd w:val="clear" w:color="auto" w:fill="FFFFFF"/>
        </w:rPr>
        <w:t>（绥宁县</w:t>
      </w:r>
      <w:r>
        <w:rPr>
          <w:rFonts w:hint="eastAsia" w:ascii="楷体" w:hAnsi="楷体" w:eastAsia="楷体" w:cs="楷体"/>
          <w:color w:val="000000"/>
          <w:sz w:val="32"/>
          <w:szCs w:val="32"/>
          <w:lang w:bidi="ar"/>
        </w:rPr>
        <w:t>林业局</w:t>
      </w:r>
      <w:r>
        <w:rPr>
          <w:rFonts w:hint="eastAsia" w:ascii="楷体" w:hAnsi="楷体" w:eastAsia="楷体" w:cs="楷体"/>
          <w:color w:val="000000"/>
          <w:sz w:val="32"/>
          <w:szCs w:val="32"/>
          <w:shd w:val="clear" w:color="auto" w:fill="FFFFFF"/>
        </w:rPr>
        <w:t>）</w:t>
      </w:r>
    </w:p>
    <w:p>
      <w:pPr>
        <w:pStyle w:val="2"/>
        <w:widowControl/>
        <w:shd w:val="clear" w:color="auto" w:fill="FFFFFF"/>
        <w:spacing w:beforeAutospacing="0" w:afterAutospacing="0" w:line="480" w:lineRule="atLeast"/>
        <w:jc w:val="center"/>
        <w:rPr>
          <w:rFonts w:ascii="黑体" w:hAnsi="黑体" w:eastAsia="黑体" w:cs="黑体"/>
          <w:color w:val="000000"/>
          <w:sz w:val="44"/>
          <w:szCs w:val="44"/>
          <w:shd w:val="clear" w:color="auto" w:fill="FFFFFF"/>
        </w:rPr>
      </w:pPr>
      <w:r>
        <w:rPr>
          <w:rFonts w:hint="eastAsia" w:ascii="楷体" w:hAnsi="楷体" w:eastAsia="楷体" w:cs="楷体"/>
          <w:color w:val="000000"/>
          <w:sz w:val="32"/>
          <w:szCs w:val="32"/>
          <w:shd w:val="clear" w:color="auto" w:fill="FFFFFF"/>
        </w:rPr>
        <w:t>2023年</w:t>
      </w:r>
      <w:r>
        <w:rPr>
          <w:rFonts w:hint="eastAsia" w:ascii="楷体" w:hAnsi="楷体" w:eastAsia="楷体" w:cs="楷体"/>
          <w:color w:val="000000"/>
          <w:sz w:val="32"/>
          <w:szCs w:val="32"/>
          <w:lang w:bidi="ar"/>
        </w:rPr>
        <w:t>4月12日</w:t>
      </w:r>
    </w:p>
    <w:p>
      <w:pPr>
        <w:pStyle w:val="2"/>
        <w:widowControl/>
        <w:shd w:val="clear" w:color="auto" w:fill="FFFFFF"/>
        <w:spacing w:beforeAutospacing="0" w:afterAutospacing="0" w:line="480" w:lineRule="atLeast"/>
        <w:jc w:val="both"/>
        <w:rPr>
          <w:rFonts w:ascii="方正小标宋_GBK" w:hAnsi="方正小标宋_GBK" w:eastAsia="方正小标宋_GBK" w:cs="方正小标宋_GBK"/>
          <w:color w:val="000000"/>
        </w:rPr>
      </w:pPr>
      <w:r>
        <w:rPr>
          <w:rFonts w:ascii="仿宋_GB2312" w:hAnsi="方正小标宋_GBK" w:eastAsia="仿宋_GB2312" w:cs="仿宋_GB2312"/>
          <w:color w:val="000000"/>
          <w:shd w:val="clear" w:color="auto" w:fill="FFFFFF"/>
        </w:rPr>
        <w:t> </w:t>
      </w:r>
    </w:p>
    <w:p>
      <w:pPr>
        <w:ind w:firstLine="680" w:firstLineChars="200"/>
        <w:rPr>
          <w:rFonts w:ascii="黑体" w:hAnsi="黑体" w:eastAsia="黑体" w:cs="黑体"/>
          <w:spacing w:val="10"/>
          <w:sz w:val="32"/>
          <w:szCs w:val="32"/>
        </w:rPr>
      </w:pPr>
      <w:r>
        <w:rPr>
          <w:rFonts w:hint="eastAsia" w:ascii="黑体" w:hAnsi="黑体" w:eastAsia="黑体" w:cs="黑体"/>
          <w:spacing w:val="10"/>
          <w:sz w:val="32"/>
          <w:szCs w:val="32"/>
        </w:rPr>
        <w:t>一、绩效目标分解下达情况</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1．资金下达预算及项目情况。</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通过县主管领导批示，县财政拨付项目专项经费130万元。</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2．资金项目绩效目标设定情况。</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①完成绥宁县的森林资源管理“一张图”与国土三调数据融合任务。以“国土三调”数据为基本底图，融合森林资源管理“一张图”信息。确定各县（市、区）林地范围界线，确定省、县、乡、村的调查范围界线，非林地界线以第三次国土调查成果数据为准，林地范围界线以第三次国土调查的林地边界为准，林地范围内的小班界线以森林资源管理“一张图”小班界线为准，优化林地范围内小班界线，形成国土空间规划“一张图”数据，避免“两张皮”现象。</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②林地落界任务和绥宁县林地保护利用规划（2021-2035年）编制。要等“三区三线”划定后开始。</w:t>
      </w:r>
    </w:p>
    <w:p>
      <w:pPr>
        <w:ind w:firstLine="680" w:firstLineChars="200"/>
        <w:rPr>
          <w:rFonts w:ascii="仿宋" w:hAnsi="仿宋" w:eastAsia="仿宋" w:cs="仿宋"/>
          <w:spacing w:val="10"/>
          <w:sz w:val="32"/>
          <w:szCs w:val="32"/>
        </w:rPr>
      </w:pPr>
    </w:p>
    <w:p>
      <w:pPr>
        <w:ind w:firstLine="680" w:firstLineChars="200"/>
        <w:rPr>
          <w:rFonts w:ascii="仿宋" w:hAnsi="仿宋" w:eastAsia="仿宋" w:cs="仿宋"/>
          <w:spacing w:val="10"/>
          <w:sz w:val="32"/>
          <w:szCs w:val="32"/>
        </w:rPr>
      </w:pPr>
      <w:r>
        <w:rPr>
          <w:rFonts w:hint="eastAsia" w:ascii="黑体" w:hAnsi="黑体" w:eastAsia="黑体" w:cs="黑体"/>
          <w:spacing w:val="10"/>
          <w:sz w:val="32"/>
          <w:szCs w:val="32"/>
        </w:rPr>
        <w:t>二、绩效自评工作开展情况</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（一）前期准备；以“国土三调”数据为基本底图，融合森林资源管理“一张图”信息。</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（二）组织过程；县林业局根据编制工作需要，组织相关股室召开专题会议，安排工作人员深入乡镇村现场勘查，到各单位收集基本数据，由湖南省农林工业勘察设计研究总院组织数据整理和文本撰写。</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（三）分析评价；三区三线确定后，马上起动后一步工作，预计《绥宁县编制新一轮林地保护利用规划（2021-2035年）》于2022年12月底形成。</w:t>
      </w:r>
    </w:p>
    <w:p>
      <w:pPr>
        <w:ind w:firstLine="680" w:firstLineChars="200"/>
        <w:rPr>
          <w:rFonts w:ascii="黑体" w:hAnsi="黑体" w:eastAsia="黑体" w:cs="黑体"/>
          <w:spacing w:val="10"/>
          <w:sz w:val="32"/>
          <w:szCs w:val="32"/>
        </w:rPr>
      </w:pPr>
      <w:r>
        <w:rPr>
          <w:rFonts w:hint="eastAsia" w:ascii="黑体" w:hAnsi="黑体" w:eastAsia="黑体" w:cs="黑体"/>
          <w:spacing w:val="10"/>
          <w:sz w:val="32"/>
          <w:szCs w:val="32"/>
        </w:rPr>
        <w:t>三、绩效目标完成情况分析</w:t>
      </w:r>
    </w:p>
    <w:p>
      <w:pPr>
        <w:ind w:firstLine="683" w:firstLineChars="200"/>
        <w:rPr>
          <w:rFonts w:ascii="楷体" w:hAnsi="楷体" w:eastAsia="楷体" w:cs="楷体"/>
          <w:b/>
          <w:bCs/>
          <w:spacing w:val="10"/>
          <w:sz w:val="32"/>
          <w:szCs w:val="32"/>
        </w:rPr>
      </w:pPr>
      <w:r>
        <w:rPr>
          <w:rFonts w:hint="eastAsia" w:ascii="楷体" w:hAnsi="楷体" w:eastAsia="楷体" w:cs="楷体"/>
          <w:b/>
          <w:bCs/>
          <w:spacing w:val="10"/>
          <w:sz w:val="32"/>
          <w:szCs w:val="32"/>
        </w:rPr>
        <w:t>(一)项目资金情况分析。</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1.项目资金到位情况分析；</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 xml:space="preserve">县财政局划拨县林业局《绥宁县编制新一轮林地保护利用规划（2021-2035年）》编制专项资金130万元。  </w:t>
      </w:r>
      <w:r>
        <w:rPr>
          <w:rFonts w:ascii="仿宋" w:hAnsi="仿宋" w:eastAsia="仿宋" w:cs="仿宋"/>
          <w:spacing w:val="10"/>
          <w:sz w:val="32"/>
          <w:szCs w:val="32"/>
        </w:rPr>
        <w:t xml:space="preserve"> </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2.项目资金执行情况分析；</w:t>
      </w:r>
    </w:p>
    <w:p>
      <w:pPr>
        <w:ind w:firstLine="680" w:firstLineChars="200"/>
        <w:rPr>
          <w:rFonts w:ascii="仿宋" w:hAnsi="仿宋" w:eastAsia="仿宋" w:cs="仿宋"/>
          <w:spacing w:val="10"/>
          <w:sz w:val="32"/>
          <w:szCs w:val="32"/>
        </w:rPr>
      </w:pPr>
      <w:bookmarkStart w:id="0" w:name="_GoBack"/>
      <w:bookmarkEnd w:id="0"/>
      <w:r>
        <w:rPr>
          <w:rFonts w:hint="eastAsia" w:ascii="仿宋" w:hAnsi="仿宋" w:eastAsia="仿宋" w:cs="仿宋"/>
          <w:spacing w:val="10"/>
          <w:sz w:val="32"/>
          <w:szCs w:val="32"/>
        </w:rPr>
        <w:t>实际使用该专项资金</w:t>
      </w:r>
      <w:r>
        <w:rPr>
          <w:rFonts w:hint="eastAsia" w:ascii="仿宋" w:hAnsi="仿宋" w:eastAsia="仿宋" w:cs="仿宋"/>
          <w:spacing w:val="10"/>
          <w:sz w:val="32"/>
          <w:szCs w:val="32"/>
          <w:lang w:val="en-US" w:eastAsia="zh-CN"/>
        </w:rPr>
        <w:t>130万</w:t>
      </w:r>
      <w:r>
        <w:rPr>
          <w:rFonts w:hint="eastAsia" w:ascii="仿宋" w:hAnsi="仿宋" w:eastAsia="仿宋" w:cs="仿宋"/>
          <w:spacing w:val="10"/>
          <w:sz w:val="32"/>
          <w:szCs w:val="32"/>
        </w:rPr>
        <w:t>元。</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3.项目资金管理情况分析；</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该资金由县林业局计财股负责管理，资金使用按实报销。</w:t>
      </w:r>
    </w:p>
    <w:p>
      <w:pPr>
        <w:ind w:firstLine="683" w:firstLineChars="200"/>
        <w:rPr>
          <w:rFonts w:ascii="楷体" w:hAnsi="楷体" w:eastAsia="楷体" w:cs="楷体"/>
          <w:b/>
          <w:bCs/>
          <w:spacing w:val="10"/>
          <w:sz w:val="32"/>
          <w:szCs w:val="32"/>
        </w:rPr>
      </w:pPr>
      <w:r>
        <w:rPr>
          <w:rFonts w:hint="eastAsia" w:ascii="楷体" w:hAnsi="楷体" w:eastAsia="楷体" w:cs="楷体"/>
          <w:b/>
          <w:bCs/>
          <w:spacing w:val="10"/>
          <w:sz w:val="32"/>
          <w:szCs w:val="32"/>
        </w:rPr>
        <w:t>(二)项目绩效指标完成情况</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1.产出指标完成情况分析</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(1)项目完成数量；</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完成绥宁县的森林资源管理“一张图”与国土三调数据融合任务。</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(2)项目完成质量；</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内业质量检查合格率96.5%，外业核实检查合格率95.3%，符合规定要求。</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(3)项目实施进度；</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所有工作预计在2022年12月底完成，202</w:t>
      </w:r>
      <w:r>
        <w:rPr>
          <w:rFonts w:ascii="仿宋" w:hAnsi="仿宋" w:eastAsia="仿宋" w:cs="仿宋"/>
          <w:spacing w:val="10"/>
          <w:sz w:val="32"/>
          <w:szCs w:val="32"/>
        </w:rPr>
        <w:t>2</w:t>
      </w:r>
      <w:r>
        <w:rPr>
          <w:rFonts w:hint="eastAsia" w:ascii="仿宋" w:hAnsi="仿宋" w:eastAsia="仿宋" w:cs="仿宋"/>
          <w:spacing w:val="10"/>
          <w:sz w:val="32"/>
          <w:szCs w:val="32"/>
        </w:rPr>
        <w:t>年4月份开始数据收集、现场勘查，12月底前形成年度更新成果。</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(4)项目成本节约情况；</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严格控制经费支出，按中标价包干结算。</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2.效益指标完成情况分析</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(1)项目实施的经济效益分析；</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通过年度更新成果，强化监督管理进一步支撑森林生态效益，建立规范的育林、采伐管理制度和林地用途制度，确保了公益林地不随意转化为商品林地、林地不随意转化为建设用地，保护好森林资源，可优化当地经济结构，加快区域经济快速发展。</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(2)项目实施的社会效益分析；</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查清了林地资源数量、质量、掌握了林地变化的趋势和引起林地变化的原因，使政府出台的加强林地保护利用的政策措施建立在科学的可靠的基础上。</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(3)项目实施的生态效益分析；</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严格林地用途管制，加大林地保护管理力度，严厉打击毁林开垦和违法占用林地行为，遏制林地逆转流失提供了有力支撑和保障，也为改善区域生态环境质量，提升生态文明建设水平奠定了坚实的基础。</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(4)项目实施的可持续影响分析；</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林地面积持续增加，充分体现了绥宁县生态绿化，森林资源管护成果显著。</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3、满意度指标完成情况分析</w:t>
      </w:r>
    </w:p>
    <w:p>
      <w:pPr>
        <w:ind w:firstLine="680" w:firstLineChars="200"/>
        <w:rPr>
          <w:rFonts w:ascii="仿宋" w:hAnsi="仿宋" w:eastAsia="仿宋" w:cs="仿宋"/>
          <w:spacing w:val="10"/>
          <w:sz w:val="32"/>
          <w:szCs w:val="32"/>
        </w:rPr>
      </w:pPr>
      <w:r>
        <w:rPr>
          <w:rFonts w:ascii="仿宋" w:hAnsi="仿宋" w:eastAsia="仿宋" w:cs="仿宋"/>
          <w:spacing w:val="10"/>
          <w:sz w:val="32"/>
          <w:szCs w:val="32"/>
        </w:rPr>
        <w:t>各乡镇对森林</w:t>
      </w:r>
      <w:r>
        <w:rPr>
          <w:rFonts w:hint="eastAsia" w:ascii="仿宋" w:hAnsi="仿宋" w:eastAsia="仿宋" w:cs="仿宋"/>
          <w:spacing w:val="10"/>
          <w:sz w:val="32"/>
          <w:szCs w:val="32"/>
        </w:rPr>
        <w:t>资源</w:t>
      </w:r>
      <w:r>
        <w:rPr>
          <w:rFonts w:ascii="仿宋" w:hAnsi="仿宋" w:eastAsia="仿宋" w:cs="仿宋"/>
          <w:spacing w:val="10"/>
          <w:sz w:val="32"/>
          <w:szCs w:val="32"/>
        </w:rPr>
        <w:t>保护</w:t>
      </w:r>
      <w:r>
        <w:rPr>
          <w:rFonts w:hint="eastAsia" w:ascii="仿宋" w:hAnsi="仿宋" w:eastAsia="仿宋" w:cs="仿宋"/>
          <w:spacing w:val="10"/>
          <w:sz w:val="32"/>
          <w:szCs w:val="32"/>
        </w:rPr>
        <w:t>的监管</w:t>
      </w:r>
      <w:r>
        <w:rPr>
          <w:rFonts w:ascii="仿宋" w:hAnsi="仿宋" w:eastAsia="仿宋" w:cs="仿宋"/>
          <w:spacing w:val="10"/>
          <w:sz w:val="32"/>
          <w:szCs w:val="32"/>
        </w:rPr>
        <w:t>监督力度大大加大了，林农</w:t>
      </w:r>
      <w:r>
        <w:rPr>
          <w:rFonts w:hint="eastAsia" w:ascii="仿宋" w:hAnsi="仿宋" w:eastAsia="仿宋" w:cs="仿宋"/>
          <w:spacing w:val="10"/>
          <w:sz w:val="32"/>
          <w:szCs w:val="32"/>
        </w:rPr>
        <w:t>的</w:t>
      </w:r>
      <w:r>
        <w:rPr>
          <w:rFonts w:ascii="仿宋" w:hAnsi="仿宋" w:eastAsia="仿宋" w:cs="仿宋"/>
          <w:spacing w:val="10"/>
          <w:sz w:val="32"/>
          <w:szCs w:val="32"/>
        </w:rPr>
        <w:t>资源不遭受破坏以及其他的损失，满意度也提高了。</w:t>
      </w:r>
    </w:p>
    <w:p>
      <w:pPr>
        <w:ind w:firstLine="680" w:firstLineChars="200"/>
        <w:rPr>
          <w:rFonts w:ascii="黑体" w:hAnsi="黑体" w:eastAsia="黑体" w:cs="黑体"/>
          <w:spacing w:val="10"/>
          <w:sz w:val="32"/>
          <w:szCs w:val="32"/>
        </w:rPr>
      </w:pPr>
      <w:r>
        <w:rPr>
          <w:rFonts w:hint="eastAsia" w:ascii="黑体" w:hAnsi="黑体" w:eastAsia="黑体" w:cs="黑体"/>
          <w:spacing w:val="10"/>
          <w:sz w:val="32"/>
          <w:szCs w:val="32"/>
        </w:rPr>
        <w:t>四、存在的主要问题及产生的原因</w:t>
      </w:r>
    </w:p>
    <w:p>
      <w:pPr>
        <w:ind w:firstLine="683" w:firstLineChars="200"/>
        <w:rPr>
          <w:rFonts w:ascii="楷体" w:hAnsi="楷体" w:eastAsia="楷体" w:cs="楷体"/>
          <w:b/>
          <w:bCs/>
          <w:spacing w:val="10"/>
          <w:sz w:val="32"/>
          <w:szCs w:val="32"/>
        </w:rPr>
      </w:pPr>
      <w:r>
        <w:rPr>
          <w:rFonts w:hint="eastAsia" w:ascii="楷体" w:hAnsi="楷体" w:eastAsia="楷体" w:cs="楷体"/>
          <w:b/>
          <w:bCs/>
          <w:spacing w:val="10"/>
          <w:sz w:val="32"/>
          <w:szCs w:val="32"/>
        </w:rPr>
        <w:t>(一)项目申报及实施管理方面</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1、项目立项；</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根据国家林业和草原局《关于印发&lt;新一轮林地保护利用规划编制工作方案&gt;和&lt;新一轮林地保护利用规划编制技术方案&gt;的通知》（林资发(2020）95号)。</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2、项目跟踪监管；</w:t>
      </w:r>
    </w:p>
    <w:p>
      <w:pPr>
        <w:ind w:firstLine="680" w:firstLineChars="200"/>
        <w:rPr>
          <w:rFonts w:ascii="仿宋" w:hAnsi="仿宋" w:eastAsia="仿宋" w:cs="仿宋"/>
          <w:color w:val="FF0000"/>
          <w:spacing w:val="10"/>
          <w:sz w:val="32"/>
          <w:szCs w:val="32"/>
        </w:rPr>
      </w:pPr>
      <w:r>
        <w:rPr>
          <w:rFonts w:hint="eastAsia" w:ascii="仿宋" w:hAnsi="仿宋" w:eastAsia="仿宋" w:cs="仿宋"/>
          <w:spacing w:val="10"/>
          <w:sz w:val="32"/>
          <w:szCs w:val="32"/>
        </w:rPr>
        <w:t>要求与国土“三区三线”紧密结合，项目进展较慢。</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3、项目实施进度;</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根据</w:t>
      </w:r>
      <w:r>
        <w:rPr>
          <w:rFonts w:ascii="仿宋" w:hAnsi="仿宋" w:eastAsia="仿宋" w:cs="仿宋"/>
          <w:spacing w:val="10"/>
          <w:sz w:val="32"/>
          <w:szCs w:val="32"/>
        </w:rPr>
        <w:t>时间节点，</w:t>
      </w:r>
      <w:r>
        <w:rPr>
          <w:rFonts w:hint="eastAsia" w:ascii="仿宋" w:hAnsi="仿宋" w:eastAsia="仿宋" w:cs="仿宋"/>
          <w:spacing w:val="10"/>
          <w:sz w:val="32"/>
          <w:szCs w:val="32"/>
        </w:rPr>
        <w:t>按时完成</w:t>
      </w:r>
      <w:r>
        <w:rPr>
          <w:rFonts w:ascii="仿宋" w:hAnsi="仿宋" w:eastAsia="仿宋" w:cs="仿宋"/>
          <w:spacing w:val="10"/>
          <w:sz w:val="32"/>
          <w:szCs w:val="32"/>
        </w:rPr>
        <w:t>各阶段工作。</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4、项目其他方面；</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无</w:t>
      </w:r>
    </w:p>
    <w:p>
      <w:pPr>
        <w:ind w:firstLine="683" w:firstLineChars="200"/>
        <w:rPr>
          <w:rFonts w:ascii="楷体" w:hAnsi="楷体" w:eastAsia="楷体" w:cs="楷体"/>
          <w:b/>
          <w:bCs/>
          <w:spacing w:val="10"/>
          <w:sz w:val="32"/>
          <w:szCs w:val="32"/>
        </w:rPr>
      </w:pPr>
      <w:r>
        <w:rPr>
          <w:rFonts w:hint="eastAsia" w:ascii="楷体" w:hAnsi="楷体" w:eastAsia="楷体" w:cs="楷体"/>
          <w:b/>
          <w:bCs/>
          <w:spacing w:val="10"/>
          <w:sz w:val="32"/>
          <w:szCs w:val="32"/>
        </w:rPr>
        <w:t>(二)资金管理方面</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1、资金使用；</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按照项目管理规定，专款专用。由项目实施单位先垫资，验收合格后再拨付资金。</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2、项目资金拨付；</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因县财政资金紧张，项目资金未能及时拨付。</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3、会计核算；</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严格执行财务审核制度。</w:t>
      </w:r>
    </w:p>
    <w:p>
      <w:pPr>
        <w:ind w:firstLine="683" w:firstLineChars="200"/>
        <w:rPr>
          <w:rFonts w:ascii="楷体" w:hAnsi="楷体" w:eastAsia="楷体" w:cs="楷体"/>
          <w:b/>
          <w:bCs/>
          <w:spacing w:val="10"/>
          <w:sz w:val="32"/>
          <w:szCs w:val="32"/>
        </w:rPr>
      </w:pPr>
      <w:r>
        <w:rPr>
          <w:rFonts w:hint="eastAsia" w:ascii="楷体" w:hAnsi="楷体" w:eastAsia="楷体" w:cs="楷体"/>
          <w:b/>
          <w:bCs/>
          <w:spacing w:val="10"/>
          <w:sz w:val="32"/>
          <w:szCs w:val="32"/>
        </w:rPr>
        <w:t>(三)产生的原因</w:t>
      </w:r>
    </w:p>
    <w:p>
      <w:pPr>
        <w:ind w:firstLine="680" w:firstLineChars="200"/>
        <w:rPr>
          <w:rFonts w:ascii="黑体" w:hAnsi="黑体" w:eastAsia="黑体" w:cs="黑体"/>
          <w:spacing w:val="10"/>
          <w:sz w:val="32"/>
          <w:szCs w:val="32"/>
        </w:rPr>
      </w:pPr>
      <w:r>
        <w:rPr>
          <w:rFonts w:hint="eastAsia" w:ascii="黑体" w:hAnsi="黑体" w:eastAsia="黑体" w:cs="黑体"/>
          <w:spacing w:val="10"/>
          <w:sz w:val="32"/>
          <w:szCs w:val="32"/>
        </w:rPr>
        <w:t>五、下一步改进措施及建议</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(1)高度重视保护发展森林资源，进一步优化制度设计，建立科学合理、内容完善、贴合实际的责任制指标体系，将目标责任制建设落实到位，通过会议、专项行动、年终考核、奖惩措施等多种形式加强目标责任制的执行。</w:t>
      </w:r>
    </w:p>
    <w:p>
      <w:pPr>
        <w:ind w:firstLine="680" w:firstLineChars="200"/>
        <w:rPr>
          <w:rFonts w:ascii="仿宋" w:hAnsi="仿宋" w:eastAsia="仿宋" w:cs="仿宋"/>
          <w:spacing w:val="10"/>
          <w:sz w:val="32"/>
          <w:szCs w:val="32"/>
        </w:rPr>
      </w:pPr>
      <w:r>
        <w:rPr>
          <w:rFonts w:hint="eastAsia" w:ascii="仿宋" w:hAnsi="仿宋" w:eastAsia="仿宋" w:cs="仿宋"/>
          <w:spacing w:val="10"/>
          <w:sz w:val="32"/>
          <w:szCs w:val="32"/>
        </w:rPr>
        <w:t>(2)加大对保护发展森林资源的宣传力度，让全县老百姓自觉参与保护森林资源的队伍。</w:t>
      </w:r>
    </w:p>
    <w:p>
      <w:pPr>
        <w:ind w:firstLine="680" w:firstLineChars="200"/>
        <w:rPr>
          <w:rFonts w:ascii="仿宋" w:hAnsi="仿宋" w:eastAsia="仿宋" w:cs="仿宋"/>
          <w:color w:val="000000"/>
          <w:sz w:val="32"/>
          <w:szCs w:val="32"/>
        </w:rPr>
      </w:pPr>
      <w:r>
        <w:rPr>
          <w:rFonts w:hint="eastAsia" w:ascii="黑体" w:hAnsi="黑体" w:eastAsia="黑体" w:cs="黑体"/>
          <w:spacing w:val="10"/>
          <w:sz w:val="32"/>
          <w:szCs w:val="32"/>
        </w:rPr>
        <w:t>六、绩效自评结果拟应用和公开情况</w:t>
      </w:r>
    </w:p>
    <w:p>
      <w:pPr>
        <w:pStyle w:val="2"/>
        <w:widowControl/>
        <w:shd w:val="clear" w:color="auto" w:fill="FFFFFF"/>
        <w:spacing w:beforeAutospacing="0" w:afterAutospacing="0" w:line="480" w:lineRule="atLeast"/>
        <w:ind w:firstLine="645"/>
        <w:rPr>
          <w:rFonts w:ascii="仿宋" w:hAnsi="仿宋" w:eastAsia="仿宋" w:cs="仿宋"/>
          <w:color w:val="000000"/>
          <w:sz w:val="32"/>
          <w:szCs w:val="32"/>
        </w:rPr>
      </w:pPr>
      <w:r>
        <w:rPr>
          <w:rFonts w:hint="eastAsia" w:ascii="仿宋" w:hAnsi="仿宋" w:eastAsia="仿宋" w:cs="仿宋"/>
          <w:color w:val="000000"/>
          <w:sz w:val="32"/>
          <w:szCs w:val="32"/>
        </w:rPr>
        <w:t>附件：项目支出绩效目标自评表</w:t>
      </w:r>
    </w:p>
    <w:p>
      <w:pPr>
        <w:pStyle w:val="2"/>
        <w:widowControl/>
        <w:shd w:val="clear" w:color="auto" w:fill="FFFFFF"/>
        <w:spacing w:beforeAutospacing="0" w:afterAutospacing="0" w:line="480" w:lineRule="atLeast"/>
        <w:ind w:firstLine="645"/>
        <w:rPr>
          <w:rFonts w:hint="eastAsia" w:ascii="Calibri" w:hAnsi="Calibri" w:cs="Calibri"/>
          <w:color w:val="000000"/>
        </w:rPr>
      </w:pPr>
    </w:p>
    <w:p>
      <w:pPr>
        <w:pStyle w:val="2"/>
        <w:widowControl/>
        <w:shd w:val="clear" w:color="auto" w:fill="FFFFFF"/>
        <w:spacing w:beforeAutospacing="0" w:afterAutospacing="0" w:line="480" w:lineRule="atLeast"/>
        <w:jc w:val="both"/>
        <w:rPr>
          <w:rFonts w:ascii="黑体" w:hAnsi="黑体" w:eastAsia="黑体" w:cs="黑体"/>
          <w:spacing w:val="-1"/>
          <w:sz w:val="44"/>
          <w:szCs w:val="44"/>
        </w:rPr>
      </w:pPr>
      <w:r>
        <w:rPr>
          <w:rFonts w:hint="eastAsia" w:ascii="黑体" w:hAnsi="黑体" w:eastAsia="黑体" w:cs="黑体"/>
          <w:color w:val="000000"/>
          <w:sz w:val="32"/>
          <w:szCs w:val="32"/>
          <w:shd w:val="clear" w:color="auto" w:fill="FFFFFF"/>
        </w:rPr>
        <w:t xml:space="preserve">附件：      </w:t>
      </w:r>
      <w:r>
        <w:rPr>
          <w:rFonts w:hint="eastAsia" w:ascii="黑体" w:hAnsi="黑体" w:eastAsia="黑体" w:cs="黑体"/>
          <w:spacing w:val="-2"/>
          <w:sz w:val="44"/>
          <w:szCs w:val="44"/>
        </w:rPr>
        <w:t>项目支出绩</w:t>
      </w:r>
      <w:r>
        <w:rPr>
          <w:rFonts w:hint="eastAsia" w:ascii="黑体" w:hAnsi="黑体" w:eastAsia="黑体" w:cs="黑体"/>
          <w:spacing w:val="-1"/>
          <w:sz w:val="44"/>
          <w:szCs w:val="44"/>
        </w:rPr>
        <w:t>效目标自评表</w:t>
      </w:r>
    </w:p>
    <w:p>
      <w:pPr>
        <w:spacing w:before="47" w:line="197" w:lineRule="auto"/>
        <w:ind w:left="3525"/>
        <w:rPr>
          <w:rFonts w:ascii="仿宋" w:hAnsi="仿宋" w:eastAsia="仿宋" w:cs="仿宋"/>
          <w:spacing w:val="-1"/>
          <w:sz w:val="32"/>
          <w:szCs w:val="32"/>
        </w:rPr>
      </w:pPr>
      <w:r>
        <w:rPr>
          <w:rFonts w:hint="eastAsia" w:ascii="仿宋" w:hAnsi="仿宋" w:eastAsia="仿宋" w:cs="仿宋"/>
          <w:sz w:val="32"/>
          <w:szCs w:val="32"/>
        </w:rPr>
        <mc:AlternateContent>
          <mc:Choice Requires="wps">
            <w:drawing>
              <wp:anchor distT="0" distB="0" distL="114300" distR="114300" simplePos="0" relativeHeight="251659264" behindDoc="0" locked="0" layoutInCell="1" allowOverlap="1">
                <wp:simplePos x="0" y="0"/>
                <wp:positionH relativeFrom="column">
                  <wp:posOffset>4638675</wp:posOffset>
                </wp:positionH>
                <wp:positionV relativeFrom="paragraph">
                  <wp:posOffset>17145</wp:posOffset>
                </wp:positionV>
                <wp:extent cx="633095" cy="23622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33095" cy="236220"/>
                        </a:xfrm>
                        <a:prstGeom prst="rect">
                          <a:avLst/>
                        </a:prstGeom>
                        <a:noFill/>
                        <a:ln>
                          <a:noFill/>
                        </a:ln>
                      </wps:spPr>
                      <wps:txbx>
                        <w:txbxContent>
                          <w:p>
                            <w:pPr>
                              <w:spacing w:before="19" w:line="219" w:lineRule="auto"/>
                              <w:ind w:left="20"/>
                              <w:rPr>
                                <w:rFonts w:ascii="仿宋" w:hAnsi="仿宋" w:eastAsia="仿宋" w:cs="仿宋"/>
                                <w:sz w:val="28"/>
                                <w:szCs w:val="28"/>
                              </w:rPr>
                            </w:pPr>
                          </w:p>
                        </w:txbxContent>
                      </wps:txbx>
                      <wps:bodyPr lIns="0" tIns="0" rIns="0" bIns="0" upright="1"/>
                    </wps:wsp>
                  </a:graphicData>
                </a:graphic>
              </wp:anchor>
            </w:drawing>
          </mc:Choice>
          <mc:Fallback>
            <w:pict>
              <v:shape id="_x0000_s1026" o:spid="_x0000_s1026" o:spt="202" type="#_x0000_t202" style="position:absolute;left:0pt;margin-left:365.25pt;margin-top:1.35pt;height:18.6pt;width:49.85pt;z-index:251659264;mso-width-relative:page;mso-height-relative:page;" filled="f" stroked="f" coordsize="21600,21600" o:gfxdata="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Lyz/S2AAAAAgBAAAPAAAAAAAAAAEAIAAAACIAAABkcnMvZG93bnJldi54bWxQSwEC&#10;FAAUAAAACACHTuJAhdehcLsBAABxAwAADgAAAAAAAAABACAAAAAnAQAAZHJzL2Uyb0RvYy54bWxQ&#10;SwUGAAAAAAYABgBZAQAAVAUAAAAA&#10;">
                <v:fill on="f" focussize="0,0"/>
                <v:stroke on="f"/>
                <v:imagedata o:title=""/>
                <o:lock v:ext="edit" aspectratio="f"/>
                <v:textbox inset="0mm,0mm,0mm,0mm">
                  <w:txbxContent>
                    <w:p>
                      <w:pPr>
                        <w:spacing w:before="19" w:line="219" w:lineRule="auto"/>
                        <w:ind w:left="20"/>
                        <w:rPr>
                          <w:rFonts w:ascii="仿宋" w:hAnsi="仿宋" w:eastAsia="仿宋" w:cs="仿宋"/>
                          <w:sz w:val="28"/>
                          <w:szCs w:val="28"/>
                        </w:rPr>
                      </w:pPr>
                    </w:p>
                  </w:txbxContent>
                </v:textbox>
              </v:shape>
            </w:pict>
          </mc:Fallback>
        </mc:AlternateContent>
      </w:r>
      <w:r>
        <w:rPr>
          <w:rFonts w:hint="eastAsia" w:ascii="仿宋" w:hAnsi="仿宋" w:eastAsia="仿宋" w:cs="仿宋"/>
          <w:spacing w:val="22"/>
          <w:sz w:val="32"/>
          <w:szCs w:val="32"/>
        </w:rPr>
        <w:t>(</w:t>
      </w:r>
      <w:r>
        <w:rPr>
          <w:rFonts w:hint="eastAsia" w:ascii="仿宋" w:hAnsi="仿宋" w:eastAsia="仿宋" w:cs="仿宋"/>
          <w:b/>
          <w:bCs/>
          <w:spacing w:val="17"/>
          <w:sz w:val="32"/>
          <w:szCs w:val="32"/>
        </w:rPr>
        <w:t>2022</w:t>
      </w:r>
      <w:r>
        <w:rPr>
          <w:rFonts w:hint="eastAsia" w:ascii="仿宋" w:hAnsi="仿宋" w:eastAsia="仿宋" w:cs="仿宋"/>
          <w:spacing w:val="17"/>
          <w:sz w:val="32"/>
          <w:szCs w:val="32"/>
        </w:rPr>
        <w:t>年度)</w:t>
      </w:r>
    </w:p>
    <w:tbl>
      <w:tblPr>
        <w:tblStyle w:val="5"/>
        <w:tblW w:w="8132" w:type="dxa"/>
        <w:tblInd w:w="23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3"/>
        <w:gridCol w:w="695"/>
        <w:gridCol w:w="658"/>
        <w:gridCol w:w="1379"/>
        <w:gridCol w:w="1102"/>
        <w:gridCol w:w="738"/>
        <w:gridCol w:w="706"/>
        <w:gridCol w:w="650"/>
        <w:gridCol w:w="820"/>
        <w:gridCol w:w="83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1906" w:type="dxa"/>
            <w:gridSpan w:val="3"/>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项目名称</w:t>
            </w:r>
          </w:p>
        </w:tc>
        <w:tc>
          <w:tcPr>
            <w:tcW w:w="2481" w:type="dxa"/>
            <w:gridSpan w:val="2"/>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绥宁县编制新一轮林地保护利用规划（2021-2035年）</w:t>
            </w:r>
            <w:r>
              <w:rPr>
                <w:rFonts w:hint="eastAsia" w:ascii="仿宋" w:hAnsi="仿宋" w:eastAsia="仿宋" w:cs="仿宋"/>
                <w:spacing w:val="8"/>
                <w:szCs w:val="21"/>
              </w:rPr>
              <w:tab/>
            </w:r>
            <w:r>
              <w:rPr>
                <w:rFonts w:hint="eastAsia" w:ascii="仿宋" w:hAnsi="仿宋" w:eastAsia="仿宋" w:cs="仿宋"/>
                <w:spacing w:val="8"/>
                <w:szCs w:val="21"/>
              </w:rPr>
              <w:tab/>
            </w:r>
            <w:r>
              <w:rPr>
                <w:rFonts w:hint="eastAsia" w:ascii="仿宋" w:hAnsi="仿宋" w:eastAsia="仿宋" w:cs="仿宋"/>
                <w:spacing w:val="8"/>
                <w:szCs w:val="21"/>
              </w:rPr>
              <w:tab/>
            </w:r>
            <w:r>
              <w:rPr>
                <w:rFonts w:hint="eastAsia" w:ascii="仿宋" w:hAnsi="仿宋" w:eastAsia="仿宋" w:cs="仿宋"/>
                <w:spacing w:val="8"/>
                <w:szCs w:val="21"/>
              </w:rPr>
              <w:tab/>
            </w:r>
            <w:r>
              <w:rPr>
                <w:rFonts w:hint="eastAsia" w:ascii="仿宋" w:hAnsi="仿宋" w:eastAsia="仿宋" w:cs="仿宋"/>
                <w:spacing w:val="8"/>
                <w:szCs w:val="21"/>
              </w:rPr>
              <w:tab/>
            </w:r>
            <w:r>
              <w:rPr>
                <w:rFonts w:hint="eastAsia" w:ascii="仿宋" w:hAnsi="仿宋" w:eastAsia="仿宋" w:cs="仿宋"/>
                <w:spacing w:val="8"/>
                <w:szCs w:val="21"/>
              </w:rPr>
              <w:tab/>
            </w:r>
            <w:r>
              <w:rPr>
                <w:rFonts w:hint="eastAsia" w:ascii="仿宋" w:hAnsi="仿宋" w:eastAsia="仿宋" w:cs="仿宋"/>
                <w:spacing w:val="8"/>
                <w:szCs w:val="21"/>
              </w:rPr>
              <w:tab/>
            </w:r>
            <w:r>
              <w:rPr>
                <w:rFonts w:hint="eastAsia" w:ascii="仿宋" w:hAnsi="仿宋" w:eastAsia="仿宋" w:cs="仿宋"/>
                <w:spacing w:val="8"/>
                <w:szCs w:val="21"/>
              </w:rPr>
              <w:tab/>
            </w:r>
          </w:p>
        </w:tc>
        <w:tc>
          <w:tcPr>
            <w:tcW w:w="1444" w:type="dxa"/>
            <w:gridSpan w:val="2"/>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项目负责人及电话</w:t>
            </w:r>
          </w:p>
        </w:tc>
        <w:tc>
          <w:tcPr>
            <w:tcW w:w="2301" w:type="dxa"/>
            <w:gridSpan w:val="3"/>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沈明玉      13975968343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906" w:type="dxa"/>
            <w:gridSpan w:val="3"/>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主管部门</w:t>
            </w:r>
          </w:p>
        </w:tc>
        <w:tc>
          <w:tcPr>
            <w:tcW w:w="2481" w:type="dxa"/>
            <w:gridSpan w:val="2"/>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绥宁县林业局</w:t>
            </w:r>
          </w:p>
        </w:tc>
        <w:tc>
          <w:tcPr>
            <w:tcW w:w="1444" w:type="dxa"/>
            <w:gridSpan w:val="2"/>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实施单位</w:t>
            </w:r>
          </w:p>
        </w:tc>
        <w:tc>
          <w:tcPr>
            <w:tcW w:w="2301" w:type="dxa"/>
            <w:gridSpan w:val="3"/>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绥宁县林业局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906" w:type="dxa"/>
            <w:gridSpan w:val="3"/>
            <w:vMerge w:val="restart"/>
            <w:tcBorders>
              <w:bottom w:val="nil"/>
            </w:tcBorders>
            <w:vAlign w:val="center"/>
          </w:tcPr>
          <w:p>
            <w:pPr>
              <w:spacing w:before="59" w:line="227" w:lineRule="auto"/>
              <w:jc w:val="center"/>
              <w:rPr>
                <w:rFonts w:ascii="仿宋" w:hAnsi="仿宋" w:eastAsia="仿宋" w:cs="仿宋"/>
                <w:szCs w:val="21"/>
              </w:rPr>
            </w:pPr>
            <w:r>
              <w:rPr>
                <w:rFonts w:hint="eastAsia" w:ascii="仿宋" w:hAnsi="仿宋" w:eastAsia="仿宋" w:cs="仿宋"/>
                <w:spacing w:val="8"/>
                <w:szCs w:val="21"/>
              </w:rPr>
              <w:t>资</w:t>
            </w:r>
            <w:r>
              <w:rPr>
                <w:rFonts w:hint="eastAsia" w:ascii="仿宋" w:hAnsi="仿宋" w:eastAsia="仿宋" w:cs="仿宋"/>
                <w:spacing w:val="6"/>
                <w:szCs w:val="21"/>
              </w:rPr>
              <w:t>金情况(万元)</w:t>
            </w:r>
          </w:p>
        </w:tc>
        <w:tc>
          <w:tcPr>
            <w:tcW w:w="1379" w:type="dxa"/>
          </w:tcPr>
          <w:p>
            <w:pPr>
              <w:rPr>
                <w:rFonts w:ascii="仿宋" w:hAnsi="仿宋" w:eastAsia="仿宋" w:cs="仿宋"/>
                <w:szCs w:val="21"/>
              </w:rPr>
            </w:pPr>
          </w:p>
        </w:tc>
        <w:tc>
          <w:tcPr>
            <w:tcW w:w="1102"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全年预算数(A)</w:t>
            </w:r>
          </w:p>
        </w:tc>
        <w:tc>
          <w:tcPr>
            <w:tcW w:w="1444" w:type="dxa"/>
            <w:gridSpan w:val="2"/>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全年执行数(B)</w:t>
            </w:r>
          </w:p>
        </w:tc>
        <w:tc>
          <w:tcPr>
            <w:tcW w:w="650"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分值</w:t>
            </w:r>
          </w:p>
        </w:tc>
        <w:tc>
          <w:tcPr>
            <w:tcW w:w="820"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执行率(B/A)</w:t>
            </w:r>
          </w:p>
        </w:tc>
        <w:tc>
          <w:tcPr>
            <w:tcW w:w="831"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1906" w:type="dxa"/>
            <w:gridSpan w:val="3"/>
            <w:vMerge w:val="continue"/>
            <w:tcBorders>
              <w:top w:val="nil"/>
              <w:bottom w:val="nil"/>
            </w:tcBorders>
          </w:tcPr>
          <w:p>
            <w:pPr>
              <w:rPr>
                <w:rFonts w:ascii="仿宋" w:hAnsi="仿宋" w:eastAsia="仿宋" w:cs="仿宋"/>
                <w:szCs w:val="21"/>
              </w:rPr>
            </w:pPr>
          </w:p>
        </w:tc>
        <w:tc>
          <w:tcPr>
            <w:tcW w:w="1379" w:type="dxa"/>
            <w:vAlign w:val="center"/>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年度资金总额：</w:t>
            </w:r>
          </w:p>
        </w:tc>
        <w:tc>
          <w:tcPr>
            <w:tcW w:w="1102" w:type="dxa"/>
          </w:tcPr>
          <w:p>
            <w:pPr>
              <w:spacing w:before="59" w:line="227" w:lineRule="auto"/>
              <w:jc w:val="center"/>
              <w:rPr>
                <w:rFonts w:ascii="仿宋" w:hAnsi="仿宋" w:eastAsia="仿宋" w:cs="仿宋"/>
                <w:spacing w:val="6"/>
                <w:szCs w:val="21"/>
              </w:rPr>
            </w:pPr>
            <w:r>
              <w:rPr>
                <w:rFonts w:ascii="仿宋" w:hAnsi="仿宋" w:eastAsia="仿宋" w:cs="仿宋"/>
                <w:spacing w:val="6"/>
                <w:szCs w:val="21"/>
              </w:rPr>
              <w:t>130</w:t>
            </w:r>
            <w:r>
              <w:rPr>
                <w:rFonts w:hint="eastAsia" w:ascii="仿宋" w:hAnsi="仿宋" w:eastAsia="仿宋" w:cs="仿宋"/>
                <w:spacing w:val="6"/>
                <w:szCs w:val="21"/>
              </w:rPr>
              <w:t>万元</w:t>
            </w:r>
          </w:p>
        </w:tc>
        <w:tc>
          <w:tcPr>
            <w:tcW w:w="1444" w:type="dxa"/>
            <w:gridSpan w:val="2"/>
          </w:tcPr>
          <w:p>
            <w:pPr>
              <w:spacing w:before="59" w:line="227" w:lineRule="auto"/>
              <w:jc w:val="center"/>
              <w:rPr>
                <w:rFonts w:ascii="仿宋" w:hAnsi="仿宋" w:eastAsia="仿宋" w:cs="仿宋"/>
                <w:spacing w:val="6"/>
                <w:szCs w:val="21"/>
              </w:rPr>
            </w:pPr>
          </w:p>
        </w:tc>
        <w:tc>
          <w:tcPr>
            <w:tcW w:w="650" w:type="dxa"/>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10</w:t>
            </w:r>
          </w:p>
        </w:tc>
        <w:tc>
          <w:tcPr>
            <w:tcW w:w="820" w:type="dxa"/>
          </w:tcPr>
          <w:p>
            <w:pPr>
              <w:spacing w:before="59" w:line="227" w:lineRule="auto"/>
              <w:jc w:val="center"/>
              <w:rPr>
                <w:rFonts w:ascii="仿宋" w:hAnsi="仿宋" w:eastAsia="仿宋" w:cs="仿宋"/>
                <w:spacing w:val="6"/>
                <w:szCs w:val="21"/>
              </w:rPr>
            </w:pPr>
          </w:p>
        </w:tc>
        <w:tc>
          <w:tcPr>
            <w:tcW w:w="831" w:type="dxa"/>
          </w:tcPr>
          <w:p>
            <w:pPr>
              <w:spacing w:before="59" w:line="227" w:lineRule="auto"/>
              <w:jc w:val="center"/>
              <w:rPr>
                <w:rFonts w:ascii="仿宋" w:hAnsi="仿宋" w:eastAsia="仿宋" w:cs="仿宋"/>
                <w:spacing w:val="6"/>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906" w:type="dxa"/>
            <w:gridSpan w:val="3"/>
            <w:vMerge w:val="continue"/>
            <w:tcBorders>
              <w:top w:val="nil"/>
              <w:bottom w:val="nil"/>
            </w:tcBorders>
          </w:tcPr>
          <w:p>
            <w:pPr>
              <w:rPr>
                <w:rFonts w:ascii="仿宋" w:hAnsi="仿宋" w:eastAsia="仿宋" w:cs="仿宋"/>
                <w:szCs w:val="21"/>
              </w:rPr>
            </w:pPr>
          </w:p>
        </w:tc>
        <w:tc>
          <w:tcPr>
            <w:tcW w:w="1379" w:type="dxa"/>
            <w:vAlign w:val="center"/>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其中：本年财政拨款</w:t>
            </w:r>
          </w:p>
        </w:tc>
        <w:tc>
          <w:tcPr>
            <w:tcW w:w="1102" w:type="dxa"/>
          </w:tcPr>
          <w:p>
            <w:pPr>
              <w:spacing w:before="59" w:line="227" w:lineRule="auto"/>
              <w:jc w:val="center"/>
              <w:rPr>
                <w:rFonts w:ascii="仿宋" w:hAnsi="仿宋" w:eastAsia="仿宋" w:cs="仿宋"/>
                <w:spacing w:val="6"/>
                <w:szCs w:val="21"/>
              </w:rPr>
            </w:pPr>
            <w:r>
              <w:rPr>
                <w:rFonts w:ascii="仿宋" w:hAnsi="仿宋" w:eastAsia="仿宋" w:cs="仿宋"/>
                <w:spacing w:val="6"/>
                <w:szCs w:val="21"/>
              </w:rPr>
              <w:t>130</w:t>
            </w:r>
            <w:r>
              <w:rPr>
                <w:rFonts w:hint="eastAsia" w:ascii="仿宋" w:hAnsi="仿宋" w:eastAsia="仿宋" w:cs="仿宋"/>
                <w:spacing w:val="6"/>
                <w:szCs w:val="21"/>
              </w:rPr>
              <w:t>万元</w:t>
            </w:r>
          </w:p>
        </w:tc>
        <w:tc>
          <w:tcPr>
            <w:tcW w:w="1444" w:type="dxa"/>
            <w:gridSpan w:val="2"/>
          </w:tcPr>
          <w:p>
            <w:pPr>
              <w:spacing w:before="59" w:line="227" w:lineRule="auto"/>
              <w:jc w:val="center"/>
              <w:rPr>
                <w:rFonts w:ascii="仿宋" w:hAnsi="仿宋" w:eastAsia="仿宋" w:cs="仿宋"/>
                <w:spacing w:val="6"/>
                <w:szCs w:val="21"/>
              </w:rPr>
            </w:pPr>
          </w:p>
        </w:tc>
        <w:tc>
          <w:tcPr>
            <w:tcW w:w="650" w:type="dxa"/>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一</w:t>
            </w:r>
          </w:p>
        </w:tc>
        <w:tc>
          <w:tcPr>
            <w:tcW w:w="820" w:type="dxa"/>
          </w:tcPr>
          <w:p>
            <w:pPr>
              <w:spacing w:before="59" w:line="227" w:lineRule="auto"/>
              <w:jc w:val="center"/>
              <w:rPr>
                <w:rFonts w:ascii="仿宋" w:hAnsi="仿宋" w:eastAsia="仿宋" w:cs="仿宋"/>
                <w:spacing w:val="6"/>
                <w:szCs w:val="21"/>
              </w:rPr>
            </w:pPr>
          </w:p>
        </w:tc>
        <w:tc>
          <w:tcPr>
            <w:tcW w:w="831" w:type="dxa"/>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906" w:type="dxa"/>
            <w:gridSpan w:val="3"/>
            <w:vMerge w:val="continue"/>
            <w:tcBorders>
              <w:top w:val="nil"/>
            </w:tcBorders>
          </w:tcPr>
          <w:p>
            <w:pPr>
              <w:rPr>
                <w:rFonts w:ascii="仿宋" w:hAnsi="仿宋" w:eastAsia="仿宋" w:cs="仿宋"/>
                <w:szCs w:val="21"/>
              </w:rPr>
            </w:pPr>
          </w:p>
        </w:tc>
        <w:tc>
          <w:tcPr>
            <w:tcW w:w="1379" w:type="dxa"/>
            <w:vAlign w:val="center"/>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其他资金</w:t>
            </w:r>
          </w:p>
        </w:tc>
        <w:tc>
          <w:tcPr>
            <w:tcW w:w="1102" w:type="dxa"/>
          </w:tcPr>
          <w:p>
            <w:pPr>
              <w:spacing w:before="59" w:line="227" w:lineRule="auto"/>
              <w:jc w:val="center"/>
              <w:rPr>
                <w:rFonts w:ascii="仿宋" w:hAnsi="仿宋" w:eastAsia="仿宋" w:cs="仿宋"/>
                <w:spacing w:val="6"/>
                <w:szCs w:val="21"/>
              </w:rPr>
            </w:pPr>
          </w:p>
        </w:tc>
        <w:tc>
          <w:tcPr>
            <w:tcW w:w="1444" w:type="dxa"/>
            <w:gridSpan w:val="2"/>
          </w:tcPr>
          <w:p>
            <w:pPr>
              <w:spacing w:before="59" w:line="227" w:lineRule="auto"/>
              <w:jc w:val="center"/>
              <w:rPr>
                <w:rFonts w:ascii="仿宋" w:hAnsi="仿宋" w:eastAsia="仿宋" w:cs="仿宋"/>
                <w:spacing w:val="6"/>
                <w:szCs w:val="21"/>
              </w:rPr>
            </w:pPr>
          </w:p>
        </w:tc>
        <w:tc>
          <w:tcPr>
            <w:tcW w:w="650" w:type="dxa"/>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一</w:t>
            </w:r>
          </w:p>
        </w:tc>
        <w:tc>
          <w:tcPr>
            <w:tcW w:w="820" w:type="dxa"/>
          </w:tcPr>
          <w:p>
            <w:pPr>
              <w:spacing w:before="59" w:line="227" w:lineRule="auto"/>
              <w:jc w:val="center"/>
              <w:rPr>
                <w:rFonts w:ascii="仿宋" w:hAnsi="仿宋" w:eastAsia="仿宋" w:cs="仿宋"/>
                <w:spacing w:val="6"/>
                <w:szCs w:val="21"/>
              </w:rPr>
            </w:pPr>
          </w:p>
        </w:tc>
        <w:tc>
          <w:tcPr>
            <w:tcW w:w="831" w:type="dxa"/>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553" w:type="dxa"/>
            <w:vMerge w:val="restart"/>
            <w:tcBorders>
              <w:bottom w:val="nil"/>
            </w:tcBorders>
            <w:vAlign w:val="center"/>
          </w:tcPr>
          <w:p>
            <w:pPr>
              <w:spacing w:before="176" w:line="219" w:lineRule="auto"/>
              <w:ind w:left="184"/>
              <w:rPr>
                <w:rFonts w:ascii="仿宋" w:hAnsi="仿宋" w:eastAsia="仿宋" w:cs="仿宋"/>
                <w:szCs w:val="21"/>
              </w:rPr>
            </w:pPr>
            <w:r>
              <w:rPr>
                <w:rFonts w:hint="eastAsia" w:ascii="仿宋" w:hAnsi="仿宋" w:eastAsia="仿宋" w:cs="仿宋"/>
                <w:spacing w:val="10"/>
                <w:szCs w:val="21"/>
              </w:rPr>
              <w:t>年度总体目</w:t>
            </w:r>
            <w:r>
              <w:rPr>
                <w:rFonts w:hint="eastAsia" w:ascii="仿宋" w:hAnsi="仿宋" w:eastAsia="仿宋" w:cs="仿宋"/>
                <w:spacing w:val="8"/>
                <w:szCs w:val="21"/>
              </w:rPr>
              <w:t>标</w:t>
            </w:r>
          </w:p>
        </w:tc>
        <w:tc>
          <w:tcPr>
            <w:tcW w:w="3834" w:type="dxa"/>
            <w:gridSpan w:val="4"/>
          </w:tcPr>
          <w:p>
            <w:pPr>
              <w:spacing w:before="103" w:line="227" w:lineRule="auto"/>
              <w:jc w:val="center"/>
              <w:rPr>
                <w:rFonts w:ascii="仿宋" w:hAnsi="仿宋" w:eastAsia="仿宋" w:cs="仿宋"/>
                <w:szCs w:val="21"/>
              </w:rPr>
            </w:pPr>
            <w:r>
              <w:rPr>
                <w:rFonts w:hint="eastAsia" w:ascii="仿宋" w:hAnsi="仿宋" w:eastAsia="仿宋" w:cs="仿宋"/>
                <w:spacing w:val="10"/>
                <w:szCs w:val="21"/>
              </w:rPr>
              <w:t>年</w:t>
            </w:r>
            <w:r>
              <w:rPr>
                <w:rFonts w:hint="eastAsia" w:ascii="仿宋" w:hAnsi="仿宋" w:eastAsia="仿宋" w:cs="仿宋"/>
                <w:spacing w:val="8"/>
                <w:szCs w:val="21"/>
              </w:rPr>
              <w:t>初设定目标</w:t>
            </w:r>
          </w:p>
        </w:tc>
        <w:tc>
          <w:tcPr>
            <w:tcW w:w="3745" w:type="dxa"/>
            <w:gridSpan w:val="5"/>
          </w:tcPr>
          <w:p>
            <w:pPr>
              <w:spacing w:before="103" w:line="227" w:lineRule="auto"/>
              <w:jc w:val="center"/>
              <w:rPr>
                <w:rFonts w:ascii="仿宋" w:hAnsi="仿宋" w:eastAsia="仿宋" w:cs="仿宋"/>
                <w:szCs w:val="21"/>
              </w:rPr>
            </w:pPr>
            <w:r>
              <w:rPr>
                <w:rFonts w:hint="eastAsia" w:ascii="仿宋" w:hAnsi="仿宋" w:eastAsia="仿宋" w:cs="仿宋"/>
                <w:spacing w:val="10"/>
                <w:szCs w:val="21"/>
              </w:rPr>
              <w:t>年度总体目标完成情况综述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 w:hRule="atLeast"/>
        </w:trPr>
        <w:tc>
          <w:tcPr>
            <w:tcW w:w="553" w:type="dxa"/>
            <w:vMerge w:val="continue"/>
            <w:tcBorders>
              <w:top w:val="nil"/>
            </w:tcBorders>
            <w:textDirection w:val="tbRlV"/>
          </w:tcPr>
          <w:p>
            <w:pPr>
              <w:rPr>
                <w:rFonts w:ascii="仿宋" w:hAnsi="仿宋" w:eastAsia="仿宋" w:cs="仿宋"/>
                <w:szCs w:val="21"/>
              </w:rPr>
            </w:pPr>
          </w:p>
        </w:tc>
        <w:tc>
          <w:tcPr>
            <w:tcW w:w="3834" w:type="dxa"/>
            <w:gridSpan w:val="4"/>
          </w:tcPr>
          <w:p>
            <w:pPr>
              <w:rPr>
                <w:rFonts w:ascii="仿宋" w:hAnsi="仿宋" w:eastAsia="仿宋" w:cs="仿宋"/>
                <w:szCs w:val="21"/>
              </w:rPr>
            </w:pPr>
          </w:p>
        </w:tc>
        <w:tc>
          <w:tcPr>
            <w:tcW w:w="3745" w:type="dxa"/>
            <w:gridSpan w:val="5"/>
          </w:tcPr>
          <w:p>
            <w:pP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553" w:type="dxa"/>
            <w:vMerge w:val="restart"/>
            <w:tcBorders>
              <w:bottom w:val="nil"/>
            </w:tcBorders>
            <w:vAlign w:val="bottom"/>
          </w:tcPr>
          <w:p>
            <w:pPr>
              <w:spacing w:before="62" w:line="210" w:lineRule="auto"/>
              <w:ind w:right="75"/>
              <w:jc w:val="center"/>
              <w:rPr>
                <w:rFonts w:ascii="仿宋" w:hAnsi="仿宋" w:eastAsia="仿宋" w:cs="仿宋"/>
                <w:spacing w:val="2"/>
                <w:szCs w:val="21"/>
              </w:rPr>
            </w:pPr>
            <w:r>
              <w:rPr>
                <w:rFonts w:hint="eastAsia" w:ascii="仿宋" w:hAnsi="仿宋" w:eastAsia="仿宋" w:cs="仿宋"/>
                <w:spacing w:val="2"/>
                <w:szCs w:val="21"/>
              </w:rPr>
              <w:t>绩</w:t>
            </w:r>
          </w:p>
          <w:p>
            <w:pPr>
              <w:spacing w:before="62" w:line="210" w:lineRule="auto"/>
              <w:ind w:right="75"/>
              <w:jc w:val="center"/>
              <w:rPr>
                <w:rFonts w:ascii="仿宋" w:hAnsi="仿宋" w:eastAsia="仿宋" w:cs="仿宋"/>
                <w:spacing w:val="2"/>
                <w:szCs w:val="21"/>
              </w:rPr>
            </w:pPr>
            <w:r>
              <w:rPr>
                <w:rFonts w:hint="eastAsia" w:ascii="仿宋" w:hAnsi="仿宋" w:eastAsia="仿宋" w:cs="仿宋"/>
                <w:spacing w:val="2"/>
                <w:szCs w:val="21"/>
              </w:rPr>
              <w:t>效</w:t>
            </w:r>
          </w:p>
          <w:p>
            <w:pPr>
              <w:spacing w:before="62" w:line="210" w:lineRule="auto"/>
              <w:ind w:right="75"/>
              <w:jc w:val="center"/>
              <w:rPr>
                <w:rFonts w:ascii="仿宋" w:hAnsi="仿宋" w:eastAsia="仿宋" w:cs="仿宋"/>
                <w:spacing w:val="4"/>
                <w:szCs w:val="21"/>
              </w:rPr>
            </w:pPr>
            <w:r>
              <w:rPr>
                <w:rFonts w:hint="eastAsia" w:ascii="仿宋" w:hAnsi="仿宋" w:eastAsia="仿宋" w:cs="仿宋"/>
                <w:spacing w:val="4"/>
                <w:szCs w:val="21"/>
              </w:rPr>
              <w:t>指</w:t>
            </w:r>
          </w:p>
          <w:p>
            <w:pPr>
              <w:spacing w:before="62" w:line="210" w:lineRule="auto"/>
              <w:ind w:right="75"/>
              <w:jc w:val="center"/>
              <w:rPr>
                <w:rFonts w:ascii="仿宋" w:hAnsi="仿宋" w:eastAsia="仿宋" w:cs="仿宋"/>
                <w:szCs w:val="21"/>
              </w:rPr>
            </w:pPr>
            <w:r>
              <w:rPr>
                <w:rFonts w:hint="eastAsia" w:ascii="仿宋" w:hAnsi="仿宋" w:eastAsia="仿宋" w:cs="仿宋"/>
                <w:spacing w:val="4"/>
                <w:szCs w:val="21"/>
              </w:rPr>
              <w:t>标</w:t>
            </w:r>
          </w:p>
        </w:tc>
        <w:tc>
          <w:tcPr>
            <w:tcW w:w="695"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一级指标</w:t>
            </w:r>
          </w:p>
        </w:tc>
        <w:tc>
          <w:tcPr>
            <w:tcW w:w="658"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二级指标</w:t>
            </w:r>
          </w:p>
        </w:tc>
        <w:tc>
          <w:tcPr>
            <w:tcW w:w="1379"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三级指标</w:t>
            </w:r>
          </w:p>
        </w:tc>
        <w:tc>
          <w:tcPr>
            <w:tcW w:w="1102" w:type="dxa"/>
            <w:vAlign w:val="center"/>
          </w:tcPr>
          <w:p>
            <w:pPr>
              <w:jc w:val="center"/>
              <w:rPr>
                <w:rFonts w:ascii="仿宋" w:hAnsi="仿宋" w:eastAsia="仿宋" w:cs="仿宋"/>
                <w:spacing w:val="8"/>
                <w:szCs w:val="21"/>
              </w:rPr>
            </w:pPr>
            <w:r>
              <w:rPr>
                <w:rFonts w:hint="eastAsia" w:ascii="仿宋" w:hAnsi="仿宋" w:eastAsia="仿宋" w:cs="仿宋"/>
                <w:spacing w:val="8"/>
                <w:szCs w:val="21"/>
              </w:rPr>
              <w:t>分值</w:t>
            </w:r>
          </w:p>
        </w:tc>
        <w:tc>
          <w:tcPr>
            <w:tcW w:w="738"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年度指标值</w:t>
            </w:r>
          </w:p>
        </w:tc>
        <w:tc>
          <w:tcPr>
            <w:tcW w:w="706"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全年实际值</w:t>
            </w:r>
          </w:p>
        </w:tc>
        <w:tc>
          <w:tcPr>
            <w:tcW w:w="650"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得分</w:t>
            </w:r>
          </w:p>
        </w:tc>
        <w:tc>
          <w:tcPr>
            <w:tcW w:w="1651" w:type="dxa"/>
            <w:gridSpan w:val="2"/>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未完成的原因及拟采取的改进措施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53" w:type="dxa"/>
            <w:vMerge w:val="continue"/>
            <w:tcBorders>
              <w:top w:val="nil"/>
              <w:bottom w:val="nil"/>
            </w:tcBorders>
          </w:tcPr>
          <w:p>
            <w:pPr>
              <w:rPr>
                <w:rFonts w:ascii="仿宋" w:hAnsi="仿宋" w:eastAsia="仿宋" w:cs="仿宋"/>
                <w:szCs w:val="21"/>
              </w:rPr>
            </w:pPr>
          </w:p>
        </w:tc>
        <w:tc>
          <w:tcPr>
            <w:tcW w:w="695" w:type="dxa"/>
            <w:vMerge w:val="restart"/>
            <w:tcBorders>
              <w:bottom w:val="nil"/>
            </w:tcBorders>
            <w:vAlign w:val="center"/>
          </w:tcPr>
          <w:p>
            <w:pPr>
              <w:spacing w:before="58" w:line="420" w:lineRule="exact"/>
              <w:jc w:val="center"/>
              <w:rPr>
                <w:rFonts w:ascii="仿宋" w:hAnsi="仿宋" w:eastAsia="仿宋" w:cs="仿宋"/>
                <w:szCs w:val="21"/>
              </w:rPr>
            </w:pPr>
            <w:r>
              <w:rPr>
                <w:rFonts w:hint="eastAsia" w:ascii="仿宋" w:hAnsi="仿宋" w:eastAsia="仿宋" w:cs="仿宋"/>
                <w:szCs w:val="21"/>
              </w:rPr>
              <w:t>产出指</w:t>
            </w:r>
            <w:r>
              <w:rPr>
                <w:rFonts w:hint="eastAsia" w:ascii="仿宋" w:hAnsi="仿宋" w:eastAsia="仿宋" w:cs="仿宋"/>
                <w:spacing w:val="-3"/>
                <w:szCs w:val="21"/>
              </w:rPr>
              <w:t>标</w:t>
            </w:r>
            <w:r>
              <w:rPr>
                <w:rFonts w:hint="eastAsia" w:ascii="仿宋" w:hAnsi="仿宋" w:eastAsia="仿宋" w:cs="仿宋"/>
                <w:spacing w:val="-1"/>
                <w:szCs w:val="21"/>
              </w:rPr>
              <w:t>(5</w:t>
            </w:r>
            <w:r>
              <w:rPr>
                <w:rFonts w:hint="eastAsia" w:ascii="仿宋" w:hAnsi="仿宋" w:eastAsia="仿宋" w:cs="仿宋"/>
                <w:szCs w:val="21"/>
              </w:rPr>
              <w:t>0分)</w:t>
            </w:r>
          </w:p>
        </w:tc>
        <w:tc>
          <w:tcPr>
            <w:tcW w:w="658" w:type="dxa"/>
            <w:vMerge w:val="restart"/>
            <w:tcBorders>
              <w:bottom w:val="nil"/>
            </w:tcBorders>
            <w:vAlign w:val="center"/>
          </w:tcPr>
          <w:p>
            <w:pPr>
              <w:spacing w:before="213" w:line="227" w:lineRule="auto"/>
              <w:jc w:val="center"/>
              <w:rPr>
                <w:rFonts w:ascii="仿宋" w:hAnsi="仿宋" w:eastAsia="仿宋" w:cs="仿宋"/>
                <w:szCs w:val="21"/>
              </w:rPr>
            </w:pPr>
            <w:r>
              <w:rPr>
                <w:rFonts w:hint="eastAsia" w:ascii="仿宋" w:hAnsi="仿宋" w:eastAsia="仿宋" w:cs="仿宋"/>
                <w:spacing w:val="8"/>
                <w:szCs w:val="21"/>
              </w:rPr>
              <w:t>数量指标</w:t>
            </w:r>
          </w:p>
        </w:tc>
        <w:tc>
          <w:tcPr>
            <w:tcW w:w="1379" w:type="dxa"/>
          </w:tcPr>
          <w:p>
            <w:pPr>
              <w:spacing w:line="205" w:lineRule="exact"/>
              <w:rPr>
                <w:rFonts w:ascii="仿宋" w:hAnsi="仿宋" w:eastAsia="仿宋" w:cs="仿宋"/>
                <w:szCs w:val="21"/>
              </w:rPr>
            </w:pPr>
            <w:r>
              <w:rPr>
                <w:rFonts w:hint="eastAsia" w:ascii="仿宋" w:hAnsi="仿宋" w:eastAsia="仿宋" w:cs="仿宋"/>
                <w:szCs w:val="21"/>
              </w:rPr>
              <w:tab/>
            </w: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bottom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restart"/>
            <w:tcBorders>
              <w:bottom w:val="nil"/>
            </w:tcBorders>
            <w:vAlign w:val="center"/>
          </w:tcPr>
          <w:p>
            <w:pPr>
              <w:spacing w:before="212" w:line="227" w:lineRule="auto"/>
              <w:jc w:val="center"/>
              <w:rPr>
                <w:rFonts w:ascii="仿宋" w:hAnsi="仿宋" w:eastAsia="仿宋" w:cs="仿宋"/>
                <w:szCs w:val="21"/>
              </w:rPr>
            </w:pPr>
            <w:r>
              <w:rPr>
                <w:rFonts w:hint="eastAsia" w:ascii="仿宋" w:hAnsi="仿宋" w:eastAsia="仿宋" w:cs="仿宋"/>
                <w:spacing w:val="8"/>
                <w:szCs w:val="21"/>
              </w:rPr>
              <w:t>质量指标</w:t>
            </w: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r>
              <w:rPr>
                <w:rFonts w:hint="eastAsia" w:ascii="仿宋" w:hAnsi="仿宋" w:eastAsia="仿宋" w:cs="仿宋"/>
                <w:szCs w:val="21"/>
              </w:rPr>
              <w:t>100%</w:t>
            </w: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bottom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r>
              <w:rPr>
                <w:rFonts w:hint="eastAsia" w:ascii="仿宋" w:hAnsi="仿宋" w:eastAsia="仿宋" w:cs="仿宋"/>
                <w:szCs w:val="21"/>
              </w:rPr>
              <w:t>100%</w:t>
            </w: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restart"/>
            <w:tcBorders>
              <w:bottom w:val="nil"/>
            </w:tcBorders>
            <w:vAlign w:val="center"/>
          </w:tcPr>
          <w:p>
            <w:pPr>
              <w:spacing w:before="213" w:line="227" w:lineRule="auto"/>
              <w:jc w:val="center"/>
              <w:rPr>
                <w:rFonts w:ascii="仿宋" w:hAnsi="仿宋" w:eastAsia="仿宋" w:cs="仿宋"/>
                <w:szCs w:val="21"/>
              </w:rPr>
            </w:pPr>
            <w:r>
              <w:rPr>
                <w:rFonts w:hint="eastAsia" w:ascii="仿宋" w:hAnsi="仿宋" w:eastAsia="仿宋" w:cs="仿宋"/>
                <w:spacing w:val="4"/>
                <w:szCs w:val="21"/>
              </w:rPr>
              <w:t>时</w:t>
            </w:r>
            <w:r>
              <w:rPr>
                <w:rFonts w:hint="eastAsia" w:ascii="仿宋" w:hAnsi="仿宋" w:eastAsia="仿宋" w:cs="仿宋"/>
                <w:spacing w:val="3"/>
                <w:szCs w:val="21"/>
              </w:rPr>
              <w:t>效指标</w:t>
            </w:r>
          </w:p>
        </w:tc>
        <w:tc>
          <w:tcPr>
            <w:tcW w:w="1379" w:type="dxa"/>
          </w:tcPr>
          <w:p>
            <w:pPr>
              <w:spacing w:line="205" w:lineRule="exact"/>
              <w:rPr>
                <w:rFonts w:ascii="仿宋" w:hAnsi="仿宋" w:eastAsia="仿宋" w:cs="仿宋"/>
                <w:szCs w:val="21"/>
              </w:rPr>
            </w:pPr>
            <w:r>
              <w:rPr>
                <w:rFonts w:hint="eastAsia" w:ascii="仿宋" w:hAnsi="仿宋" w:eastAsia="仿宋" w:cs="仿宋"/>
                <w:szCs w:val="21"/>
              </w:rPr>
              <w:t>项目实施时间</w:t>
            </w: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bottom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restart"/>
            <w:tcBorders>
              <w:bottom w:val="nil"/>
            </w:tcBorders>
            <w:vAlign w:val="center"/>
          </w:tcPr>
          <w:p>
            <w:pPr>
              <w:spacing w:before="212" w:line="227" w:lineRule="auto"/>
              <w:jc w:val="center"/>
              <w:rPr>
                <w:rFonts w:ascii="仿宋" w:hAnsi="仿宋" w:eastAsia="仿宋" w:cs="仿宋"/>
                <w:szCs w:val="21"/>
              </w:rPr>
            </w:pPr>
            <w:r>
              <w:rPr>
                <w:rFonts w:hint="eastAsia" w:ascii="仿宋" w:hAnsi="仿宋" w:eastAsia="仿宋" w:cs="仿宋"/>
                <w:spacing w:val="8"/>
                <w:szCs w:val="21"/>
              </w:rPr>
              <w:t>成</w:t>
            </w:r>
            <w:r>
              <w:rPr>
                <w:rFonts w:hint="eastAsia" w:ascii="仿宋" w:hAnsi="仿宋" w:eastAsia="仿宋" w:cs="仿宋"/>
                <w:spacing w:val="6"/>
                <w:szCs w:val="21"/>
              </w:rPr>
              <w:t>本指标</w:t>
            </w: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bottom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553" w:type="dxa"/>
            <w:vMerge w:val="continue"/>
            <w:tcBorders>
              <w:top w:val="nil"/>
              <w:bottom w:val="nil"/>
            </w:tcBorders>
          </w:tcPr>
          <w:p>
            <w:pPr>
              <w:rPr>
                <w:rFonts w:ascii="仿宋" w:hAnsi="仿宋" w:eastAsia="仿宋" w:cs="仿宋"/>
                <w:szCs w:val="21"/>
              </w:rPr>
            </w:pPr>
          </w:p>
        </w:tc>
        <w:tc>
          <w:tcPr>
            <w:tcW w:w="695" w:type="dxa"/>
            <w:vMerge w:val="restart"/>
            <w:tcBorders>
              <w:bottom w:val="nil"/>
            </w:tcBorders>
            <w:vAlign w:val="center"/>
          </w:tcPr>
          <w:p>
            <w:pPr>
              <w:spacing w:before="59" w:line="212" w:lineRule="auto"/>
              <w:ind w:right="62"/>
              <w:jc w:val="center"/>
              <w:rPr>
                <w:rFonts w:ascii="仿宋" w:hAnsi="仿宋" w:eastAsia="仿宋" w:cs="仿宋"/>
                <w:szCs w:val="21"/>
              </w:rPr>
            </w:pPr>
            <w:r>
              <w:rPr>
                <w:rFonts w:hint="eastAsia" w:ascii="仿宋" w:hAnsi="仿宋" w:eastAsia="仿宋" w:cs="仿宋"/>
                <w:spacing w:val="6"/>
                <w:szCs w:val="21"/>
              </w:rPr>
              <w:t>效</w:t>
            </w:r>
            <w:r>
              <w:rPr>
                <w:rFonts w:hint="eastAsia" w:ascii="仿宋" w:hAnsi="仿宋" w:eastAsia="仿宋" w:cs="仿宋"/>
                <w:spacing w:val="5"/>
                <w:szCs w:val="21"/>
              </w:rPr>
              <w:t>益指标</w:t>
            </w:r>
            <w:r>
              <w:rPr>
                <w:rFonts w:hint="eastAsia" w:ascii="仿宋" w:hAnsi="仿宋" w:eastAsia="仿宋" w:cs="仿宋"/>
                <w:spacing w:val="4"/>
                <w:szCs w:val="21"/>
              </w:rPr>
              <w:t>(30</w:t>
            </w:r>
            <w:r>
              <w:rPr>
                <w:rFonts w:hint="eastAsia" w:ascii="仿宋" w:hAnsi="仿宋" w:eastAsia="仿宋" w:cs="仿宋"/>
                <w:spacing w:val="20"/>
                <w:szCs w:val="21"/>
              </w:rPr>
              <w:t>分</w:t>
            </w:r>
            <w:r>
              <w:rPr>
                <w:rFonts w:hint="eastAsia" w:ascii="仿宋" w:hAnsi="仿宋" w:eastAsia="仿宋" w:cs="仿宋"/>
                <w:spacing w:val="19"/>
                <w:szCs w:val="21"/>
              </w:rPr>
              <w:t>)</w:t>
            </w:r>
          </w:p>
        </w:tc>
        <w:tc>
          <w:tcPr>
            <w:tcW w:w="658" w:type="dxa"/>
            <w:vMerge w:val="restart"/>
            <w:tcBorders>
              <w:bottom w:val="nil"/>
            </w:tcBorders>
            <w:vAlign w:val="center"/>
          </w:tcPr>
          <w:p>
            <w:pPr>
              <w:spacing w:before="111" w:line="221" w:lineRule="auto"/>
              <w:ind w:right="119"/>
              <w:jc w:val="center"/>
              <w:rPr>
                <w:rFonts w:ascii="仿宋" w:hAnsi="仿宋" w:eastAsia="仿宋" w:cs="仿宋"/>
                <w:szCs w:val="21"/>
              </w:rPr>
            </w:pPr>
            <w:r>
              <w:rPr>
                <w:rFonts w:hint="eastAsia" w:ascii="仿宋" w:hAnsi="仿宋" w:eastAsia="仿宋" w:cs="仿宋"/>
                <w:spacing w:val="8"/>
                <w:szCs w:val="21"/>
              </w:rPr>
              <w:t>经</w:t>
            </w:r>
            <w:r>
              <w:rPr>
                <w:rFonts w:hint="eastAsia" w:ascii="仿宋" w:hAnsi="仿宋" w:eastAsia="仿宋" w:cs="仿宋"/>
                <w:spacing w:val="6"/>
                <w:szCs w:val="21"/>
              </w:rPr>
              <w:t>济效益</w:t>
            </w:r>
            <w:r>
              <w:rPr>
                <w:rFonts w:hint="eastAsia" w:ascii="仿宋" w:hAnsi="仿宋" w:eastAsia="仿宋" w:cs="仿宋"/>
                <w:spacing w:val="5"/>
                <w:szCs w:val="21"/>
              </w:rPr>
              <w:t>指</w:t>
            </w:r>
            <w:r>
              <w:rPr>
                <w:rFonts w:hint="eastAsia" w:ascii="仿宋" w:hAnsi="仿宋" w:eastAsia="仿宋" w:cs="仿宋"/>
                <w:spacing w:val="4"/>
                <w:szCs w:val="21"/>
              </w:rPr>
              <w:t>标</w:t>
            </w:r>
          </w:p>
        </w:tc>
        <w:tc>
          <w:tcPr>
            <w:tcW w:w="1379" w:type="dxa"/>
          </w:tcPr>
          <w:p>
            <w:pPr>
              <w:spacing w:line="205" w:lineRule="exact"/>
              <w:rPr>
                <w:rFonts w:ascii="仿宋" w:hAnsi="仿宋" w:eastAsia="仿宋" w:cs="仿宋"/>
                <w:szCs w:val="21"/>
              </w:rPr>
            </w:pP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bottom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restart"/>
            <w:tcBorders>
              <w:bottom w:val="nil"/>
            </w:tcBorders>
            <w:vAlign w:val="center"/>
          </w:tcPr>
          <w:p>
            <w:pPr>
              <w:spacing w:before="7" w:line="209" w:lineRule="auto"/>
              <w:ind w:right="119"/>
              <w:jc w:val="center"/>
              <w:rPr>
                <w:rFonts w:ascii="仿宋" w:hAnsi="仿宋" w:eastAsia="仿宋" w:cs="仿宋"/>
                <w:szCs w:val="21"/>
              </w:rPr>
            </w:pPr>
            <w:r>
              <w:rPr>
                <w:rFonts w:hint="eastAsia" w:ascii="仿宋" w:hAnsi="仿宋" w:eastAsia="仿宋" w:cs="仿宋"/>
                <w:spacing w:val="7"/>
                <w:szCs w:val="21"/>
              </w:rPr>
              <w:t>社会效</w:t>
            </w:r>
            <w:r>
              <w:rPr>
                <w:rFonts w:hint="eastAsia" w:ascii="仿宋" w:hAnsi="仿宋" w:eastAsia="仿宋" w:cs="仿宋"/>
                <w:spacing w:val="6"/>
                <w:szCs w:val="21"/>
              </w:rPr>
              <w:t>益</w:t>
            </w:r>
            <w:r>
              <w:rPr>
                <w:rFonts w:hint="eastAsia" w:ascii="仿宋" w:hAnsi="仿宋" w:eastAsia="仿宋" w:cs="仿宋"/>
                <w:spacing w:val="5"/>
                <w:szCs w:val="21"/>
              </w:rPr>
              <w:t>指</w:t>
            </w:r>
            <w:r>
              <w:rPr>
                <w:rFonts w:hint="eastAsia" w:ascii="仿宋" w:hAnsi="仿宋" w:eastAsia="仿宋" w:cs="仿宋"/>
                <w:spacing w:val="4"/>
                <w:szCs w:val="21"/>
              </w:rPr>
              <w:t>标</w:t>
            </w:r>
          </w:p>
        </w:tc>
        <w:tc>
          <w:tcPr>
            <w:tcW w:w="1379" w:type="dxa"/>
          </w:tcPr>
          <w:p>
            <w:pPr>
              <w:spacing w:line="205" w:lineRule="exact"/>
              <w:rPr>
                <w:rFonts w:ascii="仿宋" w:hAnsi="仿宋" w:eastAsia="仿宋" w:cs="仿宋"/>
                <w:szCs w:val="21"/>
              </w:rPr>
            </w:pPr>
            <w:r>
              <w:rPr>
                <w:rFonts w:hint="eastAsia" w:ascii="仿宋" w:hAnsi="仿宋" w:eastAsia="仿宋" w:cs="仿宋"/>
                <w:szCs w:val="21"/>
              </w:rPr>
              <w:tab/>
            </w: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restart"/>
            <w:tcBorders>
              <w:bottom w:val="nil"/>
            </w:tcBorders>
            <w:vAlign w:val="center"/>
          </w:tcPr>
          <w:p>
            <w:pPr>
              <w:spacing w:before="111" w:line="223" w:lineRule="auto"/>
              <w:ind w:right="23"/>
              <w:jc w:val="center"/>
              <w:rPr>
                <w:rFonts w:ascii="仿宋" w:hAnsi="仿宋" w:eastAsia="仿宋" w:cs="仿宋"/>
                <w:szCs w:val="21"/>
              </w:rPr>
            </w:pPr>
            <w:r>
              <w:rPr>
                <w:rFonts w:hint="eastAsia" w:ascii="仿宋" w:hAnsi="仿宋" w:eastAsia="仿宋" w:cs="仿宋"/>
                <w:spacing w:val="7"/>
                <w:szCs w:val="21"/>
              </w:rPr>
              <w:t>生</w:t>
            </w:r>
            <w:r>
              <w:rPr>
                <w:rFonts w:hint="eastAsia" w:ascii="仿宋" w:hAnsi="仿宋" w:eastAsia="仿宋" w:cs="仿宋"/>
                <w:spacing w:val="6"/>
                <w:szCs w:val="21"/>
              </w:rPr>
              <w:t>态效益指</w:t>
            </w:r>
            <w:r>
              <w:rPr>
                <w:rFonts w:hint="eastAsia" w:ascii="仿宋" w:hAnsi="仿宋" w:eastAsia="仿宋" w:cs="仿宋"/>
                <w:spacing w:val="4"/>
                <w:szCs w:val="21"/>
              </w:rPr>
              <w:t>标</w:t>
            </w:r>
          </w:p>
        </w:tc>
        <w:tc>
          <w:tcPr>
            <w:tcW w:w="1379" w:type="dxa"/>
          </w:tcPr>
          <w:p>
            <w:pPr>
              <w:spacing w:line="205" w:lineRule="exact"/>
              <w:rPr>
                <w:rFonts w:ascii="仿宋" w:hAnsi="仿宋" w:eastAsia="仿宋" w:cs="仿宋"/>
                <w:szCs w:val="21"/>
              </w:rPr>
            </w:pPr>
            <w:r>
              <w:rPr>
                <w:rFonts w:ascii="仿宋" w:hAnsi="仿宋" w:eastAsia="仿宋" w:cs="仿宋"/>
                <w:szCs w:val="21"/>
              </w:rPr>
              <w:tab/>
            </w: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bottom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restart"/>
            <w:tcBorders>
              <w:bottom w:val="nil"/>
            </w:tcBorders>
            <w:vAlign w:val="center"/>
          </w:tcPr>
          <w:p>
            <w:pPr>
              <w:spacing w:before="111" w:line="221" w:lineRule="auto"/>
              <w:ind w:right="23"/>
              <w:jc w:val="center"/>
              <w:rPr>
                <w:rFonts w:ascii="仿宋" w:hAnsi="仿宋" w:eastAsia="仿宋" w:cs="仿宋"/>
                <w:szCs w:val="21"/>
              </w:rPr>
            </w:pPr>
            <w:r>
              <w:rPr>
                <w:rFonts w:hint="eastAsia" w:ascii="仿宋" w:hAnsi="仿宋" w:eastAsia="仿宋" w:cs="仿宋"/>
                <w:spacing w:val="7"/>
                <w:szCs w:val="21"/>
              </w:rPr>
              <w:t>可持续影响</w:t>
            </w:r>
            <w:r>
              <w:rPr>
                <w:rFonts w:hint="eastAsia" w:ascii="仿宋" w:hAnsi="仿宋" w:eastAsia="仿宋" w:cs="仿宋"/>
                <w:spacing w:val="5"/>
                <w:szCs w:val="21"/>
              </w:rPr>
              <w:t>指</w:t>
            </w:r>
            <w:r>
              <w:rPr>
                <w:rFonts w:hint="eastAsia" w:ascii="仿宋" w:hAnsi="仿宋" w:eastAsia="仿宋" w:cs="仿宋"/>
                <w:spacing w:val="4"/>
                <w:szCs w:val="21"/>
              </w:rPr>
              <w:t>标</w:t>
            </w: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r>
              <w:rPr>
                <w:rFonts w:hint="eastAsia" w:ascii="仿宋" w:hAnsi="仿宋" w:eastAsia="仿宋" w:cs="仿宋"/>
                <w:szCs w:val="21"/>
              </w:rPr>
              <w:t>一年</w:t>
            </w: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bottom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553" w:type="dxa"/>
            <w:vMerge w:val="continue"/>
            <w:tcBorders>
              <w:top w:val="nil"/>
              <w:bottom w:val="nil"/>
            </w:tcBorders>
          </w:tcPr>
          <w:p>
            <w:pPr>
              <w:rPr>
                <w:rFonts w:ascii="仿宋" w:hAnsi="仿宋" w:eastAsia="仿宋" w:cs="仿宋"/>
                <w:szCs w:val="21"/>
              </w:rPr>
            </w:pPr>
          </w:p>
        </w:tc>
        <w:tc>
          <w:tcPr>
            <w:tcW w:w="695" w:type="dxa"/>
            <w:vMerge w:val="restart"/>
            <w:tcBorders>
              <w:bottom w:val="nil"/>
            </w:tcBorders>
            <w:vAlign w:val="center"/>
          </w:tcPr>
          <w:p>
            <w:pPr>
              <w:spacing w:before="4" w:line="194" w:lineRule="auto"/>
              <w:ind w:right="62"/>
              <w:jc w:val="center"/>
              <w:rPr>
                <w:rFonts w:ascii="仿宋" w:hAnsi="仿宋" w:eastAsia="仿宋" w:cs="仿宋"/>
                <w:szCs w:val="21"/>
              </w:rPr>
            </w:pPr>
            <w:r>
              <w:rPr>
                <w:rFonts w:hint="eastAsia" w:ascii="仿宋" w:hAnsi="仿宋" w:eastAsia="仿宋" w:cs="仿宋"/>
                <w:spacing w:val="5"/>
                <w:szCs w:val="21"/>
              </w:rPr>
              <w:t>满</w:t>
            </w:r>
            <w:r>
              <w:rPr>
                <w:rFonts w:hint="eastAsia" w:ascii="仿宋" w:hAnsi="仿宋" w:eastAsia="仿宋" w:cs="仿宋"/>
                <w:spacing w:val="4"/>
                <w:szCs w:val="21"/>
              </w:rPr>
              <w:t>意度</w:t>
            </w:r>
            <w:r>
              <w:rPr>
                <w:rFonts w:hint="eastAsia" w:ascii="仿宋" w:hAnsi="仿宋" w:eastAsia="仿宋" w:cs="仿宋"/>
                <w:szCs w:val="21"/>
              </w:rPr>
              <w:t>指</w:t>
            </w:r>
            <w:r>
              <w:rPr>
                <w:rFonts w:hint="eastAsia" w:ascii="仿宋" w:hAnsi="仿宋" w:eastAsia="仿宋" w:cs="仿宋"/>
                <w:spacing w:val="4"/>
                <w:szCs w:val="21"/>
              </w:rPr>
              <w:t>标(10)</w:t>
            </w:r>
            <w:r>
              <w:rPr>
                <w:rFonts w:hint="eastAsia" w:ascii="仿宋" w:hAnsi="仿宋" w:eastAsia="仿宋" w:cs="仿宋"/>
                <w:spacing w:val="1"/>
                <w:szCs w:val="21"/>
              </w:rPr>
              <w:t>分</w:t>
            </w:r>
          </w:p>
        </w:tc>
        <w:tc>
          <w:tcPr>
            <w:tcW w:w="658" w:type="dxa"/>
            <w:vMerge w:val="restart"/>
            <w:tcBorders>
              <w:bottom w:val="nil"/>
            </w:tcBorders>
            <w:vAlign w:val="center"/>
          </w:tcPr>
          <w:p>
            <w:pPr>
              <w:spacing w:before="101" w:line="207" w:lineRule="auto"/>
              <w:jc w:val="center"/>
              <w:rPr>
                <w:rFonts w:ascii="仿宋" w:hAnsi="仿宋" w:eastAsia="仿宋" w:cs="仿宋"/>
                <w:szCs w:val="21"/>
              </w:rPr>
            </w:pPr>
            <w:r>
              <w:rPr>
                <w:rFonts w:hint="eastAsia" w:ascii="仿宋" w:hAnsi="仿宋" w:eastAsia="仿宋" w:cs="仿宋"/>
                <w:spacing w:val="9"/>
                <w:szCs w:val="21"/>
              </w:rPr>
              <w:t>服</w:t>
            </w:r>
            <w:r>
              <w:rPr>
                <w:rFonts w:hint="eastAsia" w:ascii="仿宋" w:hAnsi="仿宋" w:eastAsia="仿宋" w:cs="仿宋"/>
                <w:spacing w:val="8"/>
                <w:szCs w:val="21"/>
              </w:rPr>
              <w:t>务对象满</w:t>
            </w:r>
            <w:r>
              <w:rPr>
                <w:rFonts w:hint="eastAsia" w:ascii="仿宋" w:hAnsi="仿宋" w:eastAsia="仿宋" w:cs="仿宋"/>
                <w:spacing w:val="3"/>
                <w:szCs w:val="21"/>
              </w:rPr>
              <w:t>意度指</w:t>
            </w:r>
            <w:r>
              <w:rPr>
                <w:rFonts w:hint="eastAsia" w:ascii="仿宋" w:hAnsi="仿宋" w:eastAsia="仿宋" w:cs="仿宋"/>
                <w:spacing w:val="4"/>
                <w:szCs w:val="21"/>
              </w:rPr>
              <w:t>标</w:t>
            </w:r>
          </w:p>
        </w:tc>
        <w:tc>
          <w:tcPr>
            <w:tcW w:w="1379" w:type="dxa"/>
          </w:tcPr>
          <w:p>
            <w:pPr>
              <w:spacing w:line="205" w:lineRule="exact"/>
              <w:rPr>
                <w:rFonts w:ascii="仿宋" w:hAnsi="仿宋" w:eastAsia="仿宋" w:cs="仿宋"/>
                <w:szCs w:val="21"/>
              </w:rPr>
            </w:pPr>
            <w:r>
              <w:rPr>
                <w:rFonts w:hint="eastAsia" w:ascii="仿宋" w:hAnsi="仿宋" w:eastAsia="仿宋" w:cs="仿宋"/>
                <w:szCs w:val="21"/>
              </w:rPr>
              <w:t>受益对象满意度</w:t>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r>
              <w:rPr>
                <w:rFonts w:hint="eastAsia" w:ascii="仿宋" w:hAnsi="仿宋" w:eastAsia="仿宋" w:cs="仿宋"/>
                <w:szCs w:val="21"/>
              </w:rPr>
              <w:t>≥95%</w:t>
            </w:r>
            <w:r>
              <w:rPr>
                <w:rFonts w:hint="eastAsia" w:ascii="仿宋" w:hAnsi="仿宋" w:eastAsia="仿宋" w:cs="仿宋"/>
                <w:szCs w:val="21"/>
              </w:rPr>
              <w:tab/>
            </w:r>
            <w:r>
              <w:rPr>
                <w:rFonts w:hint="eastAsia" w:ascii="仿宋" w:hAnsi="仿宋" w:eastAsia="仿宋" w:cs="仿宋"/>
                <w:szCs w:val="21"/>
              </w:rPr>
              <w:tab/>
            </w: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bottom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r>
              <w:rPr>
                <w:rFonts w:hint="eastAsia" w:ascii="仿宋" w:hAnsi="仿宋" w:eastAsia="仿宋" w:cs="仿宋"/>
                <w:szCs w:val="21"/>
              </w:rPr>
              <w:t>社会公众满意度</w:t>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p>
        </w:tc>
        <w:tc>
          <w:tcPr>
            <w:tcW w:w="1102" w:type="dxa"/>
          </w:tcPr>
          <w:p>
            <w:pPr>
              <w:spacing w:line="205" w:lineRule="exact"/>
              <w:rPr>
                <w:rFonts w:ascii="仿宋" w:hAnsi="仿宋" w:eastAsia="仿宋" w:cs="仿宋"/>
                <w:szCs w:val="21"/>
              </w:rPr>
            </w:pPr>
          </w:p>
        </w:tc>
        <w:tc>
          <w:tcPr>
            <w:tcW w:w="738" w:type="dxa"/>
          </w:tcPr>
          <w:p>
            <w:pPr>
              <w:spacing w:line="205" w:lineRule="exact"/>
              <w:rPr>
                <w:rFonts w:ascii="仿宋" w:hAnsi="仿宋" w:eastAsia="仿宋" w:cs="仿宋"/>
                <w:szCs w:val="21"/>
              </w:rPr>
            </w:pPr>
            <w:r>
              <w:rPr>
                <w:rFonts w:hint="eastAsia" w:ascii="仿宋" w:hAnsi="仿宋" w:eastAsia="仿宋" w:cs="仿宋"/>
                <w:szCs w:val="21"/>
              </w:rPr>
              <w:t>≥95%</w:t>
            </w:r>
            <w:r>
              <w:rPr>
                <w:rFonts w:hint="eastAsia" w:ascii="仿宋" w:hAnsi="仿宋" w:eastAsia="仿宋" w:cs="仿宋"/>
                <w:szCs w:val="21"/>
              </w:rPr>
              <w:tab/>
            </w:r>
            <w:r>
              <w:rPr>
                <w:rFonts w:hint="eastAsia" w:ascii="仿宋" w:hAnsi="仿宋" w:eastAsia="仿宋" w:cs="仿宋"/>
                <w:szCs w:val="21"/>
              </w:rPr>
              <w:tab/>
            </w:r>
          </w:p>
        </w:tc>
        <w:tc>
          <w:tcPr>
            <w:tcW w:w="706" w:type="dxa"/>
          </w:tcPr>
          <w:p>
            <w:pPr>
              <w:spacing w:line="205" w:lineRule="exact"/>
              <w:rPr>
                <w:rFonts w:ascii="仿宋" w:hAnsi="仿宋" w:eastAsia="仿宋" w:cs="仿宋"/>
                <w:szCs w:val="21"/>
              </w:rPr>
            </w:pPr>
          </w:p>
        </w:tc>
        <w:tc>
          <w:tcPr>
            <w:tcW w:w="650" w:type="dxa"/>
          </w:tcPr>
          <w:p>
            <w:pPr>
              <w:spacing w:line="205" w:lineRule="exact"/>
              <w:rPr>
                <w:rFonts w:ascii="仿宋" w:hAnsi="仿宋" w:eastAsia="仿宋" w:cs="仿宋"/>
                <w:szCs w:val="21"/>
              </w:rPr>
            </w:pPr>
          </w:p>
        </w:tc>
        <w:tc>
          <w:tcPr>
            <w:tcW w:w="1651" w:type="dxa"/>
            <w:gridSpan w:val="2"/>
          </w:tcPr>
          <w:p>
            <w:pPr>
              <w:spacing w:line="205" w:lineRule="exact"/>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53" w:type="dxa"/>
            <w:vMerge w:val="continue"/>
            <w:tcBorders>
              <w:top w:val="nil"/>
            </w:tcBorders>
          </w:tcPr>
          <w:p>
            <w:pPr>
              <w:rPr>
                <w:rFonts w:ascii="仿宋" w:hAnsi="仿宋" w:eastAsia="仿宋" w:cs="仿宋"/>
                <w:szCs w:val="21"/>
              </w:rPr>
            </w:pPr>
          </w:p>
        </w:tc>
        <w:tc>
          <w:tcPr>
            <w:tcW w:w="695" w:type="dxa"/>
            <w:vMerge w:val="continue"/>
            <w:tcBorders>
              <w:top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rPr>
                <w:rFonts w:ascii="仿宋" w:hAnsi="仿宋" w:eastAsia="仿宋" w:cs="仿宋"/>
                <w:szCs w:val="21"/>
              </w:rPr>
            </w:pPr>
          </w:p>
        </w:tc>
        <w:tc>
          <w:tcPr>
            <w:tcW w:w="1102" w:type="dxa"/>
          </w:tcPr>
          <w:p>
            <w:pPr>
              <w:rPr>
                <w:rFonts w:ascii="仿宋" w:hAnsi="仿宋" w:eastAsia="仿宋" w:cs="仿宋"/>
                <w:szCs w:val="21"/>
              </w:rPr>
            </w:pPr>
          </w:p>
        </w:tc>
        <w:tc>
          <w:tcPr>
            <w:tcW w:w="738" w:type="dxa"/>
          </w:tcPr>
          <w:p>
            <w:pPr>
              <w:rPr>
                <w:rFonts w:ascii="仿宋" w:hAnsi="仿宋" w:eastAsia="仿宋" w:cs="仿宋"/>
                <w:szCs w:val="21"/>
              </w:rPr>
            </w:pPr>
          </w:p>
        </w:tc>
        <w:tc>
          <w:tcPr>
            <w:tcW w:w="706" w:type="dxa"/>
          </w:tcPr>
          <w:p>
            <w:pPr>
              <w:rPr>
                <w:rFonts w:ascii="仿宋" w:hAnsi="仿宋" w:eastAsia="仿宋" w:cs="仿宋"/>
                <w:szCs w:val="21"/>
              </w:rPr>
            </w:pPr>
          </w:p>
        </w:tc>
        <w:tc>
          <w:tcPr>
            <w:tcW w:w="650" w:type="dxa"/>
          </w:tcPr>
          <w:p>
            <w:pPr>
              <w:rPr>
                <w:rFonts w:ascii="仿宋" w:hAnsi="仿宋" w:eastAsia="仿宋" w:cs="仿宋"/>
                <w:szCs w:val="21"/>
              </w:rPr>
            </w:pPr>
          </w:p>
        </w:tc>
        <w:tc>
          <w:tcPr>
            <w:tcW w:w="1651" w:type="dxa"/>
            <w:gridSpan w:val="2"/>
          </w:tcPr>
          <w:p>
            <w:pP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3285" w:type="dxa"/>
            <w:gridSpan w:val="4"/>
          </w:tcPr>
          <w:p>
            <w:pPr>
              <w:spacing w:before="71" w:line="229" w:lineRule="auto"/>
              <w:jc w:val="center"/>
              <w:rPr>
                <w:rFonts w:ascii="仿宋" w:hAnsi="仿宋" w:eastAsia="仿宋" w:cs="仿宋"/>
                <w:szCs w:val="21"/>
              </w:rPr>
            </w:pPr>
            <w:r>
              <w:rPr>
                <w:rFonts w:hint="eastAsia" w:ascii="仿宋" w:hAnsi="仿宋" w:eastAsia="仿宋" w:cs="仿宋"/>
                <w:spacing w:val="-1"/>
                <w:szCs w:val="21"/>
              </w:rPr>
              <w:t>总</w:t>
            </w:r>
            <w:r>
              <w:rPr>
                <w:rFonts w:hint="eastAsia" w:ascii="仿宋" w:hAnsi="仿宋" w:eastAsia="仿宋" w:cs="仿宋"/>
                <w:szCs w:val="21"/>
              </w:rPr>
              <w:t>分</w:t>
            </w:r>
          </w:p>
        </w:tc>
        <w:tc>
          <w:tcPr>
            <w:tcW w:w="1102" w:type="dxa"/>
          </w:tcPr>
          <w:p>
            <w:pPr>
              <w:spacing w:before="104" w:line="196" w:lineRule="auto"/>
              <w:jc w:val="center"/>
              <w:rPr>
                <w:rFonts w:ascii="仿宋" w:hAnsi="仿宋" w:eastAsia="仿宋" w:cs="仿宋"/>
                <w:szCs w:val="21"/>
              </w:rPr>
            </w:pPr>
            <w:r>
              <w:rPr>
                <w:rFonts w:hint="eastAsia" w:ascii="仿宋" w:hAnsi="仿宋" w:eastAsia="仿宋" w:cs="仿宋"/>
                <w:spacing w:val="-2"/>
                <w:szCs w:val="21"/>
              </w:rPr>
              <w:t>100</w:t>
            </w:r>
          </w:p>
        </w:tc>
        <w:tc>
          <w:tcPr>
            <w:tcW w:w="1444" w:type="dxa"/>
            <w:gridSpan w:val="2"/>
          </w:tcPr>
          <w:p>
            <w:pPr>
              <w:rPr>
                <w:rFonts w:ascii="仿宋" w:hAnsi="仿宋" w:eastAsia="仿宋" w:cs="仿宋"/>
                <w:szCs w:val="21"/>
              </w:rPr>
            </w:pPr>
          </w:p>
        </w:tc>
        <w:tc>
          <w:tcPr>
            <w:tcW w:w="650" w:type="dxa"/>
          </w:tcPr>
          <w:p>
            <w:pPr>
              <w:rPr>
                <w:rFonts w:ascii="仿宋" w:hAnsi="仿宋" w:eastAsia="仿宋" w:cs="仿宋"/>
                <w:szCs w:val="21"/>
              </w:rPr>
            </w:pPr>
          </w:p>
        </w:tc>
        <w:tc>
          <w:tcPr>
            <w:tcW w:w="1651" w:type="dxa"/>
            <w:gridSpan w:val="2"/>
          </w:tcPr>
          <w:p>
            <w:pPr>
              <w:rPr>
                <w:rFonts w:ascii="仿宋" w:hAnsi="仿宋" w:eastAsia="仿宋" w:cs="仿宋"/>
                <w:szCs w:val="21"/>
              </w:rPr>
            </w:pPr>
          </w:p>
        </w:tc>
      </w:tr>
    </w:tbl>
    <w:p>
      <w:pPr>
        <w:pStyle w:val="2"/>
        <w:widowControl/>
        <w:shd w:val="clear" w:color="auto" w:fill="FFFFFF"/>
        <w:spacing w:beforeAutospacing="0" w:afterAutospacing="0" w:line="480" w:lineRule="atLeast"/>
        <w:jc w:val="both"/>
        <w:rPr>
          <w:rFonts w:ascii="仿宋_GB2312" w:eastAsia="仿宋_GB2312" w:cs="仿宋_GB2312"/>
          <w:color w:val="000000"/>
          <w:shd w:val="clear" w:color="auto" w:fill="FFFFFF"/>
        </w:rPr>
      </w:pPr>
    </w:p>
    <w:p>
      <w:pPr>
        <w:pStyle w:val="2"/>
        <w:widowControl/>
        <w:shd w:val="clear" w:color="auto" w:fill="FFFFFF"/>
        <w:spacing w:beforeAutospacing="0" w:afterAutospacing="0" w:line="480" w:lineRule="atLeast"/>
        <w:jc w:val="both"/>
        <w:rPr>
          <w:rFonts w:ascii="仿宋_GB2312" w:eastAsia="仿宋_GB2312" w:cs="仿宋_GB2312"/>
          <w:color w:val="000000"/>
        </w:rPr>
      </w:pPr>
      <w:r>
        <w:rPr>
          <w:rFonts w:ascii="仿宋_GB2312" w:eastAsia="仿宋_GB2312" w:cs="仿宋_GB2312"/>
          <w:color w:val="000000"/>
          <w:shd w:val="clear" w:color="auto" w:fill="FFFFFF"/>
        </w:rPr>
        <w:t>说明：1.分值设定100分，其中预算执行率10分、产出指标50分、效益指标30分、满意度指标10分。除预算执行率外的指标应根据权重自行合理设定分值。</w:t>
      </w:r>
    </w:p>
    <w:p>
      <w:pPr>
        <w:pStyle w:val="2"/>
        <w:widowControl/>
        <w:shd w:val="clear" w:color="auto" w:fill="FFFFFF"/>
        <w:spacing w:beforeAutospacing="0" w:afterAutospacing="0" w:line="480" w:lineRule="atLeast"/>
        <w:jc w:val="both"/>
        <w:rPr>
          <w:rFonts w:ascii="仿宋_GB2312" w:eastAsia="仿宋_GB2312" w:cs="仿宋_GB2312"/>
          <w:color w:val="000000"/>
          <w:shd w:val="clear" w:color="auto" w:fill="FFFFFF"/>
        </w:rPr>
      </w:pPr>
      <w:r>
        <w:rPr>
          <w:rFonts w:ascii="仿宋_GB2312" w:eastAsia="仿宋_GB2312" w:cs="仿宋_GB2312"/>
          <w:color w:val="000000"/>
          <w:shd w:val="clear" w:color="auto" w:fill="FFFFFF"/>
        </w:rPr>
        <w:t>   </w:t>
      </w:r>
      <w:r>
        <w:rPr>
          <w:rFonts w:hint="eastAsia" w:ascii="仿宋_GB2312" w:eastAsia="仿宋_GB2312" w:cs="仿宋_GB2312"/>
          <w:color w:val="000000"/>
          <w:shd w:val="clear" w:color="auto" w:fill="FFFFFF"/>
        </w:rPr>
        <w:t xml:space="preserve">    </w:t>
      </w:r>
      <w:r>
        <w:rPr>
          <w:rFonts w:ascii="仿宋_GB2312" w:eastAsia="仿宋_GB2312" w:cs="仿宋_GB2312"/>
          <w:color w:val="000000"/>
          <w:shd w:val="clear" w:color="auto" w:fill="FFFFFF"/>
        </w:rPr>
        <w:t>2.综合评价等级分为优秀（</w:t>
      </w:r>
      <w:r>
        <w:rPr>
          <w:rFonts w:hint="eastAsia" w:ascii="仿宋_GB2312" w:eastAsia="仿宋_GB2312" w:cs="仿宋_GB2312"/>
          <w:color w:val="000000"/>
          <w:shd w:val="clear" w:color="auto" w:fill="FFFFFF"/>
        </w:rPr>
        <w:t>大于</w:t>
      </w:r>
      <w:r>
        <w:rPr>
          <w:rFonts w:ascii="仿宋_GB2312" w:eastAsia="仿宋_GB2312" w:cs="仿宋_GB2312"/>
          <w:color w:val="000000"/>
          <w:shd w:val="clear" w:color="auto" w:fill="FFFFFF"/>
        </w:rPr>
        <w:t>90</w:t>
      </w:r>
      <w:r>
        <w:rPr>
          <w:rFonts w:hint="eastAsia" w:ascii="仿宋_GB2312" w:eastAsia="仿宋_GB2312" w:cs="仿宋_GB2312"/>
          <w:color w:val="000000"/>
          <w:shd w:val="clear" w:color="auto" w:fill="FFFFFF"/>
        </w:rPr>
        <w:t>分</w:t>
      </w:r>
      <w:r>
        <w:rPr>
          <w:rFonts w:ascii="仿宋_GB2312" w:eastAsia="仿宋_GB2312" w:cs="仿宋_GB2312"/>
          <w:color w:val="000000"/>
          <w:shd w:val="clear" w:color="auto" w:fill="FFFFFF"/>
        </w:rPr>
        <w:t>）、良好（</w:t>
      </w:r>
      <w:r>
        <w:rPr>
          <w:rFonts w:hint="eastAsia" w:ascii="仿宋_GB2312" w:eastAsia="仿宋_GB2312" w:cs="仿宋_GB2312"/>
          <w:color w:val="000000"/>
          <w:shd w:val="clear" w:color="auto" w:fill="FFFFFF"/>
        </w:rPr>
        <w:t>80-90分</w:t>
      </w:r>
      <w:r>
        <w:rPr>
          <w:rFonts w:ascii="仿宋_GB2312" w:eastAsia="仿宋_GB2312" w:cs="仿宋_GB2312"/>
          <w:color w:val="000000"/>
          <w:shd w:val="clear" w:color="auto" w:fill="FFFFFF"/>
        </w:rPr>
        <w:t>）、较差（</w:t>
      </w:r>
      <w:r>
        <w:rPr>
          <w:rFonts w:hint="eastAsia" w:ascii="仿宋_GB2312" w:eastAsia="仿宋_GB2312" w:cs="仿宋_GB2312"/>
          <w:color w:val="000000"/>
          <w:shd w:val="clear" w:color="auto" w:fill="FFFFFF"/>
        </w:rPr>
        <w:t>60-80分</w:t>
      </w:r>
      <w:r>
        <w:rPr>
          <w:rFonts w:ascii="仿宋_GB2312" w:eastAsia="仿宋_GB2312" w:cs="仿宋_GB2312"/>
          <w:color w:val="000000"/>
          <w:shd w:val="clear" w:color="auto" w:fill="FFFFFF"/>
        </w:rPr>
        <w:t>）、 差（</w:t>
      </w:r>
      <w:r>
        <w:rPr>
          <w:rFonts w:hint="eastAsia" w:ascii="仿宋_GB2312" w:eastAsia="仿宋_GB2312" w:cs="仿宋_GB2312"/>
          <w:color w:val="000000"/>
          <w:shd w:val="clear" w:color="auto" w:fill="FFFFFF"/>
        </w:rPr>
        <w:t>小于60分</w:t>
      </w:r>
      <w:r>
        <w:rPr>
          <w:rFonts w:ascii="仿宋_GB2312" w:eastAsia="仿宋_GB2312" w:cs="仿宋_GB2312"/>
          <w:color w:val="000000"/>
          <w:shd w:val="clear" w:color="auto" w:fill="FFFFFF"/>
        </w:rPr>
        <w:t>）</w:t>
      </w:r>
      <w:r>
        <w:rPr>
          <w:rFonts w:ascii="Calibri" w:hAnsi="Calibri" w:eastAsia="仿宋_GB2312" w:cs="Calibri"/>
          <w:color w:val="000000"/>
          <w:shd w:val="clear" w:color="auto" w:fill="FFFFFF"/>
        </w:rPr>
        <w:t>。</w:t>
      </w:r>
      <w:r>
        <w:rPr>
          <w:rFonts w:ascii="仿宋_GB2312" w:eastAsia="仿宋_GB2312" w:cs="仿宋_GB2312"/>
          <w:color w:val="000000"/>
          <w:shd w:val="clear" w:color="auto" w:fill="FFFFFF"/>
        </w:rPr>
        <w:t> </w:t>
      </w:r>
    </w:p>
    <w:p>
      <w:pPr>
        <w:pStyle w:val="2"/>
        <w:widowControl/>
        <w:shd w:val="clear" w:color="auto" w:fill="FFFFFF"/>
        <w:spacing w:beforeAutospacing="0" w:afterAutospacing="0" w:line="480" w:lineRule="atLeast"/>
        <w:ind w:firstLine="480" w:firstLineChars="200"/>
        <w:jc w:val="both"/>
        <w:rPr>
          <w:rFonts w:ascii="仿宋" w:hAnsi="仿宋" w:eastAsia="仿宋"/>
          <w:sz w:val="32"/>
          <w:szCs w:val="32"/>
        </w:rPr>
      </w:pPr>
      <w:r>
        <w:rPr>
          <w:rFonts w:ascii="仿宋_GB2312" w:eastAsia="仿宋_GB2312" w:cs="仿宋_GB2312"/>
          <w:color w:val="000000"/>
          <w:shd w:val="clear" w:color="auto" w:fill="FFFFFF"/>
        </w:rPr>
        <w:t>  3.三级绩效指标按需自行增减行。个别不涉及的二级指标可删除不要。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lkOWNiNGQwMTIzYzIwMDE1MzlhMTQ5MzZlODY1MmIifQ=="/>
  </w:docVars>
  <w:rsids>
    <w:rsidRoot w:val="2DF5249B"/>
    <w:rsid w:val="00021744"/>
    <w:rsid w:val="00057323"/>
    <w:rsid w:val="001D5CB1"/>
    <w:rsid w:val="00252871"/>
    <w:rsid w:val="004B2E18"/>
    <w:rsid w:val="00575579"/>
    <w:rsid w:val="005E1F91"/>
    <w:rsid w:val="0063763C"/>
    <w:rsid w:val="006C5C34"/>
    <w:rsid w:val="007A0B17"/>
    <w:rsid w:val="008B79FE"/>
    <w:rsid w:val="008F7540"/>
    <w:rsid w:val="00EE0A9C"/>
    <w:rsid w:val="00F22994"/>
    <w:rsid w:val="00FE2696"/>
    <w:rsid w:val="2CD435C9"/>
    <w:rsid w:val="2DF52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uiPriority w:val="0"/>
    <w:pPr>
      <w:spacing w:beforeAutospacing="1" w:afterAutospacing="1"/>
      <w:jc w:val="left"/>
    </w:pPr>
    <w:rPr>
      <w:kern w:val="0"/>
      <w:sz w:val="24"/>
    </w:rPr>
  </w:style>
  <w:style w:type="table" w:customStyle="1" w:styleId="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2188</Words>
  <Characters>2351</Characters>
  <Lines>20</Lines>
  <Paragraphs>5</Paragraphs>
  <TotalTime>14</TotalTime>
  <ScaleCrop>false</ScaleCrop>
  <LinksUpToDate>false</LinksUpToDate>
  <CharactersWithSpaces>2419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2023-04-12T14:43:00Z</dcterms:created>
  <dc:creator>沉淀之岁月</dc:creator>
  <cp:lastModifiedBy>刘朝辉</cp:lastModifiedBy>
  <dcterms:modified xsi:type="dcterms:W3CDTF">2023-08-01T09:31:30Z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2842688877F749C0960CD2765DB308F0</vt:lpwstr>
  </property>
</Properties>
</file>