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Calibri" w:hAnsi="Calibri" w:eastAsia="黑体" w:cs="Calibri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附件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2022年造林绿化空间适宜性评估项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目绩效自评报告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绥宁县林业局</w:t>
      </w: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hint="default" w:ascii="黑体" w:hAnsi="黑体" w:eastAsia="黑体" w:cs="黑体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2023年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 w:bidi="ar"/>
        </w:rPr>
        <w:t>4月13日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仿宋_GB2312" w:hAnsi="方正小标宋_GBK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1．资金下达预算及项目情况。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根据【绥财预〔2022〕0001号】文件省级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下达我县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2022年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造林绿化空间适宜性评估资金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35万元。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资金项目绩效目标设定情况。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年，全县完成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造林绿化空间适宜性评估，评估面积为17.5万亩，涉及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个乡镇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，发放项目资金35万元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  <w:t>二、绩效自评工作开展情况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2022年11月我县组织对绥宁县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造林绿化空间适宜性评估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项目开展绩效自评，由县林业局党组成员分别带队对17个乡镇的任务完成情况进行验收考评。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  <w:t>三、绩效目标完成情况分析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3" w:firstLineChars="200"/>
        <w:jc w:val="both"/>
        <w:textAlignment w:val="auto"/>
        <w:rPr>
          <w:rFonts w:hint="eastAsia" w:ascii="楷体" w:hAnsi="楷体" w:eastAsia="楷体" w:cs="楷体"/>
          <w:b/>
          <w:bCs/>
          <w:spacing w:val="1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pacing w:val="10"/>
          <w:sz w:val="32"/>
          <w:szCs w:val="32"/>
        </w:rPr>
        <w:t>(一)项目资金情况分析。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1.项目资金到位情况分析；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2022年1月省级下达我县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造林绿化空间适宜性评估资金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35万元。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项目资金执行情况分析；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 xml:space="preserve">    2022年11月我县完成对绥宁县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造林绿化空间适宜性评估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项目的验收，拨付项目资金35万元。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项目资金管理情况分析；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2022年11月我县完成此次项目的资金拨付，建立项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目资金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管理台账。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3" w:firstLineChars="200"/>
        <w:jc w:val="both"/>
        <w:textAlignment w:val="auto"/>
        <w:rPr>
          <w:rFonts w:hint="eastAsia" w:ascii="楷体" w:hAnsi="楷体" w:eastAsia="楷体" w:cs="楷体"/>
          <w:b/>
          <w:bCs/>
          <w:spacing w:val="1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pacing w:val="10"/>
          <w:sz w:val="32"/>
          <w:szCs w:val="32"/>
        </w:rPr>
        <w:t>(二)项目绩效指标完成情况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1.产出指标完成情况分析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(1)项目完成数量；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完成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全县造林绿化空间适宜性评估，评估面积为17.5万亩，造林绿化空间适宜性评估图斑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6278个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完成面积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为17.5万亩，图斑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6278个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项目完成质量；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造林绿化空间适宜性评估调查面积、图斑完成率100%，造林绿化空间适宜性评估调查面积、图斑合格率</w:t>
      </w:r>
      <w:r>
        <w:rPr>
          <w:rFonts w:hint="eastAsia" w:ascii="宋体" w:hAnsi="宋体" w:eastAsia="宋体" w:cs="宋体"/>
          <w:spacing w:val="10"/>
          <w:sz w:val="32"/>
          <w:szCs w:val="32"/>
          <w:lang w:val="en-US" w:eastAsia="zh-CN"/>
        </w:rPr>
        <w:t>≧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98%。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(3)项目实施进度；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项目实施时间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2022年4月至2022年8月。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(4)项目成本情况；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造林绿化空间适宜性评估经费35万元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2.效益指标完成情况分析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(1)项目实施的经济效益分析；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增加社会产值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35万元。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(2)项目实施的社会效益分析；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项目实施增加就业30人。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(3)项目实施的生态效益分析；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项目实施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明确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我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县域造林绿化空间，挖掘造林绿化土地面积≥5000亩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县域森林蓄积量增长率≥0.001‰，防治水土流失面积≥100亩。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(4)项目实施的可持续影响分析；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项目实施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对我县的生态环境影响期为一年。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仿宋" w:hAnsi="仿宋" w:eastAsia="仿宋" w:cs="仿宋"/>
          <w:spacing w:val="10"/>
          <w:sz w:val="32"/>
          <w:szCs w:val="32"/>
        </w:rPr>
      </w:pPr>
      <w:r>
        <w:rPr>
          <w:rFonts w:hint="eastAsia" w:ascii="仿宋" w:hAnsi="仿宋" w:eastAsia="仿宋" w:cs="仿宋"/>
          <w:spacing w:val="10"/>
          <w:sz w:val="32"/>
          <w:szCs w:val="32"/>
        </w:rPr>
        <w:t>3、满意度指标完成情况分析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项目获得的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社会公众满意程度</w:t>
      </w:r>
      <w:r>
        <w:rPr>
          <w:rFonts w:hint="eastAsia" w:ascii="宋体" w:hAnsi="宋体" w:eastAsia="宋体" w:cs="宋体"/>
          <w:spacing w:val="10"/>
          <w:sz w:val="32"/>
          <w:szCs w:val="32"/>
        </w:rPr>
        <w:t>≧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95%。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  <w:t>、绩效自评结果拟应用和公开情况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80" w:firstLineChars="200"/>
        <w:jc w:val="both"/>
        <w:textAlignment w:val="auto"/>
        <w:rPr>
          <w:rFonts w:hint="default" w:ascii="仿宋" w:hAnsi="仿宋" w:eastAsia="仿宋" w:cs="仿宋"/>
          <w:spacing w:val="1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项目自评结果已进行公开公示。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5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5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附件：项目支出绩效目标自评表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5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64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附件：</w:t>
      </w:r>
    </w:p>
    <w:p>
      <w:pPr>
        <w:spacing w:before="227" w:line="182" w:lineRule="auto"/>
        <w:jc w:val="center"/>
        <w:rPr>
          <w:rFonts w:hint="eastAsia" w:ascii="黑体" w:hAnsi="黑体" w:eastAsia="黑体" w:cs="黑体"/>
          <w:spacing w:val="-1"/>
          <w:sz w:val="44"/>
          <w:szCs w:val="44"/>
        </w:rPr>
      </w:pPr>
      <w:r>
        <w:rPr>
          <w:rFonts w:hint="eastAsia" w:ascii="黑体" w:hAnsi="黑体" w:eastAsia="黑体" w:cs="黑体"/>
          <w:spacing w:val="-2"/>
          <w:sz w:val="44"/>
          <w:szCs w:val="44"/>
          <w:lang w:val="en-US" w:eastAsia="zh-CN"/>
        </w:rPr>
        <w:t>项目支出</w:t>
      </w:r>
      <w:r>
        <w:rPr>
          <w:rFonts w:hint="eastAsia" w:ascii="黑体" w:hAnsi="黑体" w:eastAsia="黑体" w:cs="黑体"/>
          <w:spacing w:val="-2"/>
          <w:sz w:val="44"/>
          <w:szCs w:val="44"/>
        </w:rPr>
        <w:t>绩</w:t>
      </w:r>
      <w:r>
        <w:rPr>
          <w:rFonts w:hint="eastAsia" w:ascii="黑体" w:hAnsi="黑体" w:eastAsia="黑体" w:cs="黑体"/>
          <w:spacing w:val="-1"/>
          <w:sz w:val="44"/>
          <w:szCs w:val="44"/>
        </w:rPr>
        <w:t>效目标自评表</w:t>
      </w:r>
    </w:p>
    <w:p>
      <w:pPr>
        <w:spacing w:before="47" w:line="197" w:lineRule="auto"/>
        <w:ind w:left="3525"/>
        <w:rPr>
          <w:rFonts w:hint="eastAsia" w:ascii="仿宋" w:hAnsi="仿宋" w:eastAsia="仿宋" w:cs="仿宋"/>
          <w:spacing w:val="-1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4638675</wp:posOffset>
                </wp:positionH>
                <wp:positionV relativeFrom="paragraph">
                  <wp:posOffset>17145</wp:posOffset>
                </wp:positionV>
                <wp:extent cx="633095" cy="23622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09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9" w:line="219" w:lineRule="auto"/>
                              <w:ind w:left="20"/>
                              <w:rPr>
                                <w:rFonts w:ascii="仿宋" w:hAnsi="仿宋" w:eastAsia="仿宋" w:cs="仿宋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5.25pt;margin-top:1.35pt;height:18.6pt;width:49.85pt;z-index:251659264;mso-width-relative:page;mso-height-relative:page;" filled="f" stroked="f" coordsize="21600,21600" o:gfxdata="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Lyz/S2AAAAAgBAAAPAAAAAAAAAAEAIAAAACIAAABkcnMvZG93bnJldi54bWxQSwEC&#10;FAAUAAAACACHTuJAhdehcLsBAABxAwAADgAAAAAAAAABACAAAAAnAQAAZHJzL2Uyb0RvYy54bWxQ&#10;SwUGAAAAAAYABgBZAQAAV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9" w:line="219" w:lineRule="auto"/>
                        <w:ind w:left="20"/>
                        <w:rPr>
                          <w:rFonts w:ascii="仿宋" w:hAnsi="仿宋" w:eastAsia="仿宋" w:cs="仿宋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pacing w:val="22"/>
          <w:sz w:val="32"/>
          <w:szCs w:val="32"/>
        </w:rPr>
        <w:t>(</w:t>
      </w:r>
      <w:r>
        <w:rPr>
          <w:rFonts w:hint="eastAsia" w:ascii="仿宋" w:hAnsi="仿宋" w:eastAsia="仿宋" w:cs="仿宋"/>
          <w:b/>
          <w:bCs/>
          <w:spacing w:val="17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pacing w:val="17"/>
          <w:sz w:val="32"/>
          <w:szCs w:val="32"/>
        </w:rPr>
        <w:t>年度)</w:t>
      </w:r>
    </w:p>
    <w:tbl>
      <w:tblPr>
        <w:tblStyle w:val="5"/>
        <w:tblW w:w="8132" w:type="dxa"/>
        <w:tblInd w:w="2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3"/>
        <w:gridCol w:w="695"/>
        <w:gridCol w:w="658"/>
        <w:gridCol w:w="1379"/>
        <w:gridCol w:w="1102"/>
        <w:gridCol w:w="738"/>
        <w:gridCol w:w="706"/>
        <w:gridCol w:w="650"/>
        <w:gridCol w:w="820"/>
        <w:gridCol w:w="83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53" w:hRule="atLeast"/>
        </w:trPr>
        <w:tc>
          <w:tcPr>
            <w:tcW w:w="1906" w:type="dxa"/>
            <w:gridSpan w:val="3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项目名称</w:t>
            </w:r>
          </w:p>
        </w:tc>
        <w:tc>
          <w:tcPr>
            <w:tcW w:w="2481" w:type="dxa"/>
            <w:gridSpan w:val="2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造林绿化空间适宜性评估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项目负责人及电话</w:t>
            </w:r>
          </w:p>
        </w:tc>
        <w:tc>
          <w:tcPr>
            <w:tcW w:w="2301" w:type="dxa"/>
            <w:gridSpan w:val="3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龙珠平13774274928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906" w:type="dxa"/>
            <w:gridSpan w:val="3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主管部门</w:t>
            </w:r>
          </w:p>
        </w:tc>
        <w:tc>
          <w:tcPr>
            <w:tcW w:w="2481" w:type="dxa"/>
            <w:gridSpan w:val="2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绥宁县林业局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实施单位</w:t>
            </w:r>
          </w:p>
        </w:tc>
        <w:tc>
          <w:tcPr>
            <w:tcW w:w="2301" w:type="dxa"/>
            <w:gridSpan w:val="3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绥宁县林业局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906" w:type="dxa"/>
            <w:gridSpan w:val="3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资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金情况(万元)</w:t>
            </w:r>
          </w:p>
        </w:tc>
        <w:tc>
          <w:tcPr>
            <w:tcW w:w="1379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全年预算数(A)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全年执行数(B)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分值</w:t>
            </w:r>
          </w:p>
        </w:tc>
        <w:tc>
          <w:tcPr>
            <w:tcW w:w="820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执行率(B/A)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906" w:type="dxa"/>
            <w:gridSpan w:val="3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年度资金总额：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1444" w:type="dxa"/>
            <w:gridSpan w:val="2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10</w:t>
            </w:r>
          </w:p>
        </w:tc>
        <w:tc>
          <w:tcPr>
            <w:tcW w:w="820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831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906" w:type="dxa"/>
            <w:gridSpan w:val="3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其中：本年财政拨款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1444" w:type="dxa"/>
            <w:gridSpan w:val="2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一</w:t>
            </w:r>
          </w:p>
        </w:tc>
        <w:tc>
          <w:tcPr>
            <w:tcW w:w="820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831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906" w:type="dxa"/>
            <w:gridSpan w:val="3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其他资金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</w:p>
        </w:tc>
        <w:tc>
          <w:tcPr>
            <w:tcW w:w="1444" w:type="dxa"/>
            <w:gridSpan w:val="2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一</w:t>
            </w:r>
          </w:p>
        </w:tc>
        <w:tc>
          <w:tcPr>
            <w:tcW w:w="820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</w:p>
        </w:tc>
        <w:tc>
          <w:tcPr>
            <w:tcW w:w="831" w:type="dxa"/>
            <w:noWrap w:val="0"/>
            <w:vAlign w:val="top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09" w:hRule="atLeast"/>
        </w:trPr>
        <w:tc>
          <w:tcPr>
            <w:tcW w:w="553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176" w:line="219" w:lineRule="auto"/>
              <w:ind w:left="184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10"/>
                <w:sz w:val="21"/>
                <w:szCs w:val="21"/>
              </w:rPr>
              <w:t>年度总体目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标</w:t>
            </w:r>
          </w:p>
        </w:tc>
        <w:tc>
          <w:tcPr>
            <w:tcW w:w="3834" w:type="dxa"/>
            <w:gridSpan w:val="4"/>
            <w:noWrap w:val="0"/>
            <w:vAlign w:val="top"/>
          </w:tcPr>
          <w:p>
            <w:pPr>
              <w:spacing w:before="10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10"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初设定目标</w:t>
            </w:r>
          </w:p>
        </w:tc>
        <w:tc>
          <w:tcPr>
            <w:tcW w:w="3745" w:type="dxa"/>
            <w:gridSpan w:val="5"/>
            <w:noWrap w:val="0"/>
            <w:vAlign w:val="top"/>
          </w:tcPr>
          <w:p>
            <w:pPr>
              <w:spacing w:before="10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10"/>
                <w:sz w:val="21"/>
                <w:szCs w:val="21"/>
              </w:rPr>
              <w:t>年度总体目标完成情况综述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208" w:hRule="atLeast"/>
        </w:trPr>
        <w:tc>
          <w:tcPr>
            <w:tcW w:w="553" w:type="dxa"/>
            <w:vMerge w:val="continue"/>
            <w:tcBorders>
              <w:top w:val="nil"/>
            </w:tcBorders>
            <w:noWrap w:val="0"/>
            <w:textDirection w:val="tbRlV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834" w:type="dxa"/>
            <w:gridSpan w:val="4"/>
            <w:noWrap w:val="0"/>
            <w:vAlign w:val="top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目标1：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按质按量完成造林绿化空间适宜性评估调查面积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17.5万亩，图斑6278个。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目标2：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及时拨付造林绿化空间适宜性评估费用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35万元。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目标3：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造林绿化空间适宜性评估措施到位。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745" w:type="dxa"/>
            <w:gridSpan w:val="5"/>
            <w:noWrap w:val="0"/>
            <w:vAlign w:val="top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目标1：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按质按量完成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造林绿化空间适宜性评估调查面积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17.5万亩，图斑6278个。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目标2：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完成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拨付造林绿化空间适宜性评估费用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35万元。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目标3：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造林绿化空间适宜性评估措施到位。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65" w:hRule="atLeast"/>
        </w:trPr>
        <w:tc>
          <w:tcPr>
            <w:tcW w:w="553" w:type="dxa"/>
            <w:vMerge w:val="restart"/>
            <w:tcBorders>
              <w:bottom w:val="nil"/>
            </w:tcBorders>
            <w:noWrap w:val="0"/>
            <w:vAlign w:val="bottom"/>
          </w:tcPr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  <w:t>绩</w:t>
            </w:r>
          </w:p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2"/>
                <w:sz w:val="21"/>
                <w:szCs w:val="21"/>
              </w:rPr>
              <w:t>效</w:t>
            </w:r>
          </w:p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指</w:t>
            </w:r>
          </w:p>
          <w:p>
            <w:pPr>
              <w:spacing w:before="62" w:line="210" w:lineRule="auto"/>
              <w:ind w:right="75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一级指标</w:t>
            </w:r>
          </w:p>
        </w:tc>
        <w:tc>
          <w:tcPr>
            <w:tcW w:w="658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二级指标</w:t>
            </w:r>
          </w:p>
        </w:tc>
        <w:tc>
          <w:tcPr>
            <w:tcW w:w="1379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三级指标</w:t>
            </w:r>
          </w:p>
        </w:tc>
        <w:tc>
          <w:tcPr>
            <w:tcW w:w="110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分值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年度指标值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全年实际值</w:t>
            </w:r>
          </w:p>
        </w:tc>
        <w:tc>
          <w:tcPr>
            <w:tcW w:w="650" w:type="dxa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得分</w:t>
            </w:r>
          </w:p>
        </w:tc>
        <w:tc>
          <w:tcPr>
            <w:tcW w:w="1651" w:type="dxa"/>
            <w:gridSpan w:val="2"/>
            <w:noWrap w:val="0"/>
            <w:vAlign w:val="center"/>
          </w:tcPr>
          <w:p>
            <w:pPr>
              <w:spacing w:before="59" w:line="227" w:lineRule="auto"/>
              <w:jc w:val="center"/>
              <w:rPr>
                <w:rFonts w:hint="default" w:ascii="仿宋" w:hAnsi="仿宋" w:eastAsia="仿宋" w:cs="仿宋"/>
                <w:spacing w:val="8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  <w:lang w:val="en-US" w:eastAsia="zh-CN"/>
              </w:rPr>
              <w:t>未完成的原因及拟采取的改进措施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9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58" w:line="420" w:lineRule="exact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产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出指</w:t>
            </w:r>
            <w:r>
              <w:rPr>
                <w:rFonts w:hint="eastAsia" w:ascii="仿宋" w:hAnsi="仿宋" w:eastAsia="仿宋" w:cs="仿宋"/>
                <w:spacing w:val="-3"/>
                <w:sz w:val="21"/>
                <w:szCs w:val="21"/>
              </w:rPr>
              <w:t>标</w:t>
            </w: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</w:rPr>
              <w:t>(5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0分)</w:t>
            </w: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21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数量指标</w:t>
            </w:r>
          </w:p>
        </w:tc>
        <w:tc>
          <w:tcPr>
            <w:tcW w:w="137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研判和举证造林绿化空间适宜性评估面积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17.5万亩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17.5万亩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9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研判和举证造林绿化空间适宜性评估图斑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6278个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6278个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9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212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质量指标</w:t>
            </w:r>
          </w:p>
        </w:tc>
        <w:tc>
          <w:tcPr>
            <w:tcW w:w="137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造林绿化空间适宜性评估调查面积、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图斑完成率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3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造林绿化空间适宜性评估调查面积、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图斑合格率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≥98%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≥98%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213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时</w:t>
            </w:r>
            <w:r>
              <w:rPr>
                <w:rFonts w:hint="eastAsia" w:ascii="仿宋" w:hAnsi="仿宋" w:eastAsia="仿宋" w:cs="仿宋"/>
                <w:spacing w:val="3"/>
                <w:sz w:val="21"/>
                <w:szCs w:val="21"/>
              </w:rPr>
              <w:t>效指标</w:t>
            </w:r>
          </w:p>
        </w:tc>
        <w:tc>
          <w:tcPr>
            <w:tcW w:w="137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项目实施时间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2022.4--2022.8</w:t>
            </w: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2022.4--2022.8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9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0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0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212" w:line="22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成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本指标</w:t>
            </w: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Theme="minorEastAsia" w:hAnsi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造林绿化空间适宜性评估经费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35万元</w:t>
            </w: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35万元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3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1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3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59" w:line="212" w:lineRule="auto"/>
              <w:ind w:right="62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效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益指标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(30</w:t>
            </w:r>
            <w:r>
              <w:rPr>
                <w:rFonts w:hint="eastAsia" w:ascii="仿宋" w:hAnsi="仿宋" w:eastAsia="仿宋" w:cs="仿宋"/>
                <w:spacing w:val="20"/>
                <w:sz w:val="21"/>
                <w:szCs w:val="21"/>
              </w:rPr>
              <w:t>分</w:t>
            </w:r>
            <w:r>
              <w:rPr>
                <w:rFonts w:hint="eastAsia" w:ascii="仿宋" w:hAnsi="仿宋" w:eastAsia="仿宋" w:cs="仿宋"/>
                <w:spacing w:val="19"/>
                <w:sz w:val="21"/>
                <w:szCs w:val="21"/>
              </w:rPr>
              <w:t>)</w:t>
            </w: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111" w:line="221" w:lineRule="auto"/>
              <w:ind w:right="119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经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济效益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增加社会产值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万元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2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18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4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7" w:line="209" w:lineRule="auto"/>
              <w:ind w:right="119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7"/>
                <w:sz w:val="21"/>
                <w:szCs w:val="21"/>
              </w:rPr>
              <w:t>社会效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益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增加就业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30人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30人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0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3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111" w:line="223" w:lineRule="auto"/>
              <w:ind w:right="23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7"/>
                <w:sz w:val="21"/>
                <w:szCs w:val="21"/>
              </w:rPr>
              <w:t>生</w:t>
            </w:r>
            <w:r>
              <w:rPr>
                <w:rFonts w:hint="eastAsia" w:ascii="仿宋" w:hAnsi="仿宋" w:eastAsia="仿宋" w:cs="仿宋"/>
                <w:spacing w:val="6"/>
                <w:sz w:val="21"/>
                <w:szCs w:val="21"/>
              </w:rPr>
              <w:t>态效益指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明确县域造林绿化空间，挖掘造林绿化土地面积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≥5000亩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≥5000亩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3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县域森林蓄积量增长率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≥0.001‰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≥0.001‰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9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防治水土流失面积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≥100亩</w:t>
            </w:r>
          </w:p>
        </w:tc>
        <w:tc>
          <w:tcPr>
            <w:tcW w:w="70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≥100亩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7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111" w:line="221" w:lineRule="auto"/>
              <w:ind w:right="23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7"/>
                <w:sz w:val="21"/>
                <w:szCs w:val="21"/>
              </w:rPr>
              <w:t>可持续影响</w:t>
            </w: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可持续影响时间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一年</w:t>
            </w: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一年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0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29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10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4" w:line="194" w:lineRule="auto"/>
              <w:ind w:right="62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5"/>
                <w:sz w:val="21"/>
                <w:szCs w:val="21"/>
              </w:rPr>
              <w:t>满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意度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标(10)</w:t>
            </w:r>
            <w:r>
              <w:rPr>
                <w:rFonts w:hint="eastAsia" w:ascii="仿宋" w:hAnsi="仿宋" w:eastAsia="仿宋" w:cs="仿宋"/>
                <w:spacing w:val="1"/>
                <w:sz w:val="21"/>
                <w:szCs w:val="21"/>
              </w:rPr>
              <w:t>分</w:t>
            </w:r>
          </w:p>
        </w:tc>
        <w:tc>
          <w:tcPr>
            <w:tcW w:w="658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pacing w:before="101" w:line="207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9"/>
                <w:sz w:val="21"/>
                <w:szCs w:val="21"/>
              </w:rPr>
              <w:t>服</w:t>
            </w:r>
            <w:r>
              <w:rPr>
                <w:rFonts w:hint="eastAsia" w:ascii="仿宋" w:hAnsi="仿宋" w:eastAsia="仿宋" w:cs="仿宋"/>
                <w:spacing w:val="8"/>
                <w:sz w:val="21"/>
                <w:szCs w:val="21"/>
              </w:rPr>
              <w:t>务对象满</w:t>
            </w:r>
            <w:r>
              <w:rPr>
                <w:rFonts w:hint="eastAsia" w:ascii="仿宋" w:hAnsi="仿宋" w:eastAsia="仿宋" w:cs="仿宋"/>
                <w:spacing w:val="3"/>
                <w:sz w:val="21"/>
                <w:szCs w:val="21"/>
              </w:rPr>
              <w:t>意度指</w:t>
            </w:r>
            <w:r>
              <w:rPr>
                <w:rFonts w:hint="eastAsia" w:ascii="仿宋" w:hAnsi="仿宋" w:eastAsia="仿宋" w:cs="仿宋"/>
                <w:spacing w:val="4"/>
                <w:sz w:val="21"/>
                <w:szCs w:val="21"/>
              </w:rPr>
              <w:t>标</w:t>
            </w: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社会公众满意程度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≥95%</w:t>
            </w: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≥95%</w:t>
            </w: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85" w:hRule="atLeast"/>
        </w:trPr>
        <w:tc>
          <w:tcPr>
            <w:tcW w:w="553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69" w:hRule="atLeast"/>
        </w:trPr>
        <w:tc>
          <w:tcPr>
            <w:tcW w:w="553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79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02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38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06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50" w:hRule="atLeast"/>
        </w:trPr>
        <w:tc>
          <w:tcPr>
            <w:tcW w:w="3285" w:type="dxa"/>
            <w:gridSpan w:val="4"/>
            <w:noWrap w:val="0"/>
            <w:vAlign w:val="top"/>
          </w:tcPr>
          <w:p>
            <w:pPr>
              <w:spacing w:before="71" w:line="229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1"/>
                <w:sz w:val="21"/>
                <w:szCs w:val="21"/>
              </w:rPr>
              <w:t>总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分</w:t>
            </w:r>
          </w:p>
        </w:tc>
        <w:tc>
          <w:tcPr>
            <w:tcW w:w="1102" w:type="dxa"/>
            <w:noWrap w:val="0"/>
            <w:vAlign w:val="top"/>
          </w:tcPr>
          <w:p>
            <w:pPr>
              <w:spacing w:before="104" w:line="196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100</w:t>
            </w:r>
          </w:p>
        </w:tc>
        <w:tc>
          <w:tcPr>
            <w:tcW w:w="1444" w:type="dxa"/>
            <w:gridSpan w:val="2"/>
            <w:noWrap w:val="0"/>
            <w:vAlign w:val="top"/>
          </w:tcPr>
          <w:p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650" w:type="dxa"/>
            <w:noWrap w:val="0"/>
            <w:vAlign w:val="top"/>
          </w:tcPr>
          <w:p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651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说明：1.分值设定100分，其中预算执行率10分、产出指标50分、效益指标30分、满意度指标10分。除预算执行率外的指标应根据权重自行合理设定分值。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  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2.综合评价等级分为优秀（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大于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90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分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）、良好（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80-90分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）、较差（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60-80分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）、 差（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小于60分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）</w:t>
      </w:r>
      <w:r>
        <w:rPr>
          <w:rFonts w:ascii="Calibri" w:hAnsi="Calibri" w:eastAsia="仿宋_GB2312" w:cs="Calibri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。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right="0" w:firstLine="480" w:firstLineChars="200"/>
        <w:jc w:val="both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 3.三级绩效指标按需自行增减行。个别不涉及的二级指标可删除不要。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E180CA"/>
    <w:multiLevelType w:val="singleLevel"/>
    <w:tmpl w:val="F9E180C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EB034CE"/>
    <w:multiLevelType w:val="singleLevel"/>
    <w:tmpl w:val="0EB034CE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kOWNiNGQwMTIzYzIwMDE1MzlhMTQ5MzZlODY1MmIifQ=="/>
  </w:docVars>
  <w:rsids>
    <w:rsidRoot w:val="2DF5249B"/>
    <w:rsid w:val="2152630E"/>
    <w:rsid w:val="2DF5249B"/>
    <w:rsid w:val="32B80D55"/>
    <w:rsid w:val="3EE0053B"/>
    <w:rsid w:val="574A217E"/>
    <w:rsid w:val="6A4D697D"/>
    <w:rsid w:val="7B016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1628</Words>
  <Characters>1883</Characters>
  <Lines>0</Lines>
  <Paragraphs>0</Paragraphs>
  <TotalTime>25</TotalTime>
  <ScaleCrop>false</ScaleCrop>
  <LinksUpToDate>false</LinksUpToDate>
  <CharactersWithSpaces>1909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2023-02-08T03:12:00Z</dcterms:created>
  <dc:creator>沉淀之岁月</dc:creator>
  <cp:lastModifiedBy>刘朝辉</cp:lastModifiedBy>
  <cp:lastPrinted>2023-08-03T09:19:15Z</cp:lastPrinted>
  <dcterms:modified xsi:type="dcterms:W3CDTF">2023-08-03T09:20:20Z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2AB26873AA7346D68E98B893DC073852</vt:lpwstr>
  </property>
</Properties>
</file>