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Calibri" w:hAnsi="Calibri" w:eastAsia="黑体" w:cs="Calibri"/>
          <w:i w:val="0"/>
          <w:iCs w:val="0"/>
          <w:caps w:val="0"/>
          <w:color w:val="000000"/>
          <w:spacing w:val="0"/>
          <w:sz w:val="24"/>
          <w:szCs w:val="24"/>
          <w:lang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shd w:val="clear" w:fill="FFFFFF"/>
          <w:lang w:val="en-US" w:eastAsia="zh-CN"/>
        </w:rPr>
      </w:pPr>
      <w:r>
        <w:rPr>
          <w:rFonts w:hint="eastAsia" w:ascii="黑体" w:hAnsi="黑体" w:eastAsia="黑体" w:cs="黑体"/>
          <w:i w:val="0"/>
          <w:iCs w:val="0"/>
          <w:caps w:val="0"/>
          <w:color w:val="000000"/>
          <w:spacing w:val="0"/>
          <w:sz w:val="44"/>
          <w:szCs w:val="44"/>
          <w:shd w:val="clear" w:fill="FFFFFF"/>
          <w:lang w:val="en-US" w:eastAsia="zh-CN"/>
        </w:rPr>
        <w:t>2022年野生动物伤害政府救助责任保险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rPr>
      </w:pPr>
      <w:r>
        <w:rPr>
          <w:rFonts w:hint="eastAsia" w:ascii="黑体" w:hAnsi="黑体" w:eastAsia="黑体" w:cs="黑体"/>
          <w:i w:val="0"/>
          <w:iCs w:val="0"/>
          <w:caps w:val="0"/>
          <w:color w:val="000000"/>
          <w:spacing w:val="0"/>
          <w:sz w:val="44"/>
          <w:szCs w:val="44"/>
          <w:shd w:val="clear" w:fill="FFFFFF"/>
        </w:rPr>
        <w:t>项目绩效自评报告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楷体" w:hAnsi="楷体" w:eastAsia="楷体" w:cs="楷体"/>
          <w:i w:val="0"/>
          <w:iCs w:val="0"/>
          <w:caps w:val="0"/>
          <w:color w:val="000000"/>
          <w:spacing w:val="0"/>
          <w:sz w:val="32"/>
          <w:szCs w:val="32"/>
          <w:shd w:val="clear" w:fill="FFFFFF"/>
          <w:lang w:eastAsia="zh-CN"/>
        </w:rPr>
      </w:pPr>
      <w:r>
        <w:rPr>
          <w:rFonts w:hint="eastAsia" w:ascii="楷体" w:hAnsi="楷体" w:eastAsia="楷体" w:cs="楷体"/>
          <w:i w:val="0"/>
          <w:iCs w:val="0"/>
          <w:caps w:val="0"/>
          <w:color w:val="000000"/>
          <w:spacing w:val="0"/>
          <w:sz w:val="32"/>
          <w:szCs w:val="32"/>
          <w:shd w:val="clear" w:fill="FFFFFF"/>
          <w:lang w:eastAsia="zh-CN"/>
        </w:rPr>
        <w:t>（</w:t>
      </w:r>
      <w:r>
        <w:rPr>
          <w:rFonts w:hint="eastAsia" w:ascii="楷体" w:hAnsi="楷体" w:eastAsia="楷体" w:cs="楷体"/>
          <w:i w:val="0"/>
          <w:iCs w:val="0"/>
          <w:caps w:val="0"/>
          <w:color w:val="000000"/>
          <w:spacing w:val="0"/>
          <w:sz w:val="32"/>
          <w:szCs w:val="32"/>
          <w:shd w:val="clear" w:fill="FFFFFF"/>
          <w:lang w:val="en-US" w:eastAsia="zh-CN"/>
        </w:rPr>
        <w:t>绥宁县</w:t>
      </w:r>
      <w:r>
        <w:rPr>
          <w:rFonts w:hint="eastAsia" w:ascii="楷体" w:hAnsi="楷体" w:eastAsia="楷体" w:cs="楷体"/>
          <w:color w:val="000000"/>
          <w:kern w:val="0"/>
          <w:sz w:val="32"/>
          <w:szCs w:val="32"/>
          <w:lang w:val="en-US" w:eastAsia="zh-CN" w:bidi="ar"/>
        </w:rPr>
        <w:t>林业局</w:t>
      </w:r>
      <w:r>
        <w:rPr>
          <w:rFonts w:hint="eastAsia" w:ascii="楷体" w:hAnsi="楷体" w:eastAsia="楷体" w:cs="楷体"/>
          <w:i w:val="0"/>
          <w:iCs w:val="0"/>
          <w:caps w:val="0"/>
          <w:color w:val="000000"/>
          <w:spacing w:val="0"/>
          <w:sz w:val="32"/>
          <w:szCs w:val="32"/>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default" w:ascii="黑体" w:hAnsi="黑体" w:eastAsia="黑体" w:cs="黑体"/>
          <w:i w:val="0"/>
          <w:iCs w:val="0"/>
          <w:caps w:val="0"/>
          <w:color w:val="000000"/>
          <w:spacing w:val="0"/>
          <w:sz w:val="44"/>
          <w:szCs w:val="44"/>
          <w:shd w:val="clear" w:fill="FFFFFF"/>
          <w:lang w:val="en-US" w:eastAsia="zh-CN"/>
        </w:rPr>
      </w:pPr>
      <w:r>
        <w:rPr>
          <w:rFonts w:hint="eastAsia" w:ascii="楷体" w:hAnsi="楷体" w:eastAsia="楷体" w:cs="楷体"/>
          <w:i w:val="0"/>
          <w:iCs w:val="0"/>
          <w:caps w:val="0"/>
          <w:color w:val="000000"/>
          <w:spacing w:val="0"/>
          <w:sz w:val="32"/>
          <w:szCs w:val="32"/>
          <w:shd w:val="clear" w:fill="FFFFFF"/>
          <w:lang w:val="en-US" w:eastAsia="zh-CN"/>
        </w:rPr>
        <w:t>2023年</w:t>
      </w:r>
      <w:r>
        <w:rPr>
          <w:rFonts w:hint="eastAsia" w:ascii="楷体" w:hAnsi="楷体" w:eastAsia="楷体" w:cs="楷体"/>
          <w:color w:val="000000"/>
          <w:kern w:val="0"/>
          <w:sz w:val="32"/>
          <w:szCs w:val="32"/>
          <w:lang w:val="en-US" w:eastAsia="zh-CN" w:bidi="ar"/>
        </w:rPr>
        <w:t>4月14日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方正小标宋_GBK" w:hAnsi="方正小标宋_GBK" w:eastAsia="方正小标宋_GBK" w:cs="方正小标宋_GBK"/>
          <w:i w:val="0"/>
          <w:iCs w:val="0"/>
          <w:caps w:val="0"/>
          <w:color w:val="000000"/>
          <w:spacing w:val="0"/>
          <w:sz w:val="24"/>
          <w:szCs w:val="24"/>
        </w:rPr>
      </w:pPr>
      <w:r>
        <w:rPr>
          <w:rFonts w:hint="default" w:ascii="仿宋_GB2312" w:hAnsi="方正小标宋_GBK" w:eastAsia="仿宋_GB2312" w:cs="仿宋_GB2312"/>
          <w:i w:val="0"/>
          <w:iCs w:val="0"/>
          <w:caps w:val="0"/>
          <w:color w:val="000000"/>
          <w:spacing w:val="0"/>
          <w:sz w:val="24"/>
          <w:szCs w:val="24"/>
          <w:shd w:val="clear" w:fill="FFFFFF"/>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1．资金下达预算及项目情况。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10"/>
          <w:sz w:val="32"/>
          <w:szCs w:val="32"/>
        </w:rPr>
      </w:pPr>
      <w:r>
        <w:rPr>
          <w:rFonts w:hint="eastAsia" w:ascii="仿宋" w:hAnsi="仿宋" w:eastAsia="仿宋"/>
          <w:sz w:val="32"/>
          <w:szCs w:val="32"/>
          <w:lang w:eastAsia="zh-CN"/>
        </w:rPr>
        <w:t>该项目上层指标为：湘财预（</w:t>
      </w:r>
      <w:r>
        <w:rPr>
          <w:rFonts w:hint="eastAsia" w:ascii="仿宋" w:hAnsi="仿宋" w:eastAsia="仿宋"/>
          <w:sz w:val="32"/>
          <w:szCs w:val="32"/>
          <w:lang w:val="en-US" w:eastAsia="zh-CN"/>
        </w:rPr>
        <w:t>2022</w:t>
      </w:r>
      <w:r>
        <w:rPr>
          <w:rFonts w:hint="eastAsia" w:ascii="仿宋" w:hAnsi="仿宋" w:eastAsia="仿宋"/>
          <w:sz w:val="32"/>
          <w:szCs w:val="32"/>
          <w:lang w:eastAsia="zh-CN"/>
        </w:rPr>
        <w:t>）</w:t>
      </w:r>
      <w:r>
        <w:rPr>
          <w:rFonts w:hint="eastAsia" w:ascii="仿宋" w:hAnsi="仿宋" w:eastAsia="仿宋"/>
          <w:sz w:val="32"/>
          <w:szCs w:val="32"/>
          <w:lang w:val="en-US" w:eastAsia="zh-CN"/>
        </w:rPr>
        <w:t>0001号，绥宁县财政局于2022年6月24日下发绥财预指（2022）0301号的本级专项资金10万元；</w:t>
      </w:r>
      <w:r>
        <w:rPr>
          <w:rFonts w:hint="eastAsia" w:ascii="仿宋" w:hAnsi="仿宋" w:eastAsia="仿宋"/>
          <w:sz w:val="32"/>
          <w:szCs w:val="32"/>
        </w:rPr>
        <w:t>为构建</w:t>
      </w:r>
      <w:r>
        <w:rPr>
          <w:rFonts w:hint="eastAsia" w:ascii="仿宋" w:hAnsi="仿宋" w:eastAsia="仿宋"/>
          <w:sz w:val="32"/>
          <w:szCs w:val="32"/>
          <w:lang w:eastAsia="zh-CN"/>
        </w:rPr>
        <w:t>绥宁县</w:t>
      </w:r>
      <w:r>
        <w:rPr>
          <w:rFonts w:hint="eastAsia" w:ascii="仿宋" w:hAnsi="仿宋" w:eastAsia="仿宋"/>
          <w:sz w:val="32"/>
          <w:szCs w:val="32"/>
        </w:rPr>
        <w:t>和谐社会，服务三农，促进生态可持续发展，根据《中华人民共和国野生动物保护法》第七条、第十四条和《湖南省重点保护野生动物致害补偿办法》（草案）的相关规定，充分运用市场机制和商业保险手段，通过办理野生动物责任保险，建立管理措施科学、服务网络完善、理赔及时高效的野生动物责任险管理服务体系，有效转嫁野生动物致害风险，充分保障</w:t>
      </w:r>
      <w:r>
        <w:rPr>
          <w:rFonts w:hint="eastAsia" w:ascii="仿宋" w:hAnsi="仿宋" w:eastAsia="仿宋"/>
          <w:sz w:val="32"/>
          <w:szCs w:val="32"/>
          <w:lang w:eastAsia="zh-CN"/>
        </w:rPr>
        <w:t>绥宁县</w:t>
      </w:r>
      <w:r>
        <w:rPr>
          <w:rFonts w:hint="eastAsia" w:ascii="仿宋" w:hAnsi="仿宋" w:eastAsia="仿宋"/>
          <w:sz w:val="32"/>
          <w:szCs w:val="32"/>
        </w:rPr>
        <w:t>人民生命安全和财产利益。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资金项目绩效目标设定情况。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pacing w:val="10"/>
          <w:sz w:val="32"/>
          <w:szCs w:val="32"/>
          <w:lang w:val="en-US" w:eastAsia="zh-CN"/>
        </w:rPr>
        <w:t xml:space="preserve">   绥宁县县域范围内的因</w:t>
      </w:r>
      <w:r>
        <w:rPr>
          <w:rFonts w:hint="eastAsia" w:ascii="仿宋" w:hAnsi="仿宋" w:eastAsia="仿宋"/>
          <w:sz w:val="32"/>
          <w:szCs w:val="32"/>
        </w:rPr>
        <w:t>野生动物</w:t>
      </w:r>
      <w:r>
        <w:rPr>
          <w:rFonts w:hint="eastAsia" w:ascii="仿宋" w:hAnsi="仿宋" w:eastAsia="仿宋"/>
          <w:sz w:val="32"/>
          <w:szCs w:val="32"/>
          <w:lang w:eastAsia="zh-CN"/>
        </w:rPr>
        <w:t>（</w:t>
      </w:r>
      <w:r>
        <w:rPr>
          <w:rFonts w:hint="eastAsia" w:ascii="仿宋" w:hAnsi="仿宋" w:eastAsia="仿宋"/>
          <w:sz w:val="32"/>
          <w:szCs w:val="32"/>
        </w:rPr>
        <w:t>野猪、黑熊</w:t>
      </w:r>
      <w:r>
        <w:rPr>
          <w:rFonts w:ascii="仿宋" w:hAnsi="仿宋" w:eastAsia="仿宋"/>
          <w:sz w:val="32"/>
          <w:szCs w:val="32"/>
        </w:rPr>
        <w:t>、</w:t>
      </w:r>
      <w:r>
        <w:rPr>
          <w:rFonts w:hint="eastAsia" w:ascii="仿宋" w:hAnsi="仿宋" w:eastAsia="仿宋"/>
          <w:sz w:val="32"/>
          <w:szCs w:val="32"/>
        </w:rPr>
        <w:t>候鸟等在自然</w:t>
      </w:r>
      <w:r>
        <w:rPr>
          <w:rFonts w:ascii="仿宋" w:hAnsi="仿宋" w:eastAsia="仿宋"/>
          <w:sz w:val="32"/>
          <w:szCs w:val="32"/>
        </w:rPr>
        <w:t>环境下生长且未被</w:t>
      </w:r>
      <w:r>
        <w:rPr>
          <w:rFonts w:hint="eastAsia" w:ascii="仿宋" w:hAnsi="仿宋" w:eastAsia="仿宋"/>
          <w:sz w:val="32"/>
          <w:szCs w:val="32"/>
        </w:rPr>
        <w:t>驯化</w:t>
      </w:r>
      <w:r>
        <w:rPr>
          <w:rFonts w:ascii="仿宋" w:hAnsi="仿宋" w:eastAsia="仿宋"/>
          <w:sz w:val="32"/>
          <w:szCs w:val="32"/>
        </w:rPr>
        <w:t>的</w:t>
      </w:r>
      <w:r>
        <w:rPr>
          <w:rFonts w:hint="eastAsia" w:ascii="仿宋" w:hAnsi="仿宋" w:eastAsia="仿宋"/>
          <w:sz w:val="32"/>
          <w:szCs w:val="32"/>
        </w:rPr>
        <w:t>野生动物</w:t>
      </w:r>
      <w:r>
        <w:rPr>
          <w:rFonts w:hint="eastAsia" w:ascii="仿宋" w:hAnsi="仿宋" w:eastAsia="仿宋"/>
          <w:sz w:val="32"/>
          <w:szCs w:val="32"/>
          <w:lang w:eastAsia="zh-CN"/>
        </w:rPr>
        <w:t>）</w:t>
      </w:r>
      <w:r>
        <w:rPr>
          <w:rFonts w:hint="eastAsia" w:ascii="仿宋" w:hAnsi="仿宋" w:eastAsia="仿宋"/>
          <w:sz w:val="32"/>
          <w:szCs w:val="32"/>
        </w:rPr>
        <w:t>侵害造成的第三者人身伤害或者农作物、林木、苗木、牲畜及水产品等财产较大损失的补偿</w:t>
      </w:r>
      <w:r>
        <w:rPr>
          <w:rFonts w:hint="eastAsia" w:ascii="仿宋" w:hAnsi="仿宋" w:eastAsia="仿宋"/>
          <w:sz w:val="32"/>
          <w:szCs w:val="32"/>
          <w:lang w:eastAsia="zh-CN"/>
        </w:rPr>
        <w:t>，由当地政府统一购置保险体系</w:t>
      </w:r>
      <w:r>
        <w:rPr>
          <w:rFonts w:hint="eastAsia" w:ascii="仿宋" w:hAnsi="仿宋" w:eastAsia="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黑体" w:hAnsi="黑体" w:eastAsia="黑体" w:cs="黑体"/>
          <w:b w:val="0"/>
          <w:bCs w:val="0"/>
          <w:spacing w:val="10"/>
          <w:sz w:val="32"/>
          <w:szCs w:val="32"/>
        </w:rPr>
        <w:t>二、绩效自评工作开展情况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2022年度绥宁县野生动物伤害政府救助责任保险工作</w:t>
      </w:r>
      <w:r>
        <w:rPr>
          <w:rFonts w:hint="eastAsia" w:ascii="仿宋" w:hAnsi="仿宋" w:eastAsia="仿宋" w:cs="仿宋"/>
          <w:spacing w:val="10"/>
          <w:sz w:val="32"/>
          <w:szCs w:val="32"/>
        </w:rPr>
        <w:t>开展</w:t>
      </w:r>
      <w:r>
        <w:rPr>
          <w:rFonts w:hint="eastAsia" w:ascii="仿宋" w:hAnsi="仿宋" w:eastAsia="仿宋" w:cs="仿宋"/>
          <w:spacing w:val="10"/>
          <w:sz w:val="32"/>
          <w:szCs w:val="32"/>
          <w:lang w:eastAsia="zh-CN"/>
        </w:rPr>
        <w:t>的</w:t>
      </w:r>
      <w:r>
        <w:rPr>
          <w:rFonts w:hint="eastAsia" w:ascii="仿宋" w:hAnsi="仿宋" w:eastAsia="仿宋" w:cs="仿宋"/>
          <w:spacing w:val="10"/>
          <w:sz w:val="32"/>
          <w:szCs w:val="32"/>
        </w:rPr>
        <w:t>范围</w:t>
      </w:r>
      <w:r>
        <w:rPr>
          <w:rFonts w:hint="eastAsia" w:ascii="仿宋" w:hAnsi="仿宋" w:eastAsia="仿宋" w:cs="仿宋"/>
          <w:spacing w:val="10"/>
          <w:sz w:val="32"/>
          <w:szCs w:val="32"/>
          <w:lang w:eastAsia="zh-CN"/>
        </w:rPr>
        <w:t>是绥宁县县域范围，受保险的</w:t>
      </w:r>
      <w:r>
        <w:rPr>
          <w:rFonts w:hint="eastAsia" w:ascii="仿宋" w:hAnsi="仿宋" w:eastAsia="仿宋" w:cs="仿宋"/>
          <w:spacing w:val="10"/>
          <w:sz w:val="32"/>
          <w:szCs w:val="32"/>
        </w:rPr>
        <w:t>对象</w:t>
      </w:r>
      <w:r>
        <w:rPr>
          <w:rFonts w:hint="eastAsia" w:ascii="仿宋" w:hAnsi="仿宋" w:eastAsia="仿宋" w:cs="仿宋"/>
          <w:spacing w:val="10"/>
          <w:sz w:val="32"/>
          <w:szCs w:val="32"/>
          <w:lang w:eastAsia="zh-CN"/>
        </w:rPr>
        <w:t>是绥宁县全体公民和全部</w:t>
      </w:r>
      <w:r>
        <w:rPr>
          <w:rFonts w:hint="eastAsia" w:ascii="仿宋" w:hAnsi="仿宋" w:eastAsia="仿宋"/>
          <w:sz w:val="32"/>
          <w:szCs w:val="32"/>
        </w:rPr>
        <w:t>农作物、林木、苗木、牲畜及水产品等财产</w:t>
      </w:r>
      <w:r>
        <w:rPr>
          <w:rFonts w:hint="eastAsia" w:ascii="仿宋" w:hAnsi="仿宋" w:eastAsia="仿宋"/>
          <w:sz w:val="32"/>
          <w:szCs w:val="32"/>
          <w:lang w:eastAsia="zh-CN"/>
        </w:rPr>
        <w:t>，保险有效期为一年，理赔</w:t>
      </w:r>
      <w:r>
        <w:rPr>
          <w:rFonts w:hint="eastAsia" w:ascii="仿宋" w:hAnsi="仿宋" w:eastAsia="仿宋" w:cs="仿宋"/>
          <w:spacing w:val="10"/>
          <w:sz w:val="32"/>
          <w:szCs w:val="32"/>
        </w:rPr>
        <w:t>方式</w:t>
      </w:r>
      <w:r>
        <w:rPr>
          <w:rFonts w:hint="eastAsia" w:ascii="仿宋" w:hAnsi="仿宋" w:eastAsia="仿宋" w:cs="仿宋"/>
          <w:spacing w:val="10"/>
          <w:sz w:val="32"/>
          <w:szCs w:val="32"/>
          <w:lang w:eastAsia="zh-CN"/>
        </w:rPr>
        <w:t>是经现场核对即理即赔。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lang w:eastAsia="zh-CN"/>
        </w:rPr>
      </w:pPr>
      <w:r>
        <w:rPr>
          <w:rFonts w:hint="eastAsia" w:ascii="楷体" w:hAnsi="楷体" w:eastAsia="楷体" w:cs="楷体"/>
          <w:b/>
          <w:bCs/>
          <w:spacing w:val="10"/>
          <w:sz w:val="32"/>
          <w:szCs w:val="32"/>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10"/>
          <w:sz w:val="32"/>
          <w:szCs w:val="32"/>
          <w:lang w:eastAsia="zh-CN"/>
        </w:rPr>
      </w:pPr>
      <w:r>
        <w:rPr>
          <w:rFonts w:hint="eastAsia" w:ascii="仿宋" w:hAnsi="仿宋" w:eastAsia="仿宋"/>
          <w:sz w:val="32"/>
          <w:szCs w:val="32"/>
          <w:lang w:val="en-US" w:eastAsia="zh-CN"/>
        </w:rPr>
        <w:t>绥财预指（2022）0301号的本级专项资金10万元用于</w:t>
      </w:r>
      <w:r>
        <w:rPr>
          <w:rFonts w:hint="eastAsia" w:ascii="仿宋" w:hAnsi="仿宋" w:eastAsia="仿宋" w:cs="仿宋"/>
          <w:spacing w:val="10"/>
          <w:sz w:val="32"/>
          <w:szCs w:val="32"/>
          <w:lang w:val="en-US" w:eastAsia="zh-CN"/>
        </w:rPr>
        <w:t>2022年度绥宁县野生动物伤害政府救助责任保险，</w:t>
      </w:r>
      <w:r>
        <w:rPr>
          <w:rFonts w:hint="eastAsia" w:ascii="仿宋" w:hAnsi="仿宋" w:eastAsia="仿宋"/>
          <w:sz w:val="32"/>
          <w:szCs w:val="32"/>
          <w:lang w:val="en-US" w:eastAsia="zh-CN"/>
        </w:rPr>
        <w:t>绥宁县财政局于2022年6月24日下发已到位。</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eastAsia="zh-CN"/>
        </w:rPr>
        <w:t>专项资金已经拨付县林业局专项账户，资金按照财务管理程序已经拨付到位。</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项目资金管理情况分析；</w:t>
      </w:r>
    </w:p>
    <w:p>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仿宋" w:hAnsi="仿宋" w:eastAsia="仿宋" w:cs="仿宋"/>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eastAsia="zh-CN"/>
        </w:rPr>
        <w:t>下达给我县的</w:t>
      </w:r>
      <w:r>
        <w:rPr>
          <w:rFonts w:hint="eastAsia" w:ascii="仿宋" w:hAnsi="仿宋" w:eastAsia="仿宋" w:cs="仿宋"/>
          <w:sz w:val="32"/>
          <w:szCs w:val="32"/>
          <w:lang w:val="en-US" w:eastAsia="zh-CN"/>
        </w:rPr>
        <w:t>10万元专项资金严格执行财务管理制度和支付流程，全部用于购买我县2022年度的</w:t>
      </w:r>
      <w:r>
        <w:rPr>
          <w:rFonts w:hint="eastAsia" w:ascii="仿宋" w:hAnsi="仿宋" w:eastAsia="仿宋" w:cs="仿宋"/>
          <w:spacing w:val="10"/>
          <w:sz w:val="32"/>
          <w:szCs w:val="32"/>
          <w:lang w:val="en-US" w:eastAsia="zh-CN"/>
        </w:rPr>
        <w:t>野生动物伤害政府救助责任保险</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lang w:eastAsia="zh-CN"/>
        </w:rPr>
      </w:pPr>
      <w:r>
        <w:rPr>
          <w:rFonts w:hint="eastAsia" w:ascii="楷体" w:hAnsi="楷体" w:eastAsia="楷体" w:cs="楷体"/>
          <w:b/>
          <w:bCs/>
          <w:spacing w:val="10"/>
          <w:sz w:val="32"/>
          <w:szCs w:val="32"/>
        </w:rPr>
        <w:t>(二)项目绩效指标完成情况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(1)项目完成数量；</w:t>
      </w:r>
    </w:p>
    <w:p>
      <w:pPr>
        <w:pStyle w:val="2"/>
        <w:rPr>
          <w:rFonts w:hint="eastAsia" w:eastAsia="仿宋"/>
          <w:lang w:val="en-US" w:eastAsia="zh-CN"/>
        </w:rPr>
      </w:pPr>
      <w:r>
        <w:rPr>
          <w:rFonts w:hint="eastAsia" w:ascii="仿宋" w:hAnsi="仿宋" w:eastAsia="仿宋" w:cs="仿宋"/>
          <w:spacing w:val="10"/>
          <w:sz w:val="32"/>
          <w:szCs w:val="32"/>
          <w:lang w:val="en-US" w:eastAsia="zh-CN"/>
        </w:rPr>
        <w:t xml:space="preserve">    2022年度保险公司共计理赔213人次。</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项目完成质量；</w:t>
      </w:r>
    </w:p>
    <w:p>
      <w:pPr>
        <w:pStyle w:val="2"/>
        <w:rPr>
          <w:rFonts w:hint="eastAsia" w:ascii="仿宋" w:hAnsi="仿宋" w:eastAsia="仿宋" w:cs="仿宋"/>
          <w:spacing w:val="10"/>
          <w:sz w:val="32"/>
          <w:szCs w:val="32"/>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2022年度保险公司共计理赔22.15万元。</w:t>
      </w:r>
    </w:p>
    <w:p>
      <w:pPr>
        <w:pStyle w:val="2"/>
        <w:numPr>
          <w:ilvl w:val="0"/>
          <w:numId w:val="3"/>
        </w:numPr>
        <w:ind w:firstLine="680" w:firstLineChars="200"/>
        <w:rPr>
          <w:rFonts w:hint="eastAsia" w:ascii="仿宋" w:hAnsi="仿宋" w:eastAsia="仿宋" w:cs="仿宋"/>
          <w:spacing w:val="10"/>
          <w:sz w:val="32"/>
          <w:szCs w:val="32"/>
        </w:rPr>
      </w:pPr>
      <w:r>
        <w:rPr>
          <w:rFonts w:hint="eastAsia" w:ascii="仿宋" w:hAnsi="仿宋" w:eastAsia="仿宋" w:cs="仿宋"/>
          <w:spacing w:val="10"/>
          <w:sz w:val="32"/>
          <w:szCs w:val="32"/>
        </w:rPr>
        <w:t>项目实施进度；</w:t>
      </w:r>
    </w:p>
    <w:p>
      <w:pPr>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所有理赔全部到位。</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项目成本节约情况；</w:t>
      </w:r>
    </w:p>
    <w:p>
      <w:pPr>
        <w:pStyle w:val="2"/>
        <w:numPr>
          <w:ilvl w:val="0"/>
          <w:numId w:val="0"/>
        </w:numPr>
        <w:rPr>
          <w:rFonts w:hint="eastAsia"/>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2022年度绥宁县野生动物伤害政府救助责任保险的成本节约情况良好。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(1)项目实施的经济效益分析；</w:t>
      </w:r>
    </w:p>
    <w:p>
      <w:pPr>
        <w:pStyle w:val="2"/>
        <w:rPr>
          <w:rFonts w:hint="eastAsia" w:eastAsia="仿宋"/>
          <w:lang w:val="en-US" w:eastAsia="zh-CN"/>
        </w:rPr>
      </w:pPr>
      <w:r>
        <w:rPr>
          <w:rFonts w:hint="eastAsia" w:ascii="仿宋" w:hAnsi="仿宋" w:eastAsia="仿宋" w:cs="仿宋"/>
          <w:spacing w:val="10"/>
          <w:sz w:val="32"/>
          <w:szCs w:val="32"/>
          <w:lang w:val="en-US" w:eastAsia="zh-CN"/>
        </w:rPr>
        <w:t xml:space="preserve">    我县野生动物伤害政府救助责任保险的经济效益十分可观。</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680" w:firstLineChars="200"/>
        <w:jc w:val="both"/>
        <w:textAlignment w:val="auto"/>
        <w:rPr>
          <w:rFonts w:hint="eastAsia"/>
        </w:rPr>
      </w:pPr>
      <w:r>
        <w:rPr>
          <w:rFonts w:hint="eastAsia" w:ascii="仿宋" w:hAnsi="仿宋" w:eastAsia="仿宋" w:cs="仿宋"/>
          <w:spacing w:val="10"/>
          <w:sz w:val="32"/>
          <w:szCs w:val="32"/>
        </w:rPr>
        <w:t>项目实施的社会效益分析；</w:t>
      </w:r>
    </w:p>
    <w:p>
      <w:pPr>
        <w:pStyle w:val="2"/>
        <w:ind w:firstLine="680" w:firstLineChars="200"/>
        <w:rPr>
          <w:rFonts w:hint="eastAsia" w:eastAsia="仿宋"/>
          <w:lang w:val="en-US" w:eastAsia="zh-CN"/>
        </w:rPr>
      </w:pPr>
      <w:r>
        <w:rPr>
          <w:rFonts w:hint="eastAsia" w:ascii="仿宋" w:hAnsi="仿宋" w:eastAsia="仿宋" w:cs="仿宋"/>
          <w:spacing w:val="10"/>
          <w:sz w:val="32"/>
          <w:szCs w:val="32"/>
          <w:lang w:val="en-US" w:eastAsia="zh-CN"/>
        </w:rPr>
        <w:t>我县野生动物伤害政府救助责任保险的社会效益是受到广大林农的好评。</w:t>
      </w:r>
    </w:p>
    <w:p>
      <w:pPr>
        <w:pStyle w:val="2"/>
        <w:numPr>
          <w:ilvl w:val="0"/>
          <w:numId w:val="4"/>
        </w:numPr>
        <w:ind w:firstLine="680" w:firstLineChars="200"/>
        <w:rPr>
          <w:rFonts w:hint="eastAsia" w:ascii="仿宋" w:hAnsi="仿宋" w:eastAsia="仿宋" w:cs="仿宋"/>
          <w:spacing w:val="10"/>
          <w:sz w:val="32"/>
          <w:szCs w:val="32"/>
        </w:rPr>
      </w:pPr>
      <w:r>
        <w:rPr>
          <w:rFonts w:hint="eastAsia" w:ascii="仿宋" w:hAnsi="仿宋" w:eastAsia="仿宋" w:cs="仿宋"/>
          <w:spacing w:val="10"/>
          <w:sz w:val="32"/>
          <w:szCs w:val="32"/>
        </w:rPr>
        <w:t>项目实施的生态效益分析；</w:t>
      </w:r>
    </w:p>
    <w:p>
      <w:pPr>
        <w:pStyle w:val="2"/>
        <w:rPr>
          <w:rFonts w:hint="eastAsia" w:eastAsia="仿宋"/>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我县野生动物伤害政府救助责任保险的生态效益是更好的保护我县野生动物资源。</w:t>
      </w:r>
    </w:p>
    <w:p>
      <w:pPr>
        <w:numPr>
          <w:ilvl w:val="0"/>
          <w:numId w:val="0"/>
        </w:numPr>
        <w:rPr>
          <w:rFonts w:hint="eastAsia" w:eastAsia="宋体"/>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项目实施的可持续影响分析；</w:t>
      </w:r>
    </w:p>
    <w:p>
      <w:pPr>
        <w:pStyle w:val="2"/>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我县野生动物伤害政府救助责任保险的可持续影响是有利于我县生物多样性保护和更好的保护我县野生动物资源</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满意度指标完成情况分析</w:t>
      </w:r>
    </w:p>
    <w:p>
      <w:pPr>
        <w:pStyle w:val="2"/>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我县野生动物伤害政府救助责任保险的业务开展，不仅体现政府的担当而且使广大林农的人身和农作物得到有效保护，群众十分满意。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四、存在的主要问题及产生的原因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(一)项目申报及实施管理方面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1、项目立项；</w:t>
      </w:r>
    </w:p>
    <w:p>
      <w:pPr>
        <w:pStyle w:val="2"/>
        <w:rPr>
          <w:rFonts w:hint="eastAsia" w:eastAsia="仿宋"/>
          <w:lang w:val="en-US" w:eastAsia="zh-CN"/>
        </w:rPr>
      </w:pPr>
      <w:r>
        <w:rPr>
          <w:rFonts w:hint="eastAsia" w:ascii="仿宋" w:hAnsi="仿宋" w:eastAsia="仿宋" w:cs="仿宋"/>
          <w:spacing w:val="10"/>
          <w:sz w:val="32"/>
          <w:szCs w:val="32"/>
          <w:lang w:val="en-US" w:eastAsia="zh-CN"/>
        </w:rPr>
        <w:t xml:space="preserve">    已经得到政府支持。</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项目跟踪监管；</w:t>
      </w:r>
    </w:p>
    <w:p>
      <w:pPr>
        <w:pStyle w:val="2"/>
        <w:numPr>
          <w:ilvl w:val="0"/>
          <w:numId w:val="0"/>
        </w:numPr>
        <w:rPr>
          <w:rFonts w:hint="eastAsia" w:ascii="仿宋" w:hAnsi="仿宋" w:eastAsia="仿宋" w:cs="仿宋"/>
          <w:sz w:val="32"/>
          <w:szCs w:val="32"/>
          <w:lang w:val="en-US" w:eastAsia="zh-CN"/>
        </w:rPr>
      </w:pPr>
      <w:r>
        <w:rPr>
          <w:rFonts w:hint="eastAsia"/>
          <w:lang w:val="en-US" w:eastAsia="zh-CN"/>
        </w:rPr>
        <w:t xml:space="preserve">       </w:t>
      </w:r>
      <w:r>
        <w:rPr>
          <w:rFonts w:hint="eastAsia" w:ascii="仿宋" w:hAnsi="仿宋" w:eastAsia="仿宋" w:cs="仿宋"/>
          <w:sz w:val="32"/>
          <w:szCs w:val="32"/>
          <w:lang w:val="en-US" w:eastAsia="zh-CN"/>
        </w:rPr>
        <w:t>该项目政府已经安排林业局实施，林业局指定自然地与野生动植物保护股的工作人员进行跟踪监管。</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项目实施进度;</w:t>
      </w:r>
    </w:p>
    <w:p>
      <w:pPr>
        <w:pStyle w:val="2"/>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2022年度绥宁县野生动物伤害政府救助责任保险的实施已经完成。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4、项目其他方面；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(二)资金管理方面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1、资金使用；</w:t>
      </w:r>
    </w:p>
    <w:p>
      <w:pPr>
        <w:pStyle w:val="2"/>
        <w:rPr>
          <w:rFonts w:hint="eastAsia" w:eastAsia="仿宋"/>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sz w:val="32"/>
          <w:szCs w:val="32"/>
          <w:lang w:val="en-US" w:eastAsia="zh-CN"/>
        </w:rPr>
        <w:t>绥财预指（2022）0301号的本级专项资金10万元用于购置</w:t>
      </w:r>
      <w:r>
        <w:rPr>
          <w:rFonts w:hint="eastAsia" w:ascii="仿宋" w:hAnsi="仿宋" w:eastAsia="仿宋" w:cs="仿宋"/>
          <w:spacing w:val="10"/>
          <w:sz w:val="32"/>
          <w:szCs w:val="32"/>
          <w:lang w:val="en-US" w:eastAsia="zh-CN"/>
        </w:rPr>
        <w:t>2022年度绥宁县野生动物伤害政府救助责任保险。</w:t>
      </w:r>
    </w:p>
    <w:p>
      <w:pPr>
        <w:pStyle w:val="2"/>
        <w:ind w:firstLine="720"/>
        <w:rPr>
          <w:rFonts w:hint="eastAsia" w:ascii="仿宋" w:hAnsi="仿宋" w:eastAsia="仿宋" w:cs="仿宋"/>
          <w:spacing w:val="10"/>
          <w:sz w:val="32"/>
          <w:szCs w:val="32"/>
        </w:rPr>
      </w:pPr>
      <w:r>
        <w:rPr>
          <w:rFonts w:hint="eastAsia" w:ascii="仿宋" w:hAnsi="仿宋" w:eastAsia="仿宋" w:cs="仿宋"/>
          <w:spacing w:val="10"/>
          <w:sz w:val="32"/>
          <w:szCs w:val="32"/>
        </w:rPr>
        <w:t>2、项目资金拨付；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960" w:firstLineChars="300"/>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z w:val="32"/>
          <w:szCs w:val="32"/>
          <w:lang w:eastAsia="zh-CN"/>
        </w:rPr>
        <w:t>专项资金已经拨付县林业局专项账户，资金按照财务管理程序已经拨付到位。</w:t>
      </w:r>
    </w:p>
    <w:p>
      <w:pPr>
        <w:ind w:firstLine="720"/>
        <w:rPr>
          <w:rFonts w:hint="eastAsia"/>
        </w:rPr>
      </w:pP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会计核算；</w:t>
      </w:r>
    </w:p>
    <w:p>
      <w:pPr>
        <w:pStyle w:val="2"/>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 xml:space="preserve"> 林业局计划财务股已经核算无误。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(三)产生的原因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五、下一步改进措施及建议</w:t>
      </w:r>
    </w:p>
    <w:p>
      <w:pPr>
        <w:pStyle w:val="2"/>
        <w:rPr>
          <w:rFonts w:hint="eastAsia" w:ascii="仿宋" w:hAnsi="仿宋" w:eastAsia="仿宋" w:cs="仿宋"/>
          <w:lang w:val="en-US" w:eastAsia="zh-CN"/>
        </w:rPr>
      </w:pPr>
      <w:r>
        <w:rPr>
          <w:rFonts w:hint="eastAsia" w:ascii="黑体" w:hAnsi="黑体" w:eastAsia="黑体" w:cs="黑体"/>
          <w:b w:val="0"/>
          <w:bCs w:val="0"/>
          <w:spacing w:val="10"/>
          <w:sz w:val="32"/>
          <w:szCs w:val="32"/>
          <w:lang w:val="en-US" w:eastAsia="zh-CN"/>
        </w:rPr>
        <w:t xml:space="preserve">    </w:t>
      </w:r>
      <w:bookmarkStart w:id="0" w:name="_GoBack"/>
      <w:r>
        <w:rPr>
          <w:rFonts w:hint="eastAsia" w:ascii="仿宋" w:hAnsi="仿宋" w:eastAsia="仿宋" w:cs="仿宋"/>
          <w:b w:val="0"/>
          <w:bCs w:val="0"/>
          <w:spacing w:val="10"/>
          <w:sz w:val="32"/>
          <w:szCs w:val="32"/>
          <w:lang w:val="en-US" w:eastAsia="zh-CN"/>
        </w:rPr>
        <w:t>建议加大保险资金，确保广大公民的人身和财产安全。</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b/>
          <w:bCs/>
          <w:sz w:val="32"/>
          <w:szCs w:val="32"/>
          <w:lang w:val="en-US" w:eastAsia="zh-CN"/>
        </w:rPr>
      </w:pPr>
      <w:r>
        <w:rPr>
          <w:rFonts w:hint="eastAsia" w:ascii="黑体" w:hAnsi="黑体" w:eastAsia="黑体" w:cs="黑体"/>
          <w:b w:val="0"/>
          <w:bCs w:val="0"/>
          <w:spacing w:val="10"/>
          <w:sz w:val="32"/>
          <w:szCs w:val="32"/>
        </w:rPr>
        <w:t>六、绩效自评结果拟应用和公开情况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default" w:ascii="仿宋" w:hAnsi="仿宋" w:eastAsia="仿宋" w:cs="仿宋"/>
          <w:i w:val="0"/>
          <w:iCs w:val="0"/>
          <w:caps w:val="0"/>
          <w:color w:val="000000"/>
          <w:spacing w:val="0"/>
          <w:sz w:val="32"/>
          <w:szCs w:val="32"/>
          <w:lang w:val="en-US" w:eastAsia="zh-CN"/>
        </w:rPr>
      </w:pPr>
      <w:r>
        <w:rPr>
          <w:rFonts w:hint="eastAsia" w:ascii="仿宋" w:hAnsi="仿宋" w:eastAsia="仿宋" w:cs="仿宋"/>
          <w:i w:val="0"/>
          <w:iCs w:val="0"/>
          <w:caps w:val="0"/>
          <w:color w:val="000000"/>
          <w:spacing w:val="0"/>
          <w:sz w:val="32"/>
          <w:szCs w:val="32"/>
          <w:lang w:val="en-US" w:eastAsia="zh-CN"/>
        </w:rPr>
        <w:t>附件：项目支出绩效目标自评表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Calibri" w:hAnsi="Calibri" w:cs="Calibri"/>
          <w:i w:val="0"/>
          <w:iCs w:val="0"/>
          <w:caps w:val="0"/>
          <w:color w:val="000000"/>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r>
        <w:rPr>
          <w:rFonts w:hint="eastAsia" w:ascii="黑体" w:hAnsi="黑体" w:eastAsia="黑体" w:cs="黑体"/>
          <w:i w:val="0"/>
          <w:iCs w:val="0"/>
          <w:caps w:val="0"/>
          <w:color w:val="000000"/>
          <w:spacing w:val="0"/>
          <w:sz w:val="32"/>
          <w:szCs w:val="32"/>
          <w:shd w:val="clear" w:fill="FFFFFF"/>
          <w:lang w:val="en-US" w:eastAsia="zh-CN"/>
        </w:rPr>
        <w:t>附件：</w:t>
      </w:r>
    </w:p>
    <w:p>
      <w:pPr>
        <w:spacing w:before="227" w:line="182" w:lineRule="auto"/>
        <w:jc w:val="center"/>
        <w:rPr>
          <w:rFonts w:hint="eastAsia" w:ascii="黑体" w:hAnsi="黑体" w:eastAsia="黑体" w:cs="黑体"/>
          <w:spacing w:val="-1"/>
          <w:sz w:val="44"/>
          <w:szCs w:val="44"/>
        </w:rPr>
      </w:pPr>
      <w:r>
        <w:rPr>
          <w:rFonts w:hint="eastAsia" w:ascii="黑体" w:hAnsi="黑体" w:eastAsia="黑体" w:cs="黑体"/>
          <w:spacing w:val="-2"/>
          <w:sz w:val="44"/>
          <w:szCs w:val="44"/>
          <w:lang w:val="en-US" w:eastAsia="zh-CN"/>
        </w:rPr>
        <w:t>项目支出</w:t>
      </w:r>
      <w:r>
        <w:rPr>
          <w:rFonts w:hint="eastAsia" w:ascii="黑体" w:hAnsi="黑体" w:eastAsia="黑体" w:cs="黑体"/>
          <w:spacing w:val="-2"/>
          <w:sz w:val="44"/>
          <w:szCs w:val="44"/>
        </w:rPr>
        <w:t>绩</w:t>
      </w:r>
      <w:r>
        <w:rPr>
          <w:rFonts w:hint="eastAsia" w:ascii="黑体" w:hAnsi="黑体" w:eastAsia="黑体" w:cs="黑体"/>
          <w:spacing w:val="-1"/>
          <w:sz w:val="44"/>
          <w:szCs w:val="44"/>
        </w:rPr>
        <w:t>效目标自评表</w:t>
      </w:r>
    </w:p>
    <w:p>
      <w:pPr>
        <w:spacing w:before="47" w:line="197" w:lineRule="auto"/>
        <w:ind w:left="3525"/>
        <w:rPr>
          <w:rFonts w:hint="eastAsia" w:ascii="仿宋" w:hAnsi="仿宋" w:eastAsia="仿宋" w:cs="仿宋"/>
          <w:spacing w:val="-1"/>
          <w:sz w:val="32"/>
          <w:szCs w:val="32"/>
        </w:rPr>
      </w:pPr>
      <w:r>
        <w:rPr>
          <w:rFonts w:hint="eastAsia" w:ascii="仿宋" w:hAnsi="仿宋" w:eastAsia="仿宋" w:cs="仿宋"/>
          <w:sz w:val="32"/>
          <w:szCs w:val="32"/>
        </w:rPr>
        <mc:AlternateContent>
          <mc:Choice Requires="wps">
            <w:drawing>
              <wp:anchor distT="0" distB="0" distL="114300" distR="114300" simplePos="0" relativeHeight="251659264" behindDoc="0" locked="0" layoutInCell="1" allowOverlap="1">
                <wp:simplePos x="0" y="0"/>
                <wp:positionH relativeFrom="column">
                  <wp:posOffset>4638675</wp:posOffset>
                </wp:positionH>
                <wp:positionV relativeFrom="paragraph">
                  <wp:posOffset>17145</wp:posOffset>
                </wp:positionV>
                <wp:extent cx="633095" cy="2362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3095" cy="236220"/>
                        </a:xfrm>
                        <a:prstGeom prst="rect">
                          <a:avLst/>
                        </a:prstGeom>
                        <a:noFill/>
                        <a:ln>
                          <a:noFill/>
                        </a:ln>
                      </wps:spPr>
                      <wps:txbx>
                        <w:txbxContent>
                          <w:p>
                            <w:pPr>
                              <w:spacing w:before="19" w:line="219" w:lineRule="auto"/>
                              <w:ind w:left="20"/>
                              <w:rPr>
                                <w:rFonts w:ascii="仿宋" w:hAnsi="仿宋" w:eastAsia="仿宋" w:cs="仿宋"/>
                                <w:sz w:val="28"/>
                                <w:szCs w:val="28"/>
                              </w:rPr>
                            </w:pPr>
                          </w:p>
                        </w:txbxContent>
                      </wps:txbx>
                      <wps:bodyPr lIns="0" tIns="0" rIns="0" bIns="0" upright="1"/>
                    </wps:wsp>
                  </a:graphicData>
                </a:graphic>
              </wp:anchor>
            </w:drawing>
          </mc:Choice>
          <mc:Fallback>
            <w:pict>
              <v:shape id="_x0000_s1026" o:spid="_x0000_s1026" o:spt="202" type="#_x0000_t202" style="position:absolute;left:0pt;margin-left:365.25pt;margin-top:1.35pt;height:18.6pt;width:49.85pt;z-index:251659264;mso-width-relative:page;mso-height-relative:page;" filled="f" stroked="f" coordsize="21600,21600" o:gfxdata="UEsDBAoAAAAAAIdO4kAAAAAAAAAAAAAAAAAEAAAAZHJzL1BLAwQUAAAACACHTuJAS8s/0tgAAAAI&#10;AQAADwAAAGRycy9kb3ducmV2LnhtbE2PzU7DMBCE70i8g7VI3KjdRLRNyKZCCE5IiDQcODrxNoka&#10;r0Ps/vD2mBMcRzOa+abYXuwoTjT7wTHCcqFAELfODNwhfNQvdxsQPmg2enRMCN/kYVteXxU6N+7M&#10;FZ12oROxhH2uEfoQplxK3/ZktV+4iTh6ezdbHaKcO2lmfY7ldpSJUitp9cBxodcTPfXUHnZHi/D4&#10;ydXz8PXWvFf7aqjrTPHr6oB4e7NUDyACXcJfGH7xIzqUkalxRzZejAjrVN3HKEKyBhH9TaoSEA1C&#10;mmUgy0L+P1D+AFBLAwQUAAAACACHTuJAhdehcLsBAABxAwAADgAAAGRycy9lMm9Eb2MueG1srVNL&#10;btswEN0X6B0I7msqMmq0guUAhZGiQNEGSHoAmiItAvyBQ1vyBdobdNVN9j2Xz5EhbTltusmiG2o0&#10;M3rz3htqeT1aQ/YygvaupVezihLphO+027b02/3Nm3eUQOKu48Y72dKDBHq9ev1qOYRG1r73ppOR&#10;IIiDZggt7VMKDWMgemk5zHyQDovKR8sTvsYt6yIfEN0aVlfVgg0+diF6IQEwuz4V6RkxvgTQK6WF&#10;XHuxs9KlE2qUhieUBL0OQFeFrVJSpK9KgUzEtBSVpnLiEIw3+WSrJW+2kYdeizMF/hIKzzRZrh0O&#10;vUCteeJkF/U/UFaL6MGrNBPespOQ4giquKqeeXPX8yCLFrQawsV0+H+w4sv+NhLdtbSmxHGLCz/+&#10;/HH89fv48J3U2Z4hQINddwH70vjBj3hppjxgMqseVbT5iXoI1tHcw8VcOSYiMLmYz6v3bykRWKrn&#10;i7ou5rOnj0OE9FF6S3LQ0oi7K5by/WdISARbp5Y8y/kbbUzZn3F/JbAxZ1hmfmKYozRuxrOcje8O&#10;qMZ8cuhkvhVTEKdgMwW7EPW2RzpFc4HETRQy51uTV/3nexn89KesH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Lyz/S2AAAAAgBAAAPAAAAAAAAAAEAIAAAACIAAABkcnMvZG93bnJldi54bWxQSwEC&#10;FAAUAAAACACHTuJAhdehcLsBAABxAwAADgAAAAAAAAABACAAAAAnAQAAZHJzL2Uyb0RvYy54bWxQ&#10;SwUGAAAAAAYABgBZAQAAVAUAAAAA&#10;">
                <v:fill on="f" focussize="0,0"/>
                <v:stroke on="f"/>
                <v:imagedata o:title=""/>
                <o:lock v:ext="edit" aspectratio="f"/>
                <v:textbox inset="0mm,0mm,0mm,0mm">
                  <w:txbxContent>
                    <w:p>
                      <w:pPr>
                        <w:spacing w:before="19" w:line="219" w:lineRule="auto"/>
                        <w:ind w:left="20"/>
                        <w:rPr>
                          <w:rFonts w:ascii="仿宋" w:hAnsi="仿宋" w:eastAsia="仿宋" w:cs="仿宋"/>
                          <w:sz w:val="28"/>
                          <w:szCs w:val="28"/>
                        </w:rPr>
                      </w:pPr>
                    </w:p>
                  </w:txbxContent>
                </v:textbox>
              </v:shape>
            </w:pict>
          </mc:Fallback>
        </mc:AlternateContent>
      </w:r>
      <w:r>
        <w:rPr>
          <w:rFonts w:hint="eastAsia" w:ascii="仿宋" w:hAnsi="仿宋" w:eastAsia="仿宋" w:cs="仿宋"/>
          <w:spacing w:val="22"/>
          <w:sz w:val="32"/>
          <w:szCs w:val="32"/>
        </w:rPr>
        <w:t>(</w:t>
      </w:r>
      <w:r>
        <w:rPr>
          <w:rFonts w:hint="eastAsia" w:ascii="仿宋" w:hAnsi="仿宋" w:eastAsia="仿宋" w:cs="仿宋"/>
          <w:b/>
          <w:bCs/>
          <w:spacing w:val="17"/>
          <w:sz w:val="32"/>
          <w:szCs w:val="32"/>
          <w:lang w:val="en-US" w:eastAsia="zh-CN"/>
        </w:rPr>
        <w:t>2022</w:t>
      </w:r>
      <w:r>
        <w:rPr>
          <w:rFonts w:hint="eastAsia" w:ascii="仿宋" w:hAnsi="仿宋" w:eastAsia="仿宋" w:cs="仿宋"/>
          <w:spacing w:val="17"/>
          <w:sz w:val="32"/>
          <w:szCs w:val="32"/>
        </w:rPr>
        <w:t>年度)</w:t>
      </w:r>
    </w:p>
    <w:tbl>
      <w:tblPr>
        <w:tblStyle w:val="6"/>
        <w:tblW w:w="8132" w:type="dxa"/>
        <w:tblInd w:w="2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3"/>
        <w:gridCol w:w="695"/>
        <w:gridCol w:w="658"/>
        <w:gridCol w:w="1379"/>
        <w:gridCol w:w="1102"/>
        <w:gridCol w:w="738"/>
        <w:gridCol w:w="706"/>
        <w:gridCol w:w="650"/>
        <w:gridCol w:w="820"/>
        <w:gridCol w:w="8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906" w:type="dxa"/>
            <w:gridSpan w:val="3"/>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项目名称</w:t>
            </w:r>
          </w:p>
        </w:tc>
        <w:tc>
          <w:tcPr>
            <w:tcW w:w="2481" w:type="dxa"/>
            <w:gridSpan w:val="2"/>
            <w:vAlign w:val="top"/>
          </w:tcPr>
          <w:p>
            <w:pPr>
              <w:spacing w:before="59" w:line="227" w:lineRule="auto"/>
              <w:jc w:val="center"/>
              <w:rPr>
                <w:rFonts w:hint="eastAsia"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2022年度野生动物伤害政府救助责任保险</w:t>
            </w:r>
          </w:p>
        </w:tc>
        <w:tc>
          <w:tcPr>
            <w:tcW w:w="1444" w:type="dxa"/>
            <w:gridSpan w:val="2"/>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项目负责人及电话</w:t>
            </w:r>
          </w:p>
        </w:tc>
        <w:tc>
          <w:tcPr>
            <w:tcW w:w="2301" w:type="dxa"/>
            <w:gridSpan w:val="3"/>
            <w:vAlign w:val="top"/>
          </w:tcPr>
          <w:p>
            <w:pPr>
              <w:spacing w:before="59" w:line="227" w:lineRule="auto"/>
              <w:jc w:val="center"/>
              <w:rPr>
                <w:rFonts w:hint="eastAsia"/>
                <w:lang w:eastAsia="zh-CN"/>
              </w:rPr>
            </w:pPr>
            <w:r>
              <w:rPr>
                <w:rFonts w:hint="eastAsia"/>
                <w:lang w:eastAsia="zh-CN"/>
              </w:rPr>
              <w:t>费立功</w:t>
            </w:r>
          </w:p>
          <w:p>
            <w:pPr>
              <w:pStyle w:val="2"/>
              <w:rPr>
                <w:rFonts w:hint="eastAsia"/>
                <w:lang w:val="en-US" w:eastAsia="zh-CN"/>
              </w:rPr>
            </w:pPr>
            <w:r>
              <w:rPr>
                <w:rFonts w:hint="eastAsia" w:ascii="仿宋" w:hAnsi="仿宋" w:eastAsia="仿宋" w:cs="仿宋"/>
                <w:spacing w:val="8"/>
                <w:sz w:val="21"/>
                <w:szCs w:val="21"/>
                <w:lang w:val="en-US" w:eastAsia="zh-CN"/>
              </w:rPr>
              <w:t>13973945748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906" w:type="dxa"/>
            <w:gridSpan w:val="3"/>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主管部门</w:t>
            </w:r>
          </w:p>
        </w:tc>
        <w:tc>
          <w:tcPr>
            <w:tcW w:w="2481" w:type="dxa"/>
            <w:gridSpan w:val="2"/>
            <w:vAlign w:val="top"/>
          </w:tcPr>
          <w:p>
            <w:pPr>
              <w:spacing w:before="59" w:line="227" w:lineRule="auto"/>
              <w:jc w:val="center"/>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县人民政府</w:t>
            </w:r>
          </w:p>
        </w:tc>
        <w:tc>
          <w:tcPr>
            <w:tcW w:w="1444" w:type="dxa"/>
            <w:gridSpan w:val="2"/>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实施单位</w:t>
            </w:r>
          </w:p>
        </w:tc>
        <w:tc>
          <w:tcPr>
            <w:tcW w:w="2301" w:type="dxa"/>
            <w:gridSpan w:val="3"/>
            <w:vAlign w:val="top"/>
          </w:tcPr>
          <w:p>
            <w:pPr>
              <w:spacing w:before="59" w:line="227" w:lineRule="auto"/>
              <w:jc w:val="center"/>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林业局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06" w:type="dxa"/>
            <w:gridSpan w:val="3"/>
            <w:vMerge w:val="restart"/>
            <w:tcBorders>
              <w:bottom w:val="nil"/>
            </w:tcBorders>
            <w:vAlign w:val="center"/>
          </w:tcPr>
          <w:p>
            <w:pPr>
              <w:spacing w:before="59"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资</w:t>
            </w:r>
            <w:r>
              <w:rPr>
                <w:rFonts w:hint="eastAsia" w:ascii="仿宋" w:hAnsi="仿宋" w:eastAsia="仿宋" w:cs="仿宋"/>
                <w:spacing w:val="6"/>
                <w:sz w:val="21"/>
                <w:szCs w:val="21"/>
              </w:rPr>
              <w:t>金情况(万元)</w:t>
            </w:r>
          </w:p>
        </w:tc>
        <w:tc>
          <w:tcPr>
            <w:tcW w:w="1379" w:type="dxa"/>
            <w:vAlign w:val="top"/>
          </w:tcPr>
          <w:p>
            <w:pPr>
              <w:rPr>
                <w:rFonts w:hint="eastAsia" w:ascii="仿宋" w:hAnsi="仿宋" w:eastAsia="仿宋" w:cs="仿宋"/>
                <w:sz w:val="21"/>
                <w:szCs w:val="21"/>
              </w:rPr>
            </w:pPr>
          </w:p>
        </w:tc>
        <w:tc>
          <w:tcPr>
            <w:tcW w:w="1102"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全年预算数(A)</w:t>
            </w:r>
          </w:p>
        </w:tc>
        <w:tc>
          <w:tcPr>
            <w:tcW w:w="1444" w:type="dxa"/>
            <w:gridSpan w:val="2"/>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全年执行数(B)</w:t>
            </w:r>
          </w:p>
        </w:tc>
        <w:tc>
          <w:tcPr>
            <w:tcW w:w="650"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分值</w:t>
            </w:r>
          </w:p>
        </w:tc>
        <w:tc>
          <w:tcPr>
            <w:tcW w:w="820"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执行率(B/A)</w:t>
            </w:r>
          </w:p>
        </w:tc>
        <w:tc>
          <w:tcPr>
            <w:tcW w:w="831"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906" w:type="dxa"/>
            <w:gridSpan w:val="3"/>
            <w:vMerge w:val="continue"/>
            <w:tcBorders>
              <w:top w:val="nil"/>
              <w:bottom w:val="nil"/>
            </w:tcBorders>
            <w:vAlign w:val="top"/>
          </w:tcPr>
          <w:p>
            <w:pPr>
              <w:rPr>
                <w:rFonts w:hint="eastAsia" w:ascii="仿宋" w:hAnsi="仿宋" w:eastAsia="仿宋" w:cs="仿宋"/>
                <w:sz w:val="21"/>
                <w:szCs w:val="21"/>
              </w:rPr>
            </w:pPr>
          </w:p>
        </w:tc>
        <w:tc>
          <w:tcPr>
            <w:tcW w:w="1379" w:type="dxa"/>
            <w:vAlign w:val="center"/>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年度资金总额：</w:t>
            </w:r>
          </w:p>
        </w:tc>
        <w:tc>
          <w:tcPr>
            <w:tcW w:w="1102" w:type="dxa"/>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10</w:t>
            </w:r>
          </w:p>
        </w:tc>
        <w:tc>
          <w:tcPr>
            <w:tcW w:w="1444" w:type="dxa"/>
            <w:gridSpan w:val="2"/>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10</w:t>
            </w:r>
          </w:p>
        </w:tc>
        <w:tc>
          <w:tcPr>
            <w:tcW w:w="650"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10</w:t>
            </w:r>
          </w:p>
        </w:tc>
        <w:tc>
          <w:tcPr>
            <w:tcW w:w="820" w:type="dxa"/>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100</w:t>
            </w:r>
          </w:p>
        </w:tc>
        <w:tc>
          <w:tcPr>
            <w:tcW w:w="831" w:type="dxa"/>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bottom w:val="nil"/>
            </w:tcBorders>
            <w:vAlign w:val="top"/>
          </w:tcPr>
          <w:p>
            <w:pPr>
              <w:rPr>
                <w:rFonts w:hint="eastAsia" w:ascii="仿宋" w:hAnsi="仿宋" w:eastAsia="仿宋" w:cs="仿宋"/>
                <w:sz w:val="21"/>
                <w:szCs w:val="21"/>
              </w:rPr>
            </w:pPr>
          </w:p>
        </w:tc>
        <w:tc>
          <w:tcPr>
            <w:tcW w:w="1379" w:type="dxa"/>
            <w:vAlign w:val="center"/>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其中：本年财政拨款</w:t>
            </w:r>
          </w:p>
        </w:tc>
        <w:tc>
          <w:tcPr>
            <w:tcW w:w="1102" w:type="dxa"/>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10</w:t>
            </w:r>
          </w:p>
        </w:tc>
        <w:tc>
          <w:tcPr>
            <w:tcW w:w="1444" w:type="dxa"/>
            <w:gridSpan w:val="2"/>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10</w:t>
            </w:r>
          </w:p>
        </w:tc>
        <w:tc>
          <w:tcPr>
            <w:tcW w:w="650"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c>
          <w:tcPr>
            <w:tcW w:w="820" w:type="dxa"/>
            <w:vAlign w:val="top"/>
          </w:tcPr>
          <w:p>
            <w:pPr>
              <w:spacing w:before="59" w:line="227" w:lineRule="auto"/>
              <w:jc w:val="center"/>
              <w:rPr>
                <w:rFonts w:hint="eastAsia" w:ascii="仿宋" w:hAnsi="仿宋" w:eastAsia="仿宋" w:cs="仿宋"/>
                <w:spacing w:val="6"/>
                <w:sz w:val="21"/>
                <w:szCs w:val="21"/>
              </w:rPr>
            </w:pPr>
          </w:p>
        </w:tc>
        <w:tc>
          <w:tcPr>
            <w:tcW w:w="831"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tcBorders>
            <w:vAlign w:val="top"/>
          </w:tcPr>
          <w:p>
            <w:pPr>
              <w:rPr>
                <w:rFonts w:hint="eastAsia" w:ascii="仿宋" w:hAnsi="仿宋" w:eastAsia="仿宋" w:cs="仿宋"/>
                <w:sz w:val="21"/>
                <w:szCs w:val="21"/>
              </w:rPr>
            </w:pPr>
          </w:p>
        </w:tc>
        <w:tc>
          <w:tcPr>
            <w:tcW w:w="1379" w:type="dxa"/>
            <w:vAlign w:val="center"/>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其他资金</w:t>
            </w:r>
          </w:p>
        </w:tc>
        <w:tc>
          <w:tcPr>
            <w:tcW w:w="1102" w:type="dxa"/>
            <w:vAlign w:val="top"/>
          </w:tcPr>
          <w:p>
            <w:pPr>
              <w:spacing w:before="59" w:line="227" w:lineRule="auto"/>
              <w:jc w:val="center"/>
              <w:rPr>
                <w:rFonts w:hint="eastAsia" w:ascii="仿宋" w:hAnsi="仿宋" w:eastAsia="仿宋" w:cs="仿宋"/>
                <w:spacing w:val="6"/>
                <w:sz w:val="21"/>
                <w:szCs w:val="21"/>
              </w:rPr>
            </w:pPr>
          </w:p>
        </w:tc>
        <w:tc>
          <w:tcPr>
            <w:tcW w:w="1444" w:type="dxa"/>
            <w:gridSpan w:val="2"/>
            <w:vAlign w:val="top"/>
          </w:tcPr>
          <w:p>
            <w:pPr>
              <w:spacing w:before="59" w:line="227" w:lineRule="auto"/>
              <w:jc w:val="center"/>
              <w:rPr>
                <w:rFonts w:hint="eastAsia" w:ascii="仿宋" w:hAnsi="仿宋" w:eastAsia="仿宋" w:cs="仿宋"/>
                <w:spacing w:val="6"/>
                <w:sz w:val="21"/>
                <w:szCs w:val="21"/>
              </w:rPr>
            </w:pPr>
          </w:p>
        </w:tc>
        <w:tc>
          <w:tcPr>
            <w:tcW w:w="650"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c>
          <w:tcPr>
            <w:tcW w:w="820" w:type="dxa"/>
            <w:vAlign w:val="top"/>
          </w:tcPr>
          <w:p>
            <w:pPr>
              <w:spacing w:before="59" w:line="227" w:lineRule="auto"/>
              <w:jc w:val="center"/>
              <w:rPr>
                <w:rFonts w:hint="eastAsia" w:ascii="仿宋" w:hAnsi="仿宋" w:eastAsia="仿宋" w:cs="仿宋"/>
                <w:spacing w:val="6"/>
                <w:sz w:val="21"/>
                <w:szCs w:val="21"/>
              </w:rPr>
            </w:pPr>
          </w:p>
        </w:tc>
        <w:tc>
          <w:tcPr>
            <w:tcW w:w="831"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53" w:type="dxa"/>
            <w:vMerge w:val="restart"/>
            <w:tcBorders>
              <w:bottom w:val="nil"/>
            </w:tcBorders>
            <w:vAlign w:val="center"/>
          </w:tcPr>
          <w:p>
            <w:pPr>
              <w:spacing w:before="176" w:line="219" w:lineRule="auto"/>
              <w:ind w:left="184"/>
              <w:jc w:val="both"/>
              <w:rPr>
                <w:rFonts w:hint="eastAsia" w:ascii="仿宋" w:hAnsi="仿宋" w:eastAsia="仿宋" w:cs="仿宋"/>
                <w:sz w:val="21"/>
                <w:szCs w:val="21"/>
              </w:rPr>
            </w:pPr>
            <w:r>
              <w:rPr>
                <w:rFonts w:hint="eastAsia" w:ascii="仿宋" w:hAnsi="仿宋" w:eastAsia="仿宋" w:cs="仿宋"/>
                <w:spacing w:val="10"/>
                <w:sz w:val="21"/>
                <w:szCs w:val="21"/>
              </w:rPr>
              <w:t>年度总体目</w:t>
            </w:r>
            <w:r>
              <w:rPr>
                <w:rFonts w:hint="eastAsia" w:ascii="仿宋" w:hAnsi="仿宋" w:eastAsia="仿宋" w:cs="仿宋"/>
                <w:spacing w:val="8"/>
                <w:sz w:val="21"/>
                <w:szCs w:val="21"/>
              </w:rPr>
              <w:t>标</w:t>
            </w:r>
          </w:p>
        </w:tc>
        <w:tc>
          <w:tcPr>
            <w:tcW w:w="3834" w:type="dxa"/>
            <w:gridSpan w:val="4"/>
            <w:vAlign w:val="top"/>
          </w:tcPr>
          <w:p>
            <w:pPr>
              <w:spacing w:before="103" w:line="227" w:lineRule="auto"/>
              <w:jc w:val="center"/>
              <w:rPr>
                <w:rFonts w:hint="eastAsia" w:ascii="仿宋" w:hAnsi="仿宋" w:eastAsia="仿宋" w:cs="仿宋"/>
                <w:sz w:val="21"/>
                <w:szCs w:val="21"/>
              </w:rPr>
            </w:pPr>
            <w:r>
              <w:rPr>
                <w:rFonts w:hint="eastAsia" w:ascii="仿宋" w:hAnsi="仿宋" w:eastAsia="仿宋" w:cs="仿宋"/>
                <w:spacing w:val="10"/>
                <w:sz w:val="21"/>
                <w:szCs w:val="21"/>
              </w:rPr>
              <w:t>年</w:t>
            </w:r>
            <w:r>
              <w:rPr>
                <w:rFonts w:hint="eastAsia" w:ascii="仿宋" w:hAnsi="仿宋" w:eastAsia="仿宋" w:cs="仿宋"/>
                <w:spacing w:val="8"/>
                <w:sz w:val="21"/>
                <w:szCs w:val="21"/>
              </w:rPr>
              <w:t>初设定目标</w:t>
            </w:r>
          </w:p>
        </w:tc>
        <w:tc>
          <w:tcPr>
            <w:tcW w:w="3745" w:type="dxa"/>
            <w:gridSpan w:val="5"/>
            <w:vAlign w:val="top"/>
          </w:tcPr>
          <w:p>
            <w:pPr>
              <w:spacing w:before="103" w:line="227" w:lineRule="auto"/>
              <w:jc w:val="center"/>
              <w:rPr>
                <w:rFonts w:hint="eastAsia" w:ascii="仿宋" w:hAnsi="仿宋" w:eastAsia="仿宋" w:cs="仿宋"/>
                <w:sz w:val="21"/>
                <w:szCs w:val="21"/>
              </w:rPr>
            </w:pPr>
            <w:r>
              <w:rPr>
                <w:rFonts w:hint="eastAsia" w:ascii="仿宋" w:hAnsi="仿宋" w:eastAsia="仿宋" w:cs="仿宋"/>
                <w:spacing w:val="10"/>
                <w:sz w:val="21"/>
                <w:szCs w:val="21"/>
              </w:rPr>
              <w:t>年度总体目标完成情况综述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553" w:type="dxa"/>
            <w:vMerge w:val="continue"/>
            <w:tcBorders>
              <w:top w:val="nil"/>
            </w:tcBorders>
            <w:textDirection w:val="tbRlV"/>
            <w:vAlign w:val="top"/>
          </w:tcPr>
          <w:p>
            <w:pPr>
              <w:rPr>
                <w:rFonts w:hint="eastAsia" w:ascii="仿宋" w:hAnsi="仿宋" w:eastAsia="仿宋" w:cs="仿宋"/>
                <w:sz w:val="21"/>
                <w:szCs w:val="21"/>
              </w:rPr>
            </w:pPr>
          </w:p>
        </w:tc>
        <w:tc>
          <w:tcPr>
            <w:tcW w:w="3834" w:type="dxa"/>
            <w:gridSpan w:val="4"/>
            <w:vAlign w:val="top"/>
          </w:tcPr>
          <w:p>
            <w:pPr>
              <w:ind w:firstLine="420" w:firstLineChars="200"/>
              <w:rPr>
                <w:rFonts w:hint="eastAsia" w:ascii="仿宋" w:hAnsi="仿宋" w:eastAsia="仿宋" w:cs="仿宋"/>
                <w:sz w:val="21"/>
                <w:szCs w:val="21"/>
                <w:lang w:eastAsia="zh-CN"/>
              </w:rPr>
            </w:pPr>
            <w:r>
              <w:rPr>
                <w:rFonts w:hint="eastAsia" w:ascii="仿宋" w:hAnsi="仿宋" w:eastAsia="仿宋" w:cs="仿宋"/>
                <w:sz w:val="21"/>
                <w:szCs w:val="21"/>
                <w:lang w:eastAsia="zh-CN"/>
              </w:rPr>
              <w:t>对县域范围内的因野生动物造成人员伤害和财产损失，由政府救助的保险。</w:t>
            </w:r>
          </w:p>
        </w:tc>
        <w:tc>
          <w:tcPr>
            <w:tcW w:w="3745" w:type="dxa"/>
            <w:gridSpan w:val="5"/>
            <w:vAlign w:val="top"/>
          </w:tcPr>
          <w:p>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2022年度绥宁县野生动物伤害政府救助保险工作已经完成，业绩得到好评。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553" w:type="dxa"/>
            <w:vMerge w:val="restart"/>
            <w:tcBorders>
              <w:bottom w:val="nil"/>
            </w:tcBorders>
            <w:vAlign w:val="bottom"/>
          </w:tcPr>
          <w:p>
            <w:pPr>
              <w:spacing w:before="62" w:line="210" w:lineRule="auto"/>
              <w:ind w:right="75"/>
              <w:jc w:val="center"/>
              <w:rPr>
                <w:rFonts w:hint="eastAsia" w:ascii="仿宋" w:hAnsi="仿宋" w:eastAsia="仿宋" w:cs="仿宋"/>
                <w:spacing w:val="2"/>
                <w:sz w:val="21"/>
                <w:szCs w:val="21"/>
              </w:rPr>
            </w:pPr>
            <w:r>
              <w:rPr>
                <w:rFonts w:hint="eastAsia" w:ascii="仿宋" w:hAnsi="仿宋" w:eastAsia="仿宋" w:cs="仿宋"/>
                <w:spacing w:val="2"/>
                <w:sz w:val="21"/>
                <w:szCs w:val="21"/>
              </w:rPr>
              <w:t>绩</w:t>
            </w:r>
          </w:p>
          <w:p>
            <w:pPr>
              <w:spacing w:before="62" w:line="210" w:lineRule="auto"/>
              <w:ind w:right="75"/>
              <w:jc w:val="center"/>
              <w:rPr>
                <w:rFonts w:hint="eastAsia" w:ascii="仿宋" w:hAnsi="仿宋" w:eastAsia="仿宋" w:cs="仿宋"/>
                <w:spacing w:val="2"/>
                <w:sz w:val="21"/>
                <w:szCs w:val="21"/>
              </w:rPr>
            </w:pPr>
            <w:r>
              <w:rPr>
                <w:rFonts w:hint="eastAsia" w:ascii="仿宋" w:hAnsi="仿宋" w:eastAsia="仿宋" w:cs="仿宋"/>
                <w:spacing w:val="2"/>
                <w:sz w:val="21"/>
                <w:szCs w:val="21"/>
              </w:rPr>
              <w:t>效</w:t>
            </w:r>
          </w:p>
          <w:p>
            <w:pPr>
              <w:spacing w:before="62" w:line="210" w:lineRule="auto"/>
              <w:ind w:right="75"/>
              <w:jc w:val="center"/>
              <w:rPr>
                <w:rFonts w:hint="eastAsia" w:ascii="仿宋" w:hAnsi="仿宋" w:eastAsia="仿宋" w:cs="仿宋"/>
                <w:spacing w:val="4"/>
                <w:sz w:val="21"/>
                <w:szCs w:val="21"/>
              </w:rPr>
            </w:pPr>
            <w:r>
              <w:rPr>
                <w:rFonts w:hint="eastAsia" w:ascii="仿宋" w:hAnsi="仿宋" w:eastAsia="仿宋" w:cs="仿宋"/>
                <w:spacing w:val="4"/>
                <w:sz w:val="21"/>
                <w:szCs w:val="21"/>
              </w:rPr>
              <w:t>指</w:t>
            </w:r>
          </w:p>
          <w:p>
            <w:pPr>
              <w:spacing w:before="62" w:line="210" w:lineRule="auto"/>
              <w:ind w:right="75"/>
              <w:jc w:val="center"/>
              <w:rPr>
                <w:rFonts w:hint="eastAsia" w:ascii="仿宋" w:hAnsi="仿宋" w:eastAsia="仿宋" w:cs="仿宋"/>
                <w:sz w:val="21"/>
                <w:szCs w:val="21"/>
              </w:rPr>
            </w:pPr>
            <w:r>
              <w:rPr>
                <w:rFonts w:hint="eastAsia" w:ascii="仿宋" w:hAnsi="仿宋" w:eastAsia="仿宋" w:cs="仿宋"/>
                <w:spacing w:val="4"/>
                <w:sz w:val="21"/>
                <w:szCs w:val="21"/>
              </w:rPr>
              <w:t>标</w:t>
            </w:r>
          </w:p>
        </w:tc>
        <w:tc>
          <w:tcPr>
            <w:tcW w:w="695"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一级指标</w:t>
            </w:r>
          </w:p>
        </w:tc>
        <w:tc>
          <w:tcPr>
            <w:tcW w:w="658"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二级指标</w:t>
            </w:r>
          </w:p>
        </w:tc>
        <w:tc>
          <w:tcPr>
            <w:tcW w:w="1379"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三级指标</w:t>
            </w:r>
          </w:p>
        </w:tc>
        <w:tc>
          <w:tcPr>
            <w:tcW w:w="1102" w:type="dxa"/>
            <w:vAlign w:val="center"/>
          </w:tcPr>
          <w:p>
            <w:pPr>
              <w:spacing w:line="240" w:lineRule="auto"/>
              <w:jc w:val="center"/>
              <w:rPr>
                <w:rFonts w:hint="eastAsia"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分值</w:t>
            </w:r>
          </w:p>
        </w:tc>
        <w:tc>
          <w:tcPr>
            <w:tcW w:w="738"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年度指标值</w:t>
            </w:r>
          </w:p>
        </w:tc>
        <w:tc>
          <w:tcPr>
            <w:tcW w:w="706"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全年实际值</w:t>
            </w:r>
          </w:p>
        </w:tc>
        <w:tc>
          <w:tcPr>
            <w:tcW w:w="650"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得分</w:t>
            </w:r>
          </w:p>
        </w:tc>
        <w:tc>
          <w:tcPr>
            <w:tcW w:w="1651" w:type="dxa"/>
            <w:gridSpan w:val="2"/>
            <w:vAlign w:val="center"/>
          </w:tcPr>
          <w:p>
            <w:pPr>
              <w:spacing w:before="59" w:line="227" w:lineRule="auto"/>
              <w:jc w:val="center"/>
              <w:rPr>
                <w:rFonts w:hint="default"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未完成的原因及拟采取的改进措施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restart"/>
            <w:tcBorders>
              <w:bottom w:val="nil"/>
            </w:tcBorders>
            <w:vAlign w:val="center"/>
          </w:tcPr>
          <w:p>
            <w:pPr>
              <w:spacing w:before="58" w:line="420" w:lineRule="exact"/>
              <w:jc w:val="center"/>
              <w:rPr>
                <w:rFonts w:hint="eastAsia" w:ascii="仿宋" w:hAnsi="仿宋" w:eastAsia="仿宋" w:cs="仿宋"/>
                <w:sz w:val="21"/>
                <w:szCs w:val="21"/>
              </w:rPr>
            </w:pPr>
            <w:r>
              <w:rPr>
                <w:rFonts w:hint="eastAsia" w:ascii="仿宋" w:hAnsi="仿宋" w:eastAsia="仿宋" w:cs="仿宋"/>
                <w:sz w:val="21"/>
                <w:szCs w:val="21"/>
                <w:lang w:val="en-US" w:eastAsia="zh-CN"/>
              </w:rPr>
              <w:t>产</w:t>
            </w:r>
            <w:r>
              <w:rPr>
                <w:rFonts w:hint="eastAsia" w:ascii="仿宋" w:hAnsi="仿宋" w:eastAsia="仿宋" w:cs="仿宋"/>
                <w:sz w:val="21"/>
                <w:szCs w:val="21"/>
              </w:rPr>
              <w:t>出指</w:t>
            </w:r>
            <w:r>
              <w:rPr>
                <w:rFonts w:hint="eastAsia" w:ascii="仿宋" w:hAnsi="仿宋" w:eastAsia="仿宋" w:cs="仿宋"/>
                <w:spacing w:val="-3"/>
                <w:sz w:val="21"/>
                <w:szCs w:val="21"/>
              </w:rPr>
              <w:t>标</w:t>
            </w:r>
            <w:r>
              <w:rPr>
                <w:rFonts w:hint="eastAsia" w:ascii="仿宋" w:hAnsi="仿宋" w:eastAsia="仿宋" w:cs="仿宋"/>
                <w:spacing w:val="-1"/>
                <w:sz w:val="21"/>
                <w:szCs w:val="21"/>
              </w:rPr>
              <w:t>(5</w:t>
            </w:r>
            <w:r>
              <w:rPr>
                <w:rFonts w:hint="eastAsia" w:ascii="仿宋" w:hAnsi="仿宋" w:eastAsia="仿宋" w:cs="仿宋"/>
                <w:sz w:val="21"/>
                <w:szCs w:val="21"/>
              </w:rPr>
              <w:t>0分)</w:t>
            </w:r>
          </w:p>
        </w:tc>
        <w:tc>
          <w:tcPr>
            <w:tcW w:w="658" w:type="dxa"/>
            <w:vMerge w:val="restart"/>
            <w:tcBorders>
              <w:bottom w:val="nil"/>
            </w:tcBorders>
            <w:vAlign w:val="center"/>
          </w:tcPr>
          <w:p>
            <w:pPr>
              <w:spacing w:before="213"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数量指标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212"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质量指标</w:t>
            </w: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213" w:line="227" w:lineRule="auto"/>
              <w:jc w:val="center"/>
              <w:rPr>
                <w:rFonts w:hint="eastAsia" w:ascii="仿宋" w:hAnsi="仿宋" w:eastAsia="仿宋" w:cs="仿宋"/>
                <w:sz w:val="21"/>
                <w:szCs w:val="21"/>
              </w:rPr>
            </w:pPr>
            <w:r>
              <w:rPr>
                <w:rFonts w:hint="eastAsia" w:ascii="仿宋" w:hAnsi="仿宋" w:eastAsia="仿宋" w:cs="仿宋"/>
                <w:spacing w:val="4"/>
                <w:sz w:val="21"/>
                <w:szCs w:val="21"/>
              </w:rPr>
              <w:t>时</w:t>
            </w:r>
            <w:r>
              <w:rPr>
                <w:rFonts w:hint="eastAsia" w:ascii="仿宋" w:hAnsi="仿宋" w:eastAsia="仿宋" w:cs="仿宋"/>
                <w:spacing w:val="3"/>
                <w:sz w:val="21"/>
                <w:szCs w:val="21"/>
              </w:rPr>
              <w:t>效指标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212"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成</w:t>
            </w:r>
            <w:r>
              <w:rPr>
                <w:rFonts w:hint="eastAsia" w:ascii="仿宋" w:hAnsi="仿宋" w:eastAsia="仿宋" w:cs="仿宋"/>
                <w:spacing w:val="6"/>
                <w:sz w:val="21"/>
                <w:szCs w:val="21"/>
              </w:rPr>
              <w:t>本指标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restart"/>
            <w:tcBorders>
              <w:bottom w:val="nil"/>
            </w:tcBorders>
            <w:vAlign w:val="center"/>
          </w:tcPr>
          <w:p>
            <w:pPr>
              <w:spacing w:before="59" w:line="212" w:lineRule="auto"/>
              <w:ind w:right="62"/>
              <w:jc w:val="center"/>
              <w:rPr>
                <w:rFonts w:hint="eastAsia" w:ascii="仿宋" w:hAnsi="仿宋" w:eastAsia="仿宋" w:cs="仿宋"/>
                <w:sz w:val="21"/>
                <w:szCs w:val="21"/>
              </w:rPr>
            </w:pPr>
            <w:r>
              <w:rPr>
                <w:rFonts w:hint="eastAsia" w:ascii="仿宋" w:hAnsi="仿宋" w:eastAsia="仿宋" w:cs="仿宋"/>
                <w:spacing w:val="6"/>
                <w:sz w:val="21"/>
                <w:szCs w:val="21"/>
              </w:rPr>
              <w:t>效</w:t>
            </w:r>
            <w:r>
              <w:rPr>
                <w:rFonts w:hint="eastAsia" w:ascii="仿宋" w:hAnsi="仿宋" w:eastAsia="仿宋" w:cs="仿宋"/>
                <w:spacing w:val="5"/>
                <w:sz w:val="21"/>
                <w:szCs w:val="21"/>
              </w:rPr>
              <w:t>益指标</w:t>
            </w:r>
            <w:r>
              <w:rPr>
                <w:rFonts w:hint="eastAsia" w:ascii="仿宋" w:hAnsi="仿宋" w:eastAsia="仿宋" w:cs="仿宋"/>
                <w:spacing w:val="4"/>
                <w:sz w:val="21"/>
                <w:szCs w:val="21"/>
              </w:rPr>
              <w:t>(30</w:t>
            </w:r>
            <w:r>
              <w:rPr>
                <w:rFonts w:hint="eastAsia" w:ascii="仿宋" w:hAnsi="仿宋" w:eastAsia="仿宋" w:cs="仿宋"/>
                <w:spacing w:val="20"/>
                <w:sz w:val="21"/>
                <w:szCs w:val="21"/>
              </w:rPr>
              <w:t>分</w:t>
            </w:r>
            <w:r>
              <w:rPr>
                <w:rFonts w:hint="eastAsia" w:ascii="仿宋" w:hAnsi="仿宋" w:eastAsia="仿宋" w:cs="仿宋"/>
                <w:spacing w:val="19"/>
                <w:sz w:val="21"/>
                <w:szCs w:val="21"/>
              </w:rPr>
              <w:t>)</w:t>
            </w:r>
          </w:p>
        </w:tc>
        <w:tc>
          <w:tcPr>
            <w:tcW w:w="658" w:type="dxa"/>
            <w:vMerge w:val="restart"/>
            <w:tcBorders>
              <w:bottom w:val="nil"/>
            </w:tcBorders>
            <w:vAlign w:val="center"/>
          </w:tcPr>
          <w:p>
            <w:pPr>
              <w:spacing w:before="111" w:line="221" w:lineRule="auto"/>
              <w:ind w:right="119"/>
              <w:jc w:val="center"/>
              <w:rPr>
                <w:rFonts w:hint="eastAsia" w:ascii="仿宋" w:hAnsi="仿宋" w:eastAsia="仿宋" w:cs="仿宋"/>
                <w:sz w:val="21"/>
                <w:szCs w:val="21"/>
              </w:rPr>
            </w:pPr>
            <w:r>
              <w:rPr>
                <w:rFonts w:hint="eastAsia" w:ascii="仿宋" w:hAnsi="仿宋" w:eastAsia="仿宋" w:cs="仿宋"/>
                <w:spacing w:val="8"/>
                <w:sz w:val="21"/>
                <w:szCs w:val="21"/>
              </w:rPr>
              <w:t>经</w:t>
            </w:r>
            <w:r>
              <w:rPr>
                <w:rFonts w:hint="eastAsia" w:ascii="仿宋" w:hAnsi="仿宋" w:eastAsia="仿宋" w:cs="仿宋"/>
                <w:spacing w:val="6"/>
                <w:sz w:val="21"/>
                <w:szCs w:val="21"/>
              </w:rPr>
              <w:t>济效益</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7" w:line="209" w:lineRule="auto"/>
              <w:ind w:right="119"/>
              <w:jc w:val="center"/>
              <w:rPr>
                <w:rFonts w:hint="eastAsia" w:ascii="仿宋" w:hAnsi="仿宋" w:eastAsia="仿宋" w:cs="仿宋"/>
                <w:sz w:val="21"/>
                <w:szCs w:val="21"/>
              </w:rPr>
            </w:pPr>
            <w:r>
              <w:rPr>
                <w:rFonts w:hint="eastAsia" w:ascii="仿宋" w:hAnsi="仿宋" w:eastAsia="仿宋" w:cs="仿宋"/>
                <w:spacing w:val="7"/>
                <w:sz w:val="21"/>
                <w:szCs w:val="21"/>
              </w:rPr>
              <w:t>社会效</w:t>
            </w:r>
            <w:r>
              <w:rPr>
                <w:rFonts w:hint="eastAsia" w:ascii="仿宋" w:hAnsi="仿宋" w:eastAsia="仿宋" w:cs="仿宋"/>
                <w:spacing w:val="6"/>
                <w:sz w:val="21"/>
                <w:szCs w:val="21"/>
              </w:rPr>
              <w:t>益</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111" w:line="223" w:lineRule="auto"/>
              <w:ind w:right="23"/>
              <w:jc w:val="center"/>
              <w:rPr>
                <w:rFonts w:hint="eastAsia" w:ascii="仿宋" w:hAnsi="仿宋" w:eastAsia="仿宋" w:cs="仿宋"/>
                <w:sz w:val="21"/>
                <w:szCs w:val="21"/>
              </w:rPr>
            </w:pPr>
            <w:r>
              <w:rPr>
                <w:rFonts w:hint="eastAsia" w:ascii="仿宋" w:hAnsi="仿宋" w:eastAsia="仿宋" w:cs="仿宋"/>
                <w:spacing w:val="7"/>
                <w:sz w:val="21"/>
                <w:szCs w:val="21"/>
              </w:rPr>
              <w:t>生</w:t>
            </w:r>
            <w:r>
              <w:rPr>
                <w:rFonts w:hint="eastAsia" w:ascii="仿宋" w:hAnsi="仿宋" w:eastAsia="仿宋" w:cs="仿宋"/>
                <w:spacing w:val="6"/>
                <w:sz w:val="21"/>
                <w:szCs w:val="21"/>
              </w:rPr>
              <w:t>态效益指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111" w:line="221" w:lineRule="auto"/>
              <w:ind w:right="23"/>
              <w:jc w:val="center"/>
              <w:rPr>
                <w:rFonts w:hint="eastAsia" w:ascii="仿宋" w:hAnsi="仿宋" w:eastAsia="仿宋" w:cs="仿宋"/>
                <w:sz w:val="21"/>
                <w:szCs w:val="21"/>
              </w:rPr>
            </w:pPr>
            <w:r>
              <w:rPr>
                <w:rFonts w:hint="eastAsia" w:ascii="仿宋" w:hAnsi="仿宋" w:eastAsia="仿宋" w:cs="仿宋"/>
                <w:spacing w:val="7"/>
                <w:sz w:val="21"/>
                <w:szCs w:val="21"/>
              </w:rPr>
              <w:t>可持续影响</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restart"/>
            <w:tcBorders>
              <w:bottom w:val="nil"/>
            </w:tcBorders>
            <w:vAlign w:val="center"/>
          </w:tcPr>
          <w:p>
            <w:pPr>
              <w:spacing w:before="4" w:line="194" w:lineRule="auto"/>
              <w:ind w:right="62"/>
              <w:jc w:val="center"/>
              <w:rPr>
                <w:rFonts w:hint="eastAsia" w:ascii="仿宋" w:hAnsi="仿宋" w:eastAsia="仿宋" w:cs="仿宋"/>
                <w:sz w:val="21"/>
                <w:szCs w:val="21"/>
              </w:rPr>
            </w:pPr>
            <w:r>
              <w:rPr>
                <w:rFonts w:hint="eastAsia" w:ascii="仿宋" w:hAnsi="仿宋" w:eastAsia="仿宋" w:cs="仿宋"/>
                <w:spacing w:val="5"/>
                <w:sz w:val="21"/>
                <w:szCs w:val="21"/>
              </w:rPr>
              <w:t>满</w:t>
            </w:r>
            <w:r>
              <w:rPr>
                <w:rFonts w:hint="eastAsia" w:ascii="仿宋" w:hAnsi="仿宋" w:eastAsia="仿宋" w:cs="仿宋"/>
                <w:spacing w:val="4"/>
                <w:sz w:val="21"/>
                <w:szCs w:val="21"/>
              </w:rPr>
              <w:t>意度</w:t>
            </w:r>
            <w:r>
              <w:rPr>
                <w:rFonts w:hint="eastAsia" w:ascii="仿宋" w:hAnsi="仿宋" w:eastAsia="仿宋" w:cs="仿宋"/>
                <w:sz w:val="21"/>
                <w:szCs w:val="21"/>
              </w:rPr>
              <w:t>指</w:t>
            </w:r>
            <w:r>
              <w:rPr>
                <w:rFonts w:hint="eastAsia" w:ascii="仿宋" w:hAnsi="仿宋" w:eastAsia="仿宋" w:cs="仿宋"/>
                <w:spacing w:val="4"/>
                <w:sz w:val="21"/>
                <w:szCs w:val="21"/>
              </w:rPr>
              <w:t>标(10)</w:t>
            </w:r>
            <w:r>
              <w:rPr>
                <w:rFonts w:hint="eastAsia" w:ascii="仿宋" w:hAnsi="仿宋" w:eastAsia="仿宋" w:cs="仿宋"/>
                <w:spacing w:val="1"/>
                <w:sz w:val="21"/>
                <w:szCs w:val="21"/>
              </w:rPr>
              <w:t>分</w:t>
            </w:r>
          </w:p>
        </w:tc>
        <w:tc>
          <w:tcPr>
            <w:tcW w:w="658" w:type="dxa"/>
            <w:vMerge w:val="restart"/>
            <w:tcBorders>
              <w:bottom w:val="nil"/>
            </w:tcBorders>
            <w:vAlign w:val="center"/>
          </w:tcPr>
          <w:p>
            <w:pPr>
              <w:spacing w:before="101" w:line="207" w:lineRule="auto"/>
              <w:jc w:val="center"/>
              <w:rPr>
                <w:rFonts w:hint="eastAsia" w:ascii="仿宋" w:hAnsi="仿宋" w:eastAsia="仿宋" w:cs="仿宋"/>
                <w:sz w:val="21"/>
                <w:szCs w:val="21"/>
              </w:rPr>
            </w:pPr>
            <w:r>
              <w:rPr>
                <w:rFonts w:hint="eastAsia" w:ascii="仿宋" w:hAnsi="仿宋" w:eastAsia="仿宋" w:cs="仿宋"/>
                <w:spacing w:val="9"/>
                <w:sz w:val="21"/>
                <w:szCs w:val="21"/>
              </w:rPr>
              <w:t>服</w:t>
            </w:r>
            <w:r>
              <w:rPr>
                <w:rFonts w:hint="eastAsia" w:ascii="仿宋" w:hAnsi="仿宋" w:eastAsia="仿宋" w:cs="仿宋"/>
                <w:spacing w:val="8"/>
                <w:sz w:val="21"/>
                <w:szCs w:val="21"/>
              </w:rPr>
              <w:t>务对象满</w:t>
            </w:r>
            <w:r>
              <w:rPr>
                <w:rFonts w:hint="eastAsia" w:ascii="仿宋" w:hAnsi="仿宋" w:eastAsia="仿宋" w:cs="仿宋"/>
                <w:spacing w:val="3"/>
                <w:sz w:val="21"/>
                <w:szCs w:val="21"/>
              </w:rPr>
              <w:t>意度指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3" w:type="dxa"/>
            <w:vMerge w:val="continue"/>
            <w:tcBorders>
              <w:top w:val="nil"/>
            </w:tcBorders>
            <w:vAlign w:val="top"/>
          </w:tcPr>
          <w:p>
            <w:pPr>
              <w:rPr>
                <w:rFonts w:hint="eastAsia" w:ascii="仿宋" w:hAnsi="仿宋" w:eastAsia="仿宋" w:cs="仿宋"/>
                <w:sz w:val="21"/>
                <w:szCs w:val="21"/>
              </w:rPr>
            </w:pPr>
          </w:p>
        </w:tc>
        <w:tc>
          <w:tcPr>
            <w:tcW w:w="695" w:type="dxa"/>
            <w:vMerge w:val="continue"/>
            <w:tcBorders>
              <w:top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rPr>
                <w:rFonts w:hint="eastAsia" w:ascii="仿宋" w:hAnsi="仿宋" w:eastAsia="仿宋" w:cs="仿宋"/>
                <w:sz w:val="21"/>
                <w:szCs w:val="21"/>
              </w:rPr>
            </w:pPr>
          </w:p>
        </w:tc>
        <w:tc>
          <w:tcPr>
            <w:tcW w:w="1102" w:type="dxa"/>
            <w:vAlign w:val="top"/>
          </w:tcPr>
          <w:p>
            <w:pPr>
              <w:jc w:val="center"/>
              <w:rPr>
                <w:rFonts w:hint="eastAsia" w:ascii="仿宋" w:hAnsi="仿宋" w:eastAsia="仿宋" w:cs="仿宋"/>
                <w:sz w:val="21"/>
                <w:szCs w:val="21"/>
              </w:rPr>
            </w:pPr>
          </w:p>
        </w:tc>
        <w:tc>
          <w:tcPr>
            <w:tcW w:w="738" w:type="dxa"/>
            <w:vAlign w:val="top"/>
          </w:tcPr>
          <w:p>
            <w:pPr>
              <w:jc w:val="center"/>
              <w:rPr>
                <w:rFonts w:hint="eastAsia" w:ascii="仿宋" w:hAnsi="仿宋" w:eastAsia="仿宋" w:cs="仿宋"/>
                <w:sz w:val="21"/>
                <w:szCs w:val="21"/>
              </w:rPr>
            </w:pPr>
          </w:p>
        </w:tc>
        <w:tc>
          <w:tcPr>
            <w:tcW w:w="706" w:type="dxa"/>
            <w:vAlign w:val="top"/>
          </w:tcPr>
          <w:p>
            <w:pPr>
              <w:jc w:val="center"/>
              <w:rPr>
                <w:rFonts w:hint="eastAsia" w:ascii="仿宋" w:hAnsi="仿宋" w:eastAsia="仿宋" w:cs="仿宋"/>
                <w:sz w:val="21"/>
                <w:szCs w:val="21"/>
              </w:rPr>
            </w:pPr>
          </w:p>
        </w:tc>
        <w:tc>
          <w:tcPr>
            <w:tcW w:w="650" w:type="dxa"/>
            <w:vAlign w:val="top"/>
          </w:tcPr>
          <w:p>
            <w:pPr>
              <w:jc w:val="center"/>
              <w:rPr>
                <w:rFonts w:hint="eastAsia" w:ascii="仿宋" w:hAnsi="仿宋" w:eastAsia="仿宋" w:cs="仿宋"/>
                <w:sz w:val="21"/>
                <w:szCs w:val="21"/>
              </w:rPr>
            </w:pPr>
          </w:p>
        </w:tc>
        <w:tc>
          <w:tcPr>
            <w:tcW w:w="1651" w:type="dxa"/>
            <w:gridSpan w:val="2"/>
            <w:vAlign w:val="top"/>
          </w:tcPr>
          <w:p>
            <w:pPr>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3285" w:type="dxa"/>
            <w:gridSpan w:val="4"/>
            <w:vAlign w:val="top"/>
          </w:tcPr>
          <w:p>
            <w:pPr>
              <w:spacing w:before="71" w:line="229" w:lineRule="auto"/>
              <w:jc w:val="center"/>
              <w:rPr>
                <w:rFonts w:hint="eastAsia" w:ascii="仿宋" w:hAnsi="仿宋" w:eastAsia="仿宋" w:cs="仿宋"/>
                <w:sz w:val="21"/>
                <w:szCs w:val="21"/>
              </w:rPr>
            </w:pPr>
            <w:r>
              <w:rPr>
                <w:rFonts w:hint="eastAsia" w:ascii="仿宋" w:hAnsi="仿宋" w:eastAsia="仿宋" w:cs="仿宋"/>
                <w:spacing w:val="-1"/>
                <w:sz w:val="21"/>
                <w:szCs w:val="21"/>
              </w:rPr>
              <w:t>总</w:t>
            </w:r>
            <w:r>
              <w:rPr>
                <w:rFonts w:hint="eastAsia" w:ascii="仿宋" w:hAnsi="仿宋" w:eastAsia="仿宋" w:cs="仿宋"/>
                <w:sz w:val="21"/>
                <w:szCs w:val="21"/>
              </w:rPr>
              <w:t>分</w:t>
            </w:r>
          </w:p>
        </w:tc>
        <w:tc>
          <w:tcPr>
            <w:tcW w:w="1102" w:type="dxa"/>
            <w:vAlign w:val="top"/>
          </w:tcPr>
          <w:p>
            <w:pPr>
              <w:spacing w:before="104" w:line="196" w:lineRule="auto"/>
              <w:jc w:val="center"/>
              <w:rPr>
                <w:rFonts w:hint="eastAsia" w:ascii="仿宋" w:hAnsi="仿宋" w:eastAsia="仿宋" w:cs="仿宋"/>
                <w:sz w:val="21"/>
                <w:szCs w:val="21"/>
              </w:rPr>
            </w:pPr>
            <w:r>
              <w:rPr>
                <w:rFonts w:hint="eastAsia" w:ascii="仿宋" w:hAnsi="仿宋" w:eastAsia="仿宋" w:cs="仿宋"/>
                <w:spacing w:val="-2"/>
                <w:sz w:val="21"/>
                <w:szCs w:val="21"/>
              </w:rPr>
              <w:t>100</w:t>
            </w:r>
          </w:p>
        </w:tc>
        <w:tc>
          <w:tcPr>
            <w:tcW w:w="1444" w:type="dxa"/>
            <w:gridSpan w:val="2"/>
            <w:vAlign w:val="top"/>
          </w:tcPr>
          <w:p>
            <w:pPr>
              <w:jc w:val="center"/>
              <w:rPr>
                <w:rFonts w:hint="eastAsia" w:ascii="仿宋" w:hAnsi="仿宋" w:eastAsia="仿宋" w:cs="仿宋"/>
                <w:sz w:val="21"/>
                <w:szCs w:val="21"/>
              </w:rPr>
            </w:pPr>
          </w:p>
        </w:tc>
        <w:tc>
          <w:tcPr>
            <w:tcW w:w="650" w:type="dxa"/>
            <w:vAlign w:val="top"/>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651" w:type="dxa"/>
            <w:gridSpan w:val="2"/>
            <w:vAlign w:val="top"/>
          </w:tcPr>
          <w:p>
            <w:pPr>
              <w:rPr>
                <w:rFonts w:hint="eastAsia" w:ascii="仿宋" w:hAnsi="仿宋" w:eastAsia="仿宋" w:cs="仿宋"/>
                <w:sz w:val="21"/>
                <w:szCs w:val="21"/>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说明：1.分值设定100分，其中预算执行率10分、产出指标50分、效益指标30分、满意度指标10分。除预算执行率外的指标应根据权重自行合理设定分值。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2.综合评价等级分为优秀（</w:t>
      </w:r>
      <w:r>
        <w:rPr>
          <w:rFonts w:hint="eastAsia" w:ascii="仿宋_GB2312" w:eastAsia="仿宋_GB2312" w:cs="仿宋_GB2312"/>
          <w:i w:val="0"/>
          <w:iCs w:val="0"/>
          <w:caps w:val="0"/>
          <w:color w:val="000000"/>
          <w:spacing w:val="0"/>
          <w:sz w:val="24"/>
          <w:szCs w:val="24"/>
          <w:shd w:val="clear" w:fill="FFFFFF"/>
          <w:lang w:val="en-US" w:eastAsia="zh-CN"/>
        </w:rPr>
        <w:t>大于</w:t>
      </w:r>
      <w:r>
        <w:rPr>
          <w:rFonts w:hint="default" w:ascii="仿宋_GB2312" w:eastAsia="仿宋_GB2312" w:cs="仿宋_GB2312"/>
          <w:i w:val="0"/>
          <w:iCs w:val="0"/>
          <w:caps w:val="0"/>
          <w:color w:val="000000"/>
          <w:spacing w:val="0"/>
          <w:sz w:val="24"/>
          <w:szCs w:val="24"/>
          <w:shd w:val="clear" w:fill="FFFFFF"/>
        </w:rPr>
        <w:t>90</w:t>
      </w:r>
      <w:r>
        <w:rPr>
          <w:rFonts w:hint="eastAsia" w:ascii="仿宋_GB2312" w:eastAsia="仿宋_GB2312" w:cs="仿宋_GB2312"/>
          <w:i w:val="0"/>
          <w:iCs w:val="0"/>
          <w:caps w:val="0"/>
          <w:color w:val="000000"/>
          <w:spacing w:val="0"/>
          <w:sz w:val="24"/>
          <w:szCs w:val="24"/>
          <w:shd w:val="clear" w:fill="FFFFFF"/>
          <w:lang w:val="en-US" w:eastAsia="zh-CN"/>
        </w:rPr>
        <w:t>分</w:t>
      </w:r>
      <w:r>
        <w:rPr>
          <w:rFonts w:hint="default" w:ascii="仿宋_GB2312" w:eastAsia="仿宋_GB2312" w:cs="仿宋_GB2312"/>
          <w:i w:val="0"/>
          <w:iCs w:val="0"/>
          <w:caps w:val="0"/>
          <w:color w:val="000000"/>
          <w:spacing w:val="0"/>
          <w:sz w:val="24"/>
          <w:szCs w:val="24"/>
          <w:shd w:val="clear" w:fill="FFFFFF"/>
        </w:rPr>
        <w:t>）、良好（</w:t>
      </w:r>
      <w:r>
        <w:rPr>
          <w:rFonts w:hint="eastAsia" w:ascii="仿宋_GB2312" w:eastAsia="仿宋_GB2312" w:cs="仿宋_GB2312"/>
          <w:i w:val="0"/>
          <w:iCs w:val="0"/>
          <w:caps w:val="0"/>
          <w:color w:val="000000"/>
          <w:spacing w:val="0"/>
          <w:sz w:val="24"/>
          <w:szCs w:val="24"/>
          <w:shd w:val="clear" w:fill="FFFFFF"/>
          <w:lang w:val="en-US" w:eastAsia="zh-CN"/>
        </w:rPr>
        <w:t>80-90分</w:t>
      </w:r>
      <w:r>
        <w:rPr>
          <w:rFonts w:hint="default" w:ascii="仿宋_GB2312" w:eastAsia="仿宋_GB2312" w:cs="仿宋_GB2312"/>
          <w:i w:val="0"/>
          <w:iCs w:val="0"/>
          <w:caps w:val="0"/>
          <w:color w:val="000000"/>
          <w:spacing w:val="0"/>
          <w:sz w:val="24"/>
          <w:szCs w:val="24"/>
          <w:shd w:val="clear" w:fill="FFFFFF"/>
        </w:rPr>
        <w:t>）、较差（</w:t>
      </w:r>
      <w:r>
        <w:rPr>
          <w:rFonts w:hint="eastAsia" w:ascii="仿宋_GB2312" w:eastAsia="仿宋_GB2312" w:cs="仿宋_GB2312"/>
          <w:i w:val="0"/>
          <w:iCs w:val="0"/>
          <w:caps w:val="0"/>
          <w:color w:val="000000"/>
          <w:spacing w:val="0"/>
          <w:sz w:val="24"/>
          <w:szCs w:val="24"/>
          <w:shd w:val="clear" w:fill="FFFFFF"/>
          <w:lang w:val="en-US" w:eastAsia="zh-CN"/>
        </w:rPr>
        <w:t>60-80分</w:t>
      </w:r>
      <w:r>
        <w:rPr>
          <w:rFonts w:hint="default" w:ascii="仿宋_GB2312" w:eastAsia="仿宋_GB2312" w:cs="仿宋_GB2312"/>
          <w:i w:val="0"/>
          <w:iCs w:val="0"/>
          <w:caps w:val="0"/>
          <w:color w:val="000000"/>
          <w:spacing w:val="0"/>
          <w:sz w:val="24"/>
          <w:szCs w:val="24"/>
          <w:shd w:val="clear" w:fill="FFFFFF"/>
        </w:rPr>
        <w:t>）、 差（</w:t>
      </w:r>
      <w:r>
        <w:rPr>
          <w:rFonts w:hint="eastAsia" w:ascii="仿宋_GB2312" w:eastAsia="仿宋_GB2312" w:cs="仿宋_GB2312"/>
          <w:i w:val="0"/>
          <w:iCs w:val="0"/>
          <w:caps w:val="0"/>
          <w:color w:val="000000"/>
          <w:spacing w:val="0"/>
          <w:sz w:val="24"/>
          <w:szCs w:val="24"/>
          <w:shd w:val="clear" w:fill="FFFFFF"/>
          <w:lang w:val="en-US" w:eastAsia="zh-CN"/>
        </w:rPr>
        <w:t>小于60分</w:t>
      </w:r>
      <w:r>
        <w:rPr>
          <w:rFonts w:hint="default" w:ascii="仿宋_GB2312" w:eastAsia="仿宋_GB2312" w:cs="仿宋_GB2312"/>
          <w:i w:val="0"/>
          <w:iCs w:val="0"/>
          <w:caps w:val="0"/>
          <w:color w:val="000000"/>
          <w:spacing w:val="0"/>
          <w:sz w:val="24"/>
          <w:szCs w:val="24"/>
          <w:shd w:val="clear" w:fill="FFFFFF"/>
        </w:rPr>
        <w:t>）</w:t>
      </w:r>
      <w:r>
        <w:rPr>
          <w:rFonts w:ascii="Calibri" w:hAnsi="Calibri" w:eastAsia="仿宋_GB2312" w:cs="Calibri"/>
          <w:i w:val="0"/>
          <w:iCs w:val="0"/>
          <w:caps w:val="0"/>
          <w:color w:val="000000"/>
          <w:spacing w:val="0"/>
          <w:sz w:val="24"/>
          <w:szCs w:val="24"/>
          <w:shd w:val="clear" w:fill="FFFFFF"/>
        </w:rPr>
        <w:t>。</w:t>
      </w:r>
      <w:r>
        <w:rPr>
          <w:rFonts w:hint="default" w:ascii="仿宋_GB2312" w:eastAsia="仿宋_GB2312" w:cs="仿宋_GB2312"/>
          <w:i w:val="0"/>
          <w:iCs w:val="0"/>
          <w:caps w:val="0"/>
          <w:color w:val="00000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480" w:firstLineChars="20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3.三级绩效指标按需自行增减行。个别不涉及的二级指标可删除不要。</w:t>
      </w:r>
    </w:p>
    <w:p>
      <w:pPr>
        <w:spacing w:line="600" w:lineRule="exact"/>
        <w:rPr>
          <w:rFonts w:hint="default" w:ascii="仿宋" w:hAnsi="仿宋" w:eastAsia="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7AB68"/>
    <w:multiLevelType w:val="singleLevel"/>
    <w:tmpl w:val="6437AB68"/>
    <w:lvl w:ilvl="0" w:tentative="0">
      <w:start w:val="2"/>
      <w:numFmt w:val="decimal"/>
      <w:suff w:val="nothing"/>
      <w:lvlText w:val="%1．"/>
      <w:lvlJc w:val="left"/>
    </w:lvl>
  </w:abstractNum>
  <w:abstractNum w:abstractNumId="1">
    <w:nsid w:val="6437AF9F"/>
    <w:multiLevelType w:val="singleLevel"/>
    <w:tmpl w:val="6437AF9F"/>
    <w:lvl w:ilvl="0" w:tentative="0">
      <w:start w:val="2"/>
      <w:numFmt w:val="decimal"/>
      <w:suff w:val="nothing"/>
      <w:lvlText w:val="%1."/>
      <w:lvlJc w:val="left"/>
    </w:lvl>
  </w:abstractNum>
  <w:abstractNum w:abstractNumId="2">
    <w:nsid w:val="6437B11C"/>
    <w:multiLevelType w:val="singleLevel"/>
    <w:tmpl w:val="6437B11C"/>
    <w:lvl w:ilvl="0" w:tentative="0">
      <w:start w:val="2"/>
      <w:numFmt w:val="decimal"/>
      <w:suff w:val="nothing"/>
      <w:lvlText w:val="(%1)"/>
      <w:lvlJc w:val="left"/>
    </w:lvl>
  </w:abstractNum>
  <w:abstractNum w:abstractNumId="3">
    <w:nsid w:val="6437B2F5"/>
    <w:multiLevelType w:val="singleLevel"/>
    <w:tmpl w:val="6437B2F5"/>
    <w:lvl w:ilvl="0" w:tentative="0">
      <w:start w:val="2"/>
      <w:numFmt w:val="decimal"/>
      <w:suff w:val="nothing"/>
      <w:lvlText w:val="(%1)"/>
      <w:lvlJc w:val="left"/>
    </w:lvl>
  </w:abstractNum>
  <w:abstractNum w:abstractNumId="4">
    <w:nsid w:val="6437B45C"/>
    <w:multiLevelType w:val="singleLevel"/>
    <w:tmpl w:val="6437B45C"/>
    <w:lvl w:ilvl="0" w:tentative="0">
      <w:start w:val="3"/>
      <w:numFmt w:val="decimal"/>
      <w:suff w:val="nothing"/>
      <w:lvlText w:val="%1、"/>
      <w:lvlJc w:val="left"/>
    </w:lvl>
  </w:abstractNum>
  <w:abstractNum w:abstractNumId="5">
    <w:nsid w:val="6437B5D4"/>
    <w:multiLevelType w:val="singleLevel"/>
    <w:tmpl w:val="6437B5D4"/>
    <w:lvl w:ilvl="0" w:tentative="0">
      <w:start w:val="2"/>
      <w:numFmt w:val="decimal"/>
      <w:suff w:val="nothing"/>
      <w:lvlText w:val="%1、"/>
      <w:lvlJc w:val="left"/>
    </w:lvl>
  </w:abstractNum>
  <w:abstractNum w:abstractNumId="6">
    <w:nsid w:val="6437B747"/>
    <w:multiLevelType w:val="singleLevel"/>
    <w:tmpl w:val="6437B747"/>
    <w:lvl w:ilvl="0" w:tentative="0">
      <w:start w:val="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kOWNiNGQwMTIzYzIwMDE1MzlhMTQ5MzZlODY1MmIifQ=="/>
  </w:docVars>
  <w:rsids>
    <w:rsidRoot w:val="2DF5249B"/>
    <w:rsid w:val="0474173F"/>
    <w:rsid w:val="0BA07AC9"/>
    <w:rsid w:val="2D3D0673"/>
    <w:rsid w:val="2DF5249B"/>
    <w:rsid w:val="2E196F2D"/>
    <w:rsid w:val="638C4EC0"/>
    <w:rsid w:val="66FA2FC2"/>
    <w:rsid w:val="6B065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1973</Words>
  <Characters>2147</Characters>
  <Lines>0</Lines>
  <Paragraphs>0</Paragraphs>
  <TotalTime>1</TotalTime>
  <ScaleCrop>false</ScaleCrop>
  <LinksUpToDate>false</LinksUpToDate>
  <CharactersWithSpaces>2252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2023-02-08T03:12:00Z</dcterms:created>
  <dc:creator>沉淀之岁月</dc:creator>
  <cp:lastModifiedBy>刘朝辉</cp:lastModifiedBy>
  <cp:lastPrinted>2023-08-03T09:20:10Z</cp:lastPrinted>
  <dcterms:modified xsi:type="dcterms:W3CDTF">2023-08-03T09:20:17Z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2842688877F749C0960CD2765DB308F0</vt:lpwstr>
  </property>
</Properties>
</file>