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C2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right="0" w:firstLine="0"/>
        <w:jc w:val="center"/>
        <w:textAlignment w:val="auto"/>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456D15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right="0" w:firstLine="0"/>
        <w:jc w:val="center"/>
        <w:textAlignment w:val="auto"/>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绥宁县人民政府办公室</w:t>
      </w:r>
      <w:r>
        <w:rPr>
          <w:rFonts w:hint="eastAsia" w:ascii="楷体" w:hAnsi="楷体" w:eastAsia="楷体" w:cs="楷体"/>
          <w:i w:val="0"/>
          <w:iCs w:val="0"/>
          <w:caps w:val="0"/>
          <w:color w:val="000000"/>
          <w:spacing w:val="0"/>
          <w:sz w:val="32"/>
          <w:szCs w:val="32"/>
          <w:shd w:val="clear" w:fill="FFFFFF"/>
          <w:lang w:eastAsia="zh-CN"/>
        </w:rPr>
        <w:t>）</w:t>
      </w:r>
    </w:p>
    <w:p w14:paraId="7C306F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right="0" w:firstLine="0"/>
        <w:jc w:val="center"/>
        <w:textAlignment w:val="auto"/>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2025年</w:t>
      </w:r>
      <w:r>
        <w:rPr>
          <w:rFonts w:hint="eastAsia" w:ascii="楷体" w:hAnsi="楷体" w:eastAsia="楷体" w:cs="楷体"/>
          <w:color w:val="000000"/>
          <w:kern w:val="0"/>
          <w:sz w:val="32"/>
          <w:szCs w:val="32"/>
          <w:lang w:val="en-US" w:eastAsia="zh-CN" w:bidi="ar"/>
        </w:rPr>
        <w:t>3月31日</w:t>
      </w:r>
    </w:p>
    <w:p w14:paraId="530844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right="0" w:firstLine="0" w:firstLineChars="0"/>
        <w:jc w:val="center"/>
        <w:textAlignment w:val="auto"/>
        <w:rPr>
          <w:rFonts w:hint="eastAsia" w:ascii="仿宋" w:hAnsi="仿宋" w:eastAsia="仿宋" w:cs="仿宋"/>
          <w:i w:val="0"/>
          <w:iCs w:val="0"/>
          <w:caps w:val="0"/>
          <w:color w:val="000000"/>
          <w:spacing w:val="0"/>
          <w:sz w:val="44"/>
          <w:szCs w:val="44"/>
        </w:rPr>
      </w:pPr>
    </w:p>
    <w:p w14:paraId="0EC62585">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45341E5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774D488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2FC0E68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textAlignment w:val="auto"/>
        <w:rPr>
          <w:rFonts w:ascii="仿宋" w:hAnsi="仿宋" w:eastAsia="仿宋" w:cs="仿宋"/>
          <w:color w:val="010101"/>
          <w:sz w:val="32"/>
          <w:szCs w:val="32"/>
        </w:rPr>
      </w:pPr>
      <w:r>
        <w:rPr>
          <w:rFonts w:hint="eastAsia" w:ascii="仿宋" w:hAnsi="仿宋" w:eastAsia="仿宋"/>
          <w:color w:val="010101"/>
          <w:sz w:val="32"/>
          <w:szCs w:val="32"/>
        </w:rPr>
        <w:t>1.</w:t>
      </w:r>
      <w:r>
        <w:rPr>
          <w:rFonts w:ascii="仿宋" w:hAnsi="仿宋" w:eastAsia="仿宋" w:cs="仿宋"/>
          <w:color w:val="010101"/>
          <w:sz w:val="32"/>
          <w:szCs w:val="32"/>
        </w:rPr>
        <w:t>协助县政府领导组织审核或起草以县政府、县政府办</w:t>
      </w:r>
    </w:p>
    <w:p w14:paraId="348C372F">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9" w:lineRule="exact"/>
        <w:ind w:left="0" w:leftChars="0" w:firstLine="0" w:firstLineChars="0"/>
        <w:textAlignment w:val="auto"/>
        <w:rPr>
          <w:rFonts w:ascii="仿宋" w:hAnsi="仿宋" w:eastAsia="仿宋" w:cs="仿宋"/>
          <w:color w:val="010101"/>
          <w:sz w:val="32"/>
          <w:szCs w:val="32"/>
        </w:rPr>
      </w:pPr>
      <w:r>
        <w:rPr>
          <w:rFonts w:ascii="仿宋" w:hAnsi="仿宋" w:eastAsia="仿宋" w:cs="仿宋"/>
          <w:color w:val="010101"/>
          <w:sz w:val="32"/>
          <w:szCs w:val="32"/>
        </w:rPr>
        <w:t>公室名义发布的公文。</w:t>
      </w:r>
    </w:p>
    <w:p w14:paraId="24C6B9D7">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ascii="仿宋" w:hAnsi="仿宋" w:eastAsia="仿宋" w:cs="仿宋"/>
          <w:color w:val="010101"/>
          <w:sz w:val="32"/>
          <w:szCs w:val="32"/>
        </w:rPr>
        <w:t xml:space="preserve"> </w:t>
      </w:r>
      <w:r>
        <w:rPr>
          <w:rFonts w:hint="eastAsia" w:ascii="仿宋" w:hAnsi="仿宋" w:eastAsia="仿宋" w:cs="仿宋"/>
          <w:color w:val="010101"/>
          <w:sz w:val="32"/>
          <w:szCs w:val="32"/>
        </w:rPr>
        <w:t>2.</w:t>
      </w:r>
      <w:r>
        <w:rPr>
          <w:rFonts w:ascii="仿宋" w:hAnsi="仿宋" w:eastAsia="仿宋" w:cs="仿宋"/>
          <w:color w:val="010101"/>
          <w:sz w:val="32"/>
          <w:szCs w:val="32"/>
        </w:rPr>
        <w:t>研究县政府各部门和各乡镇人民政府请示县政府的事项，提出审核意见，报县政府领导审批。</w:t>
      </w:r>
    </w:p>
    <w:p w14:paraId="7D8C63DD">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ascii="仿宋" w:hAnsi="仿宋" w:eastAsia="仿宋" w:cs="仿宋"/>
          <w:color w:val="010101"/>
          <w:sz w:val="32"/>
          <w:szCs w:val="32"/>
        </w:rPr>
        <w:t xml:space="preserve"> </w:t>
      </w:r>
      <w:r>
        <w:rPr>
          <w:rFonts w:hint="eastAsia" w:ascii="仿宋" w:hAnsi="仿宋" w:eastAsia="仿宋" w:cs="仿宋"/>
          <w:color w:val="010101"/>
          <w:sz w:val="32"/>
          <w:szCs w:val="32"/>
        </w:rPr>
        <w:t>3.</w:t>
      </w:r>
      <w:r>
        <w:rPr>
          <w:rFonts w:ascii="仿宋" w:hAnsi="仿宋" w:eastAsia="仿宋" w:cs="仿宋"/>
          <w:color w:val="010101"/>
          <w:sz w:val="32"/>
          <w:szCs w:val="32"/>
        </w:rPr>
        <w:t>负责县政府全体会议、县政府常务会议、县政府党组会议、县长办公会议的会务工作，协助县政府领导组织实施会议决定事项。</w:t>
      </w:r>
    </w:p>
    <w:p w14:paraId="3CC39990">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ascii="仿宋" w:hAnsi="仿宋" w:eastAsia="仿宋" w:cs="仿宋"/>
          <w:color w:val="010101"/>
          <w:sz w:val="32"/>
          <w:szCs w:val="32"/>
        </w:rPr>
        <w:t xml:space="preserve"> </w:t>
      </w:r>
      <w:r>
        <w:rPr>
          <w:rFonts w:hint="eastAsia" w:ascii="仿宋" w:hAnsi="仿宋" w:eastAsia="仿宋" w:cs="仿宋"/>
          <w:color w:val="010101"/>
          <w:sz w:val="32"/>
          <w:szCs w:val="32"/>
        </w:rPr>
        <w:t>4.</w:t>
      </w:r>
      <w:r>
        <w:rPr>
          <w:rFonts w:ascii="仿宋" w:hAnsi="仿宋" w:eastAsia="仿宋" w:cs="仿宋"/>
          <w:color w:val="010101"/>
          <w:sz w:val="32"/>
          <w:szCs w:val="32"/>
        </w:rPr>
        <w:t>负责对县政府决定事项及县政府领导有关指示的贯彻落实情况进行督查督办，及时向县政府领导报告，并对贯彻落实情况进行评级通报。</w:t>
      </w:r>
    </w:p>
    <w:p w14:paraId="15C4B513">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5.</w:t>
      </w:r>
      <w:r>
        <w:rPr>
          <w:rFonts w:ascii="仿宋" w:hAnsi="仿宋" w:eastAsia="仿宋" w:cs="仿宋"/>
          <w:color w:val="010101"/>
          <w:sz w:val="32"/>
          <w:szCs w:val="32"/>
        </w:rPr>
        <w:t>负责县政府值班工作和信息上报工作。及时向县政府领导报告重要情况，传达和督促落实县政府领导指示。</w:t>
      </w:r>
    </w:p>
    <w:p w14:paraId="0A201D96">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6.</w:t>
      </w:r>
      <w:r>
        <w:rPr>
          <w:rFonts w:ascii="仿宋" w:hAnsi="仿宋" w:eastAsia="仿宋" w:cs="仿宋"/>
          <w:color w:val="010101"/>
          <w:sz w:val="32"/>
          <w:szCs w:val="32"/>
        </w:rPr>
        <w:t>根据县政府工作部署和县政府领导的指示，对涉及全县经济建设、社会发展和改革开放等全局性工作的重大课题进行调查研究，提出建议。</w:t>
      </w:r>
    </w:p>
    <w:p w14:paraId="3BFA3ED9">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7.</w:t>
      </w:r>
      <w:r>
        <w:rPr>
          <w:rFonts w:ascii="仿宋" w:hAnsi="仿宋" w:eastAsia="仿宋" w:cs="仿宋"/>
          <w:color w:val="010101"/>
          <w:sz w:val="32"/>
          <w:szCs w:val="32"/>
        </w:rPr>
        <w:t>起草《政府工作报告》和县政府领导的重要讲话。</w:t>
      </w:r>
    </w:p>
    <w:p w14:paraId="55DFFA9F">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8.</w:t>
      </w:r>
      <w:r>
        <w:rPr>
          <w:rFonts w:ascii="仿宋" w:hAnsi="仿宋" w:eastAsia="仿宋" w:cs="仿宋"/>
          <w:color w:val="010101"/>
          <w:sz w:val="32"/>
          <w:szCs w:val="32"/>
        </w:rPr>
        <w:t>搜集、研究和综合经济社会发展的重要信息动态，为县政府领导决策和指导工作提供信息服务。</w:t>
      </w:r>
    </w:p>
    <w:p w14:paraId="278FACE1">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9.</w:t>
      </w:r>
      <w:r>
        <w:rPr>
          <w:rFonts w:ascii="仿宋" w:hAnsi="仿宋" w:eastAsia="仿宋" w:cs="仿宋"/>
          <w:color w:val="010101"/>
          <w:sz w:val="32"/>
          <w:szCs w:val="32"/>
        </w:rPr>
        <w:t>组织协调办理人大代表建议、政协委员提案。</w:t>
      </w:r>
    </w:p>
    <w:p w14:paraId="631AAF3A">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10.</w:t>
      </w:r>
      <w:r>
        <w:rPr>
          <w:rFonts w:ascii="仿宋" w:hAnsi="仿宋" w:eastAsia="仿宋" w:cs="仿宋"/>
          <w:color w:val="010101"/>
          <w:sz w:val="32"/>
          <w:szCs w:val="32"/>
        </w:rPr>
        <w:t>负责组织全县地方志编修工作。</w:t>
      </w:r>
    </w:p>
    <w:p w14:paraId="26773D7F">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11.</w:t>
      </w:r>
      <w:r>
        <w:rPr>
          <w:rFonts w:ascii="仿宋" w:hAnsi="仿宋" w:eastAsia="仿宋" w:cs="仿宋"/>
          <w:color w:val="010101"/>
          <w:sz w:val="32"/>
          <w:szCs w:val="32"/>
        </w:rPr>
        <w:t>承担《绥宁政报》组稿、编辑、发行工作职责。</w:t>
      </w:r>
    </w:p>
    <w:p w14:paraId="252F1313">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12.</w:t>
      </w:r>
      <w:r>
        <w:rPr>
          <w:rFonts w:ascii="仿宋" w:hAnsi="仿宋" w:eastAsia="仿宋" w:cs="仿宋"/>
          <w:color w:val="010101"/>
          <w:sz w:val="32"/>
          <w:szCs w:val="32"/>
        </w:rPr>
        <w:t>负责对驻绥金融管理部门和银行、证券、保险、期货等各类金融机构的联络、协调和指导。负责管理县金融服务中心工作。</w:t>
      </w:r>
    </w:p>
    <w:p w14:paraId="5A5EEAF9">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13.</w:t>
      </w:r>
      <w:r>
        <w:rPr>
          <w:rFonts w:ascii="仿宋" w:hAnsi="仿宋" w:eastAsia="仿宋" w:cs="仿宋"/>
          <w:color w:val="010101"/>
          <w:sz w:val="32"/>
          <w:szCs w:val="32"/>
        </w:rPr>
        <w:t>负责县政府及县政府办离退休干部、职工的管理服务，管理县政府办的老干活动室。负责管理全县接待工作和县政府主要领导外出公务活动和联络服务。</w:t>
      </w:r>
    </w:p>
    <w:p w14:paraId="1B0517B3">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14.组织制定全县竹产业发展规划，指导全县竹资源及竹产规模企业的培育，指导县竹产业协会工作日常。</w:t>
      </w:r>
    </w:p>
    <w:p w14:paraId="48E0E86F">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15.贯彻落实民兵武器装备管理法规和规章制度，负责武器装备的保管、保养、收发和登记统计工作，维护库房及库区内的设施设备，协调组织民兵训练，负责管理、训练等工作。</w:t>
      </w:r>
    </w:p>
    <w:p w14:paraId="61887447">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rPr>
        <w:t>16.</w:t>
      </w:r>
      <w:r>
        <w:rPr>
          <w:rFonts w:ascii="仿宋" w:hAnsi="仿宋" w:eastAsia="仿宋" w:cs="仿宋"/>
          <w:color w:val="010101"/>
          <w:sz w:val="32"/>
          <w:szCs w:val="32"/>
        </w:rPr>
        <w:t>完成县委、县政府交办的其他任务。</w:t>
      </w:r>
    </w:p>
    <w:p w14:paraId="41B30BA3">
      <w:pPr>
        <w:pStyle w:val="13"/>
        <w:keepNext w:val="0"/>
        <w:keepLines w:val="0"/>
        <w:pageBreakBefore w:val="0"/>
        <w:widowControl w:val="0"/>
        <w:kinsoku/>
        <w:wordWrap/>
        <w:overflowPunct/>
        <w:topLinePunct w:val="0"/>
        <w:autoSpaceDE/>
        <w:autoSpaceDN w:val="0"/>
        <w:bidi w:val="0"/>
        <w:adjustRightInd/>
        <w:spacing w:line="579" w:lineRule="exact"/>
        <w:ind w:left="0" w:leftChars="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21D329C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2024年末，我部门内设股室13个，所属</w:t>
      </w:r>
      <w:r>
        <w:rPr>
          <w:rFonts w:hint="eastAsia" w:ascii="仿宋" w:hAnsi="仿宋" w:eastAsia="仿宋" w:cs="仿宋"/>
          <w:color w:val="000000"/>
          <w:sz w:val="32"/>
          <w:szCs w:val="32"/>
          <w:shd w:val="clear" w:color="auto" w:fill="FFFFFF"/>
        </w:rPr>
        <w:t>非独立核算</w:t>
      </w:r>
      <w:r>
        <w:rPr>
          <w:rFonts w:hint="eastAsia" w:ascii="仿宋" w:hAnsi="仿宋" w:eastAsia="仿宋" w:cs="仿宋"/>
          <w:b w:val="0"/>
          <w:bCs w:val="0"/>
          <w:i w:val="0"/>
          <w:iCs w:val="0"/>
          <w:caps w:val="0"/>
          <w:color w:val="000000"/>
          <w:spacing w:val="0"/>
          <w:sz w:val="32"/>
          <w:szCs w:val="32"/>
          <w:shd w:val="clear" w:fill="FFFFFF"/>
          <w:lang w:val="en-US" w:eastAsia="zh-CN"/>
        </w:rPr>
        <w:t>事业单位4个。</w:t>
      </w:r>
    </w:p>
    <w:p w14:paraId="442F1B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ascii="仿宋" w:hAnsi="仿宋" w:eastAsia="仿宋" w:cs="仿宋"/>
          <w:sz w:val="32"/>
          <w:szCs w:val="32"/>
        </w:rPr>
        <w:t>秘书一组、秘书二组、综合调研组、信息组、县政府总值班室、机要组、建议提案办理组、政工组、行政事务组、公共机构节能组、法规组、督查室（县政府督查室）</w:t>
      </w:r>
      <w:r>
        <w:rPr>
          <w:rFonts w:hint="eastAsia" w:ascii="仿宋" w:hAnsi="仿宋" w:eastAsia="仿宋" w:cs="仿宋"/>
          <w:sz w:val="32"/>
          <w:szCs w:val="32"/>
        </w:rPr>
        <w:t>、</w:t>
      </w:r>
      <w:r>
        <w:rPr>
          <w:rFonts w:ascii="仿宋" w:hAnsi="仿宋" w:eastAsia="仿宋" w:cs="仿宋"/>
          <w:sz w:val="32"/>
          <w:szCs w:val="32"/>
        </w:rPr>
        <w:t>金融发展监管组</w:t>
      </w:r>
      <w:r>
        <w:rPr>
          <w:rFonts w:hint="eastAsia" w:ascii="仿宋" w:hAnsi="仿宋" w:eastAsia="仿宋" w:cs="仿宋"/>
          <w:sz w:val="32"/>
          <w:szCs w:val="32"/>
        </w:rPr>
        <w:t>。</w:t>
      </w:r>
    </w:p>
    <w:p w14:paraId="0503CC0F">
      <w:pPr>
        <w:pStyle w:val="6"/>
        <w:keepNext w:val="0"/>
        <w:keepLines w:val="0"/>
        <w:pageBreakBefore w:val="0"/>
        <w:widowControl w:val="0"/>
        <w:shd w:val="clear" w:color="auto" w:fill="FFFFFF"/>
        <w:kinsoku/>
        <w:wordWrap/>
        <w:overflowPunct/>
        <w:topLinePunct w:val="0"/>
        <w:autoSpaceDE/>
        <w:bidi w:val="0"/>
        <w:adjustRightInd/>
        <w:spacing w:beforeAutospacing="0" w:afterAutospacing="0" w:line="579" w:lineRule="exact"/>
        <w:ind w:left="0" w:leftChars="0" w:firstLine="640" w:firstLineChars="200"/>
        <w:textAlignment w:val="auto"/>
        <w:rPr>
          <w:rFonts w:ascii="仿宋" w:hAnsi="仿宋" w:eastAsia="仿宋" w:cs="仿宋"/>
          <w:sz w:val="32"/>
          <w:szCs w:val="32"/>
        </w:rPr>
      </w:pPr>
      <w:r>
        <w:rPr>
          <w:rFonts w:hint="eastAsia" w:ascii="仿宋" w:hAnsi="仿宋" w:eastAsia="仿宋" w:cs="仿宋"/>
          <w:color w:val="000000"/>
          <w:sz w:val="32"/>
          <w:szCs w:val="32"/>
          <w:shd w:val="clear" w:color="auto" w:fill="FFFFFF"/>
        </w:rPr>
        <w:t>所属非独立核算事业单位分别是：绥宁</w:t>
      </w:r>
      <w:r>
        <w:rPr>
          <w:rFonts w:ascii="仿宋" w:hAnsi="仿宋" w:eastAsia="仿宋" w:cs="仿宋"/>
          <w:sz w:val="32"/>
          <w:szCs w:val="32"/>
        </w:rPr>
        <w:t>县金融服务中心、</w:t>
      </w:r>
      <w:r>
        <w:rPr>
          <w:rFonts w:hint="eastAsia" w:ascii="仿宋" w:hAnsi="仿宋" w:eastAsia="仿宋" w:cs="仿宋"/>
          <w:sz w:val="32"/>
          <w:szCs w:val="32"/>
        </w:rPr>
        <w:t>绥宁</w:t>
      </w:r>
      <w:r>
        <w:rPr>
          <w:rFonts w:ascii="仿宋" w:hAnsi="仿宋" w:eastAsia="仿宋" w:cs="仿宋"/>
          <w:sz w:val="32"/>
          <w:szCs w:val="32"/>
        </w:rPr>
        <w:t>县政府发展研究中心</w:t>
      </w:r>
      <w:r>
        <w:rPr>
          <w:rFonts w:hint="eastAsia" w:ascii="仿宋" w:hAnsi="仿宋" w:eastAsia="仿宋" w:cs="仿宋"/>
          <w:sz w:val="32"/>
          <w:szCs w:val="32"/>
        </w:rPr>
        <w:t>、绥宁县楠竹产业发展中心、绥宁县民兵武器仓库和训练基地管理站</w:t>
      </w:r>
      <w:r>
        <w:rPr>
          <w:rFonts w:ascii="仿宋" w:hAnsi="仿宋" w:eastAsia="仿宋" w:cs="仿宋"/>
          <w:sz w:val="32"/>
          <w:szCs w:val="32"/>
        </w:rPr>
        <w:t>。</w:t>
      </w:r>
    </w:p>
    <w:p w14:paraId="7413D65E">
      <w:pPr>
        <w:pStyle w:val="6"/>
        <w:keepNext w:val="0"/>
        <w:keepLines w:val="0"/>
        <w:pageBreakBefore w:val="0"/>
        <w:widowControl w:val="0"/>
        <w:shd w:val="clear" w:color="auto" w:fill="FFFFFF"/>
        <w:kinsoku/>
        <w:wordWrap/>
        <w:overflowPunct/>
        <w:topLinePunct w:val="0"/>
        <w:autoSpaceDE/>
        <w:bidi w:val="0"/>
        <w:adjustRightInd/>
        <w:spacing w:beforeAutospacing="0" w:afterAutospacing="0" w:line="579" w:lineRule="exact"/>
        <w:ind w:left="0" w:leftChars="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2DA151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65</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34</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工勤编2人，</w:t>
      </w:r>
      <w:r>
        <w:rPr>
          <w:rFonts w:hint="default" w:ascii="仿宋" w:hAnsi="仿宋" w:eastAsia="仿宋" w:cs="仿宋"/>
          <w:b w:val="0"/>
          <w:bCs w:val="0"/>
          <w:i w:val="0"/>
          <w:iCs w:val="0"/>
          <w:caps w:val="0"/>
          <w:color w:val="000000"/>
          <w:spacing w:val="0"/>
          <w:sz w:val="32"/>
          <w:szCs w:val="32"/>
          <w:shd w:val="clear" w:fill="FFFFFF"/>
          <w:lang w:val="en-US" w:eastAsia="zh-CN"/>
        </w:rPr>
        <w:t>事业编制</w:t>
      </w:r>
      <w:r>
        <w:rPr>
          <w:rFonts w:hint="eastAsia" w:ascii="仿宋" w:hAnsi="仿宋" w:eastAsia="仿宋" w:cs="仿宋"/>
          <w:b w:val="0"/>
          <w:bCs w:val="0"/>
          <w:i w:val="0"/>
          <w:iCs w:val="0"/>
          <w:caps w:val="0"/>
          <w:color w:val="000000"/>
          <w:spacing w:val="0"/>
          <w:sz w:val="32"/>
          <w:szCs w:val="32"/>
          <w:shd w:val="clear" w:fill="FFFFFF"/>
          <w:lang w:val="en-US" w:eastAsia="zh-CN"/>
        </w:rPr>
        <w:t>29</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56</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退休人员32</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4B748BD8">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一般公共预算支出情况</w:t>
      </w:r>
    </w:p>
    <w:p w14:paraId="5B044B4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rightChars="0" w:firstLine="643" w:firstLineChars="200"/>
        <w:jc w:val="left"/>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4241D2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1524</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972</w:t>
      </w:r>
      <w:r>
        <w:rPr>
          <w:rFonts w:hint="default" w:ascii="Times New Roman" w:hAnsi="Times New Roman" w:eastAsia="仿宋_GB2312" w:cs="Times New Roman"/>
          <w:color w:val="0C0C0C"/>
          <w:sz w:val="32"/>
          <w:szCs w:val="32"/>
          <w:lang w:val="en-US" w:eastAsia="zh-CN"/>
        </w:rPr>
        <w:t>万元</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552</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454BE2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1.人员经费972万元。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1DCFC4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552</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3A0562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4B88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p>
    <w:p w14:paraId="0FC78B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2C9078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5F9980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3" w:firstLineChars="200"/>
        <w:jc w:val="both"/>
        <w:textAlignment w:val="auto"/>
        <w:outlineLvl w:val="9"/>
        <w:rPr>
          <w:rFonts w:hint="eastAsia" w:ascii="仿宋" w:hAnsi="仿宋" w:eastAsia="仿宋" w:cs="仿宋"/>
          <w:b/>
          <w:bCs/>
          <w:color w:val="0C0C0C"/>
          <w:sz w:val="32"/>
          <w:szCs w:val="32"/>
          <w:lang w:val="en-US" w:eastAsia="zh-CN"/>
        </w:rPr>
      </w:pPr>
      <w:r>
        <w:rPr>
          <w:rFonts w:hint="eastAsia" w:ascii="仿宋" w:hAnsi="仿宋" w:eastAsia="仿宋" w:cs="仿宋"/>
          <w:b/>
          <w:bCs/>
          <w:color w:val="0C0C0C"/>
          <w:sz w:val="32"/>
          <w:szCs w:val="32"/>
          <w:lang w:val="en-US" w:eastAsia="zh-CN"/>
        </w:rPr>
        <w:t>3.上级专项资金0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674D7A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7FEE58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eastAsia" w:eastAsia="仿宋_GB2312" w:cs="Times New Roman"/>
          <w:color w:val="0C0C0C"/>
          <w:sz w:val="32"/>
          <w:szCs w:val="32"/>
          <w:lang w:val="en-US" w:eastAsia="zh-CN"/>
        </w:rPr>
      </w:pPr>
      <w:r>
        <w:rPr>
          <w:rFonts w:hint="eastAsia" w:ascii="仿宋" w:hAnsi="仿宋" w:eastAsia="仿宋" w:cs="仿宋"/>
          <w:color w:val="0C0C0C"/>
          <w:sz w:val="32"/>
          <w:szCs w:val="32"/>
          <w:lang w:val="en-US" w:eastAsia="zh-CN"/>
        </w:rPr>
        <w:t>2024年度政府性基金预算支出</w:t>
      </w:r>
      <w:r>
        <w:rPr>
          <w:rFonts w:hint="eastAsia" w:ascii="仿宋_GB2312" w:hAnsi="仿宋_GB2312" w:eastAsia="仿宋_GB2312" w:cs="仿宋_GB2312"/>
          <w:color w:val="000000"/>
          <w:kern w:val="0"/>
          <w:sz w:val="31"/>
          <w:szCs w:val="31"/>
          <w:lang w:val="en-US" w:eastAsia="zh-CN" w:bidi="ar"/>
        </w:rPr>
        <w:t>9</w:t>
      </w:r>
      <w:r>
        <w:rPr>
          <w:rFonts w:hint="default" w:ascii="Times New Roman" w:hAnsi="Times New Roman" w:eastAsia="仿宋_GB2312" w:cs="Times New Roman"/>
          <w:color w:val="0C0C0C"/>
          <w:sz w:val="32"/>
          <w:szCs w:val="32"/>
        </w:rPr>
        <w:t>万元</w:t>
      </w:r>
      <w:r>
        <w:rPr>
          <w:rFonts w:hint="eastAsia" w:ascii="Times New Roman" w:hAnsi="Times New Roman" w:eastAsia="仿宋_GB2312" w:cs="Times New Roman"/>
          <w:color w:val="0C0C0C"/>
          <w:sz w:val="32"/>
          <w:szCs w:val="32"/>
          <w:lang w:val="en-US" w:eastAsia="zh-CN"/>
        </w:rPr>
        <w:t>。</w:t>
      </w:r>
      <w:r>
        <w:rPr>
          <w:rFonts w:hint="default" w:ascii="Times New Roman" w:hAnsi="Times New Roman" w:eastAsia="仿宋_GB2312" w:cs="Times New Roman"/>
          <w:color w:val="0C0C0C"/>
          <w:sz w:val="32"/>
          <w:szCs w:val="32"/>
        </w:rPr>
        <w:t>主要用于</w:t>
      </w:r>
      <w:r>
        <w:rPr>
          <w:rFonts w:hint="eastAsia" w:eastAsia="仿宋_GB2312" w:cs="Times New Roman"/>
          <w:color w:val="0C0C0C"/>
          <w:sz w:val="32"/>
          <w:szCs w:val="32"/>
          <w:lang w:eastAsia="zh-CN"/>
        </w:rPr>
        <w:t>楠竹产业宣传片制作经费。</w:t>
      </w:r>
    </w:p>
    <w:p w14:paraId="22431B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四、</w:t>
      </w:r>
      <w:r>
        <w:rPr>
          <w:rFonts w:hint="eastAsia" w:ascii="黑体" w:hAnsi="黑体" w:eastAsia="黑体" w:cs="黑体"/>
          <w:i w:val="0"/>
          <w:iCs w:val="0"/>
          <w:caps w:val="0"/>
          <w:color w:val="000000"/>
          <w:spacing w:val="0"/>
          <w:sz w:val="32"/>
          <w:szCs w:val="32"/>
          <w:shd w:val="clear" w:fill="FFFFFF"/>
        </w:rPr>
        <w:t>国有资本经营预算支出情况</w:t>
      </w:r>
    </w:p>
    <w:p w14:paraId="1CC658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79" w:lineRule="exact"/>
        <w:ind w:left="0" w:leftChars="0"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4F4A430B">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righ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3B3C7736">
      <w:pPr>
        <w:keepNext w:val="0"/>
        <w:keepLines w:val="0"/>
        <w:pageBreakBefore w:val="0"/>
        <w:widowControl w:val="0"/>
        <w:suppressLineNumbers w:val="0"/>
        <w:kinsoku/>
        <w:wordWrap/>
        <w:overflowPunct/>
        <w:topLinePunct w:val="0"/>
        <w:autoSpaceDE/>
        <w:bidi w:val="0"/>
        <w:adjustRightInd/>
        <w:spacing w:line="579" w:lineRule="exact"/>
        <w:ind w:left="0" w:leftChars="0" w:firstLine="640" w:firstLineChars="200"/>
        <w:jc w:val="left"/>
        <w:textAlignment w:val="auto"/>
        <w:rPr>
          <w:rFonts w:hint="default"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59F9191A">
      <w:pPr>
        <w:keepNext w:val="0"/>
        <w:keepLines w:val="0"/>
        <w:pageBreakBefore w:val="0"/>
        <w:widowControl w:val="0"/>
        <w:suppressLineNumbers w:val="0"/>
        <w:kinsoku/>
        <w:wordWrap/>
        <w:overflowPunct/>
        <w:topLinePunct w:val="0"/>
        <w:autoSpaceDE/>
        <w:bidi w:val="0"/>
        <w:adjustRightInd/>
        <w:spacing w:line="579" w:lineRule="exact"/>
        <w:ind w:left="0" w:leftChars="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B473AD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jc w:val="both"/>
        <w:textAlignment w:val="auto"/>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93</w:t>
      </w:r>
      <w:r>
        <w:rPr>
          <w:rFonts w:hint="eastAsia" w:ascii="仿宋" w:hAnsi="仿宋" w:eastAsia="仿宋" w:cs="仿宋"/>
          <w:color w:val="0C0C0C"/>
          <w:kern w:val="2"/>
          <w:sz w:val="32"/>
          <w:szCs w:val="32"/>
          <w:lang w:val="en-US" w:eastAsia="zh-CN" w:bidi="ar-SA"/>
        </w:rPr>
        <w:t>分，部门整体支出绩效为“优”。主要绩效如下：</w:t>
      </w:r>
    </w:p>
    <w:p w14:paraId="4302D392">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left"/>
        <w:textAlignment w:val="auto"/>
        <w:rPr>
          <w:rFonts w:hint="eastAsia" w:ascii="楷体" w:hAnsi="楷体" w:eastAsia="楷体" w:cs="楷体"/>
          <w:b/>
          <w:bCs/>
          <w:sz w:val="32"/>
          <w:szCs w:val="32"/>
          <w:u w:val="none"/>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楷体" w:hAnsi="楷体" w:eastAsia="楷体" w:cs="楷体"/>
          <w:b/>
          <w:bCs/>
          <w:sz w:val="32"/>
          <w:szCs w:val="32"/>
          <w:u w:val="none"/>
          <w:lang w:val="en-US" w:eastAsia="zh-CN"/>
        </w:rPr>
        <w:t>政务服务有序高效。</w:t>
      </w:r>
    </w:p>
    <w:p w14:paraId="4E96DD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2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1"/>
          <w:szCs w:val="31"/>
          <w:lang w:val="en-US" w:eastAsia="zh-CN" w:bidi="ar"/>
        </w:rPr>
        <w:t>1.综合文稿务实求新。</w:t>
      </w:r>
      <w:r>
        <w:rPr>
          <w:rFonts w:hint="eastAsia" w:ascii="仿宋_GB2312" w:hAnsi="仿宋_GB2312" w:eastAsia="仿宋_GB2312" w:cs="仿宋_GB2312"/>
          <w:kern w:val="0"/>
          <w:sz w:val="31"/>
          <w:szCs w:val="31"/>
          <w:lang w:val="en-US" w:eastAsia="zh-CN" w:bidi="ar"/>
        </w:rPr>
        <w:t>把参谋辅政贯穿办公室工作全过程，及时为领导决策想办法、出思路、提建议，2024年全年共</w:t>
      </w:r>
      <w:r>
        <w:rPr>
          <w:rFonts w:hint="eastAsia" w:ascii="仿宋_GB2312" w:hAnsi="仿宋_GB2312" w:eastAsia="仿宋_GB2312" w:cs="仿宋_GB2312"/>
          <w:spacing w:val="10"/>
          <w:sz w:val="32"/>
          <w:szCs w:val="32"/>
        </w:rPr>
        <w:t>完成</w:t>
      </w:r>
      <w:r>
        <w:rPr>
          <w:rStyle w:val="14"/>
          <w:rFonts w:hint="eastAsia" w:ascii="仿宋_GB2312" w:hAnsi="仿宋_GB2312" w:eastAsia="仿宋_GB2312" w:cs="仿宋_GB2312"/>
          <w:b w:val="0"/>
          <w:i w:val="0"/>
          <w:caps w:val="0"/>
          <w:color w:val="000000"/>
          <w:spacing w:val="0"/>
          <w:w w:val="100"/>
          <w:kern w:val="2"/>
          <w:sz w:val="32"/>
          <w:szCs w:val="32"/>
          <w:lang w:val="en-US" w:eastAsia="zh-CN" w:bidi="ar-SA"/>
        </w:rPr>
        <w:t>《政府工作报告》《在县委经济工作会议上的讲话》《绥宁县有关工作情况汇报》等各类材料400多篇，约300万字</w:t>
      </w:r>
      <w:r>
        <w:rPr>
          <w:rStyle w:val="14"/>
          <w:rFonts w:hint="eastAsia" w:ascii="仿宋_GB2312" w:hAnsi="仿宋_GB2312" w:eastAsia="仿宋_GB2312" w:cs="仿宋_GB2312"/>
          <w:b w:val="0"/>
          <w:i w:val="0"/>
          <w:caps w:val="0"/>
          <w:color w:val="000000"/>
          <w:spacing w:val="0"/>
          <w:w w:val="100"/>
          <w:kern w:val="2"/>
          <w:sz w:val="32"/>
          <w:szCs w:val="32"/>
          <w:lang w:val="en" w:eastAsia="zh-CN" w:bidi="ar-SA"/>
        </w:rPr>
        <w:t>。</w:t>
      </w:r>
      <w:r>
        <w:rPr>
          <w:rFonts w:hint="eastAsia" w:ascii="仿宋_GB2312" w:hAnsi="仿宋_GB2312" w:eastAsia="仿宋_GB2312" w:cs="仿宋_GB2312"/>
          <w:kern w:val="0"/>
          <w:sz w:val="31"/>
          <w:szCs w:val="31"/>
          <w:lang w:val="en-US" w:eastAsia="zh-CN" w:bidi="ar"/>
        </w:rPr>
        <w:t>坚持立足特色、精准选题、分类约稿，充分挖掘信息热点，提升信</w:t>
      </w:r>
      <w:r>
        <w:rPr>
          <w:rFonts w:hint="eastAsia" w:ascii="仿宋_GB2312" w:hAnsi="仿宋_GB2312" w:eastAsia="仿宋_GB2312" w:cs="仿宋_GB2312"/>
          <w:spacing w:val="-6"/>
          <w:kern w:val="0"/>
          <w:sz w:val="31"/>
          <w:szCs w:val="31"/>
          <w:lang w:val="en-US" w:eastAsia="zh-CN" w:bidi="ar"/>
        </w:rPr>
        <w:t>息报送针对性，全年累计</w:t>
      </w:r>
      <w:r>
        <w:rPr>
          <w:rFonts w:hint="default" w:ascii="仿宋_GB2312" w:hAnsi="仿宋_GB2312" w:eastAsia="仿宋_GB2312" w:cs="仿宋_GB2312"/>
          <w:sz w:val="32"/>
          <w:szCs w:val="32"/>
          <w:lang w:val="en-US" w:eastAsia="zh-CN"/>
        </w:rPr>
        <w:t>报送政务信息约稿</w:t>
      </w:r>
      <w:r>
        <w:rPr>
          <w:rFonts w:hint="eastAsia" w:ascii="仿宋_GB2312" w:hAnsi="仿宋_GB2312" w:eastAsia="仿宋_GB2312" w:cs="仿宋_GB2312"/>
          <w:sz w:val="32"/>
          <w:szCs w:val="32"/>
          <w:lang w:val="en-US" w:eastAsia="zh-CN"/>
        </w:rPr>
        <w:t>125</w:t>
      </w:r>
      <w:r>
        <w:rPr>
          <w:rFonts w:hint="default" w:ascii="仿宋_GB2312" w:hAnsi="仿宋_GB2312" w:eastAsia="仿宋_GB2312" w:cs="仿宋_GB2312"/>
          <w:sz w:val="32"/>
          <w:szCs w:val="32"/>
          <w:lang w:val="en-US" w:eastAsia="zh-CN"/>
        </w:rPr>
        <w:t>篇，经验材料</w:t>
      </w:r>
      <w:r>
        <w:rPr>
          <w:rFonts w:hint="eastAsia" w:ascii="仿宋_GB2312" w:hAnsi="仿宋_GB2312" w:eastAsia="仿宋_GB2312" w:cs="仿宋_GB2312"/>
          <w:sz w:val="32"/>
          <w:szCs w:val="32"/>
          <w:lang w:val="en-US" w:eastAsia="zh-CN"/>
        </w:rPr>
        <w:t>37</w:t>
      </w:r>
      <w:r>
        <w:rPr>
          <w:rFonts w:hint="default" w:ascii="仿宋_GB2312" w:hAnsi="仿宋_GB2312" w:eastAsia="仿宋_GB2312" w:cs="仿宋_GB2312"/>
          <w:sz w:val="32"/>
          <w:szCs w:val="32"/>
          <w:lang w:val="en-US" w:eastAsia="zh-CN"/>
        </w:rPr>
        <w:t>篇,</w:t>
      </w:r>
      <w:r>
        <w:rPr>
          <w:rStyle w:val="14"/>
          <w:rFonts w:hint="eastAsia" w:ascii="仿宋_GB2312" w:hAnsi="仿宋_GB2312" w:eastAsia="仿宋_GB2312" w:cs="仿宋_GB2312"/>
          <w:b w:val="0"/>
          <w:i w:val="0"/>
          <w:caps w:val="0"/>
          <w:color w:val="000000"/>
          <w:spacing w:val="0"/>
          <w:w w:val="100"/>
          <w:kern w:val="2"/>
          <w:sz w:val="32"/>
          <w:szCs w:val="32"/>
          <w:lang w:val="en-US" w:eastAsia="zh-CN" w:bidi="ar-SA"/>
        </w:rPr>
        <w:t>《做大做优竹产业 推动乡村全面振兴》《突出“四大抓手”</w:t>
      </w:r>
      <w:r>
        <w:rPr>
          <w:rStyle w:val="14"/>
          <w:rFonts w:hint="default" w:ascii="仿宋_GB2312" w:hAnsi="仿宋_GB2312" w:eastAsia="仿宋_GB2312" w:cs="仿宋_GB2312"/>
          <w:b w:val="0"/>
          <w:i w:val="0"/>
          <w:caps w:val="0"/>
          <w:color w:val="000000"/>
          <w:spacing w:val="0"/>
          <w:w w:val="100"/>
          <w:kern w:val="2"/>
          <w:sz w:val="32"/>
          <w:szCs w:val="32"/>
          <w:lang w:val="en" w:eastAsia="zh-CN" w:bidi="ar-SA"/>
        </w:rPr>
        <w:t xml:space="preserve"> </w:t>
      </w:r>
      <w:r>
        <w:rPr>
          <w:rStyle w:val="14"/>
          <w:rFonts w:hint="eastAsia" w:ascii="仿宋_GB2312" w:hAnsi="仿宋_GB2312" w:eastAsia="仿宋_GB2312" w:cs="仿宋_GB2312"/>
          <w:b w:val="0"/>
          <w:i w:val="0"/>
          <w:caps w:val="0"/>
          <w:color w:val="000000"/>
          <w:spacing w:val="0"/>
          <w:w w:val="100"/>
          <w:kern w:val="2"/>
          <w:sz w:val="32"/>
          <w:szCs w:val="32"/>
          <w:lang w:val="en-US" w:eastAsia="zh-CN" w:bidi="ar-SA"/>
        </w:rPr>
        <w:t>推动楠竹产业高质量发展》《抓实关键四招 守牢防汛底线》等一批典型经验做法被《调查与研究》《湖南农业农村工作》等省级刊物予以采纳，</w:t>
      </w:r>
      <w:r>
        <w:rPr>
          <w:rStyle w:val="14"/>
          <w:rFonts w:hint="default" w:ascii="仿宋_GB2312" w:hAnsi="仿宋_GB2312" w:eastAsia="仿宋_GB2312" w:cs="仿宋_GB2312"/>
          <w:b w:val="0"/>
          <w:i w:val="0"/>
          <w:caps w:val="0"/>
          <w:color w:val="000000"/>
          <w:spacing w:val="0"/>
          <w:w w:val="100"/>
          <w:kern w:val="2"/>
          <w:sz w:val="32"/>
          <w:szCs w:val="32"/>
          <w:lang w:val="en" w:eastAsia="zh-CN" w:bidi="ar-SA"/>
        </w:rPr>
        <w:t>在世界竹藤通讯发表了领导署名文章《发展“以竹代塑”促进竹产业转型升级》</w:t>
      </w:r>
      <w:r>
        <w:rPr>
          <w:rFonts w:hint="eastAsia" w:ascii="仿宋_GB2312" w:hAnsi="仿宋_GB2312" w:eastAsia="仿宋_GB2312" w:cs="仿宋_GB2312"/>
          <w:sz w:val="32"/>
          <w:szCs w:val="32"/>
          <w:lang w:val="en-US" w:eastAsia="zh-CN"/>
        </w:rPr>
        <w:t>。</w:t>
      </w:r>
    </w:p>
    <w:p w14:paraId="3AC6CB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2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0"/>
          <w:sz w:val="31"/>
          <w:szCs w:val="31"/>
          <w:lang w:val="en-US" w:eastAsia="zh-CN" w:bidi="ar"/>
        </w:rPr>
        <w:t>2.办文办会全面规范。</w:t>
      </w:r>
      <w:r>
        <w:rPr>
          <w:rFonts w:hint="eastAsia" w:ascii="仿宋_GB2312" w:hAnsi="仿宋_GB2312" w:eastAsia="仿宋_GB2312" w:cs="仿宋_GB2312"/>
          <w:sz w:val="32"/>
          <w:szCs w:val="32"/>
          <w:lang w:val="en-US" w:eastAsia="zh-CN"/>
        </w:rPr>
        <w:t>优化公文流转，确保公文分类登记、运转审批、整理归档“零失误”。</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1363</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，发文1</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lang w:eastAsia="zh-CN"/>
        </w:rPr>
        <w:t>件，其中三类发文数42件。</w:t>
      </w:r>
      <w:r>
        <w:rPr>
          <w:rFonts w:hint="eastAsia" w:ascii="仿宋_GB2312" w:hAnsi="仿宋_GB2312" w:eastAsia="仿宋_GB2312" w:cs="仿宋_GB2312"/>
          <w:kern w:val="0"/>
          <w:sz w:val="31"/>
          <w:szCs w:val="31"/>
          <w:lang w:val="en-US" w:eastAsia="zh-CN" w:bidi="ar"/>
        </w:rPr>
        <w:t>强化会议管理，提高会议质量，</w:t>
      </w:r>
      <w:r>
        <w:rPr>
          <w:rFonts w:hint="default" w:ascii="仿宋_GB2312" w:hAnsi="仿宋_GB2312" w:eastAsia="仿宋_GB2312" w:cs="仿宋_GB2312"/>
          <w:kern w:val="0"/>
          <w:sz w:val="31"/>
          <w:szCs w:val="31"/>
          <w:lang w:val="en-US" w:eastAsia="zh-CN" w:bidi="ar"/>
        </w:rPr>
        <w:t>2024</w:t>
      </w:r>
      <w:r>
        <w:rPr>
          <w:rFonts w:hint="eastAsia" w:ascii="仿宋_GB2312" w:hAnsi="仿宋_GB2312" w:eastAsia="仿宋_GB2312" w:cs="仿宋_GB2312"/>
          <w:kern w:val="0"/>
          <w:sz w:val="31"/>
          <w:szCs w:val="31"/>
          <w:lang w:val="en-US" w:eastAsia="zh-CN" w:bidi="ar"/>
        </w:rPr>
        <w:t>年共承办县政府常务会议</w:t>
      </w:r>
      <w:r>
        <w:rPr>
          <w:rFonts w:hint="default" w:ascii="仿宋_GB2312" w:hAnsi="仿宋_GB2312" w:eastAsia="仿宋_GB2312" w:cs="仿宋_GB2312"/>
          <w:kern w:val="0"/>
          <w:sz w:val="31"/>
          <w:szCs w:val="31"/>
          <w:lang w:val="en-US" w:eastAsia="zh-CN" w:bidi="ar"/>
        </w:rPr>
        <w:t>35</w:t>
      </w:r>
      <w:r>
        <w:rPr>
          <w:rFonts w:hint="eastAsia" w:ascii="仿宋_GB2312" w:hAnsi="仿宋_GB2312" w:eastAsia="仿宋_GB2312" w:cs="仿宋_GB2312"/>
          <w:kern w:val="0"/>
          <w:sz w:val="31"/>
          <w:szCs w:val="31"/>
          <w:lang w:val="en-US" w:eastAsia="zh-CN" w:bidi="ar"/>
        </w:rPr>
        <w:t>场，县政府全体扩大会议</w:t>
      </w:r>
      <w:r>
        <w:rPr>
          <w:rFonts w:hint="default" w:ascii="仿宋_GB2312" w:hAnsi="仿宋_GB2312" w:eastAsia="仿宋_GB2312" w:cs="仿宋_GB2312"/>
          <w:kern w:val="0"/>
          <w:sz w:val="31"/>
          <w:szCs w:val="31"/>
          <w:lang w:val="en-US" w:eastAsia="zh-CN" w:bidi="ar"/>
        </w:rPr>
        <w:t>2</w:t>
      </w:r>
      <w:r>
        <w:rPr>
          <w:rFonts w:hint="eastAsia" w:ascii="仿宋_GB2312" w:hAnsi="仿宋_GB2312" w:eastAsia="仿宋_GB2312" w:cs="仿宋_GB2312"/>
          <w:kern w:val="0"/>
          <w:sz w:val="31"/>
          <w:szCs w:val="31"/>
          <w:lang w:val="en-US" w:eastAsia="zh-CN" w:bidi="ar"/>
        </w:rPr>
        <w:t>场，全县性工作会议</w:t>
      </w:r>
      <w:r>
        <w:rPr>
          <w:rFonts w:hint="default" w:ascii="仿宋_GB2312" w:hAnsi="仿宋_GB2312" w:eastAsia="仿宋_GB2312" w:cs="仿宋_GB2312"/>
          <w:kern w:val="0"/>
          <w:sz w:val="31"/>
          <w:szCs w:val="31"/>
          <w:lang w:val="en-US" w:eastAsia="zh-CN" w:bidi="ar"/>
        </w:rPr>
        <w:t>3</w:t>
      </w:r>
      <w:r>
        <w:rPr>
          <w:rFonts w:hint="eastAsia" w:ascii="仿宋_GB2312" w:hAnsi="仿宋_GB2312" w:eastAsia="仿宋_GB2312" w:cs="仿宋_GB2312"/>
          <w:kern w:val="0"/>
          <w:sz w:val="31"/>
          <w:szCs w:val="31"/>
          <w:lang w:val="en-US" w:eastAsia="zh-CN" w:bidi="ar"/>
        </w:rPr>
        <w:t>场，县长专题会议68场，</w:t>
      </w:r>
      <w:r>
        <w:rPr>
          <w:rFonts w:hint="eastAsia" w:ascii="仿宋" w:hAnsi="仿宋" w:eastAsia="仿宋" w:cs="仿宋"/>
          <w:b w:val="0"/>
          <w:bCs w:val="0"/>
          <w:snapToGrid w:val="0"/>
          <w:color w:val="000000"/>
          <w:kern w:val="0"/>
          <w:sz w:val="32"/>
          <w:szCs w:val="32"/>
          <w:lang w:val="en-US" w:eastAsia="zh-CN" w:bidi="ar-SA"/>
        </w:rPr>
        <w:t>组织和承办各类会议403场次，同比下降10.4%</w:t>
      </w:r>
      <w:r>
        <w:rPr>
          <w:rFonts w:hint="eastAsia" w:ascii="仿宋_GB2312" w:hAnsi="仿宋_GB2312" w:eastAsia="仿宋_GB2312" w:cs="仿宋_GB2312"/>
          <w:kern w:val="0"/>
          <w:sz w:val="31"/>
          <w:szCs w:val="31"/>
          <w:lang w:val="en-US" w:eastAsia="zh-CN" w:bidi="ar"/>
        </w:rPr>
        <w:t>。</w:t>
      </w:r>
    </w:p>
    <w:p w14:paraId="3C8889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2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0"/>
          <w:sz w:val="31"/>
          <w:szCs w:val="31"/>
          <w:lang w:val="en-US" w:eastAsia="zh-CN" w:bidi="ar"/>
        </w:rPr>
        <w:t>3.督查督办严实细致。</w:t>
      </w:r>
      <w:r>
        <w:rPr>
          <w:rFonts w:hint="eastAsia" w:ascii="仿宋_GB2312" w:hAnsi="仿宋_GB2312" w:eastAsia="仿宋_GB2312" w:cs="仿宋_GB2312"/>
          <w:kern w:val="0"/>
          <w:sz w:val="31"/>
          <w:szCs w:val="31"/>
          <w:lang w:val="en-US" w:eastAsia="zh-CN" w:bidi="ar"/>
        </w:rPr>
        <w:t>用好督查利剑，制定</w:t>
      </w:r>
      <w:r>
        <w:rPr>
          <w:rFonts w:hint="eastAsia" w:ascii="仿宋_GB2312" w:hAnsi="仿宋_GB2312" w:eastAsia="仿宋_GB2312" w:cs="仿宋_GB2312"/>
          <w:b w:val="0"/>
          <w:bCs w:val="0"/>
          <w:sz w:val="32"/>
          <w:szCs w:val="32"/>
          <w:lang w:val="en-US" w:eastAsia="zh-CN"/>
        </w:rPr>
        <w:t>《2024年绥宁县县级层面督查检查考核年度计划清单》，全面推行无扰督查系统。</w:t>
      </w:r>
      <w:r>
        <w:rPr>
          <w:rFonts w:hint="eastAsia" w:ascii="仿宋_GB2312" w:hAnsi="仿宋_GB2312" w:eastAsia="仿宋_GB2312" w:cs="仿宋_GB2312"/>
          <w:kern w:val="0"/>
          <w:sz w:val="31"/>
          <w:szCs w:val="31"/>
          <w:lang w:val="en-US" w:eastAsia="zh-CN" w:bidi="ar"/>
        </w:rPr>
        <w:t>通过专项督查、文件督办等方式，推动各项重大政策措施落到实处，</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sz w:val="32"/>
          <w:szCs w:val="32"/>
          <w:lang w:val="en-US" w:eastAsia="zh-CN"/>
        </w:rPr>
        <w:t>共督查8次，下发通报3期；2024年全年共接到市级督办件</w:t>
      </w:r>
      <w:r>
        <w:rPr>
          <w:rFonts w:hint="default" w:ascii="仿宋_GB2312" w:hAnsi="仿宋_GB2312" w:eastAsia="仿宋_GB2312" w:cs="仿宋_GB2312"/>
          <w:sz w:val="32"/>
          <w:szCs w:val="32"/>
          <w:lang w:val="en" w:eastAsia="zh-CN"/>
        </w:rPr>
        <w:t>19</w:t>
      </w:r>
      <w:r>
        <w:rPr>
          <w:rFonts w:hint="eastAsia" w:ascii="仿宋_GB2312" w:hAnsi="仿宋_GB2312" w:eastAsia="仿宋_GB2312" w:cs="仿宋_GB2312"/>
          <w:sz w:val="32"/>
          <w:szCs w:val="32"/>
          <w:lang w:val="en-US" w:eastAsia="zh-CN"/>
        </w:rPr>
        <w:t>份，我办根据内容进行督办督导，对绥宁、洞口两县山林纠纷、“三重点”交办问题、审计整改问题等48个事项以督办函的形式进行督办督导，</w:t>
      </w:r>
      <w:r>
        <w:rPr>
          <w:rStyle w:val="14"/>
          <w:rFonts w:hint="eastAsia" w:ascii="仿宋_GB2312" w:hAnsi="仿宋_GB2312" w:eastAsia="仿宋_GB2312" w:cs="仿宋_GB2312"/>
          <w:b w:val="0"/>
          <w:i w:val="0"/>
          <w:caps w:val="0"/>
          <w:spacing w:val="0"/>
          <w:w w:val="100"/>
          <w:kern w:val="2"/>
          <w:sz w:val="32"/>
          <w:szCs w:val="32"/>
          <w:lang w:val="en-US" w:eastAsia="zh-CN" w:bidi="ar-SA"/>
        </w:rPr>
        <w:t>办结率和反馈率达100%。</w:t>
      </w:r>
      <w:r>
        <w:rPr>
          <w:rFonts w:hint="eastAsia" w:ascii="仿宋_GB2312" w:hAnsi="仿宋_GB2312" w:eastAsia="仿宋_GB2312" w:cs="仿宋_GB2312"/>
          <w:b w:val="0"/>
          <w:bCs w:val="0"/>
          <w:sz w:val="32"/>
          <w:szCs w:val="32"/>
          <w:lang w:val="en-US" w:eastAsia="zh-CN"/>
        </w:rPr>
        <w:t>实施“清单制”管理，</w:t>
      </w:r>
      <w:r>
        <w:rPr>
          <w:rFonts w:hint="eastAsia" w:ascii="仿宋_GB2312" w:hAnsi="仿宋_GB2312" w:eastAsia="仿宋_GB2312" w:cs="仿宋_GB2312"/>
          <w:kern w:val="0"/>
          <w:sz w:val="32"/>
          <w:szCs w:val="32"/>
          <w:lang w:val="en-US" w:eastAsia="zh-CN" w:bidi="ar"/>
        </w:rPr>
        <w:t>对县政府议定事项、县领导批示等系统性、阶段性重要任务建立登记台账，根据属地和职责确定承办单位和办理时限，由办公</w:t>
      </w:r>
      <w:r>
        <w:rPr>
          <w:rFonts w:hint="eastAsia" w:ascii="仿宋_GB2312" w:hAnsi="仿宋_GB2312" w:eastAsia="仿宋_GB2312" w:cs="仿宋_GB2312"/>
          <w:kern w:val="0"/>
          <w:sz w:val="31"/>
          <w:szCs w:val="31"/>
          <w:lang w:val="en-US" w:eastAsia="zh-CN" w:bidi="ar"/>
        </w:rPr>
        <w:t>室转交指定部门办理，督查室定期对照清单抓“验收”，有效加强各项工作落实的闭环管理，全年共下发交办件</w:t>
      </w:r>
      <w:r>
        <w:rPr>
          <w:rFonts w:hint="default" w:ascii="仿宋_GB2312" w:hAnsi="仿宋_GB2312" w:eastAsia="仿宋_GB2312" w:cs="仿宋_GB2312"/>
          <w:kern w:val="0"/>
          <w:sz w:val="31"/>
          <w:szCs w:val="31"/>
          <w:lang w:val="en-US" w:eastAsia="zh-CN" w:bidi="ar"/>
        </w:rPr>
        <w:t>14</w:t>
      </w:r>
      <w:r>
        <w:rPr>
          <w:rFonts w:hint="eastAsia" w:ascii="仿宋_GB2312" w:hAnsi="仿宋_GB2312" w:eastAsia="仿宋_GB2312" w:cs="仿宋_GB2312"/>
          <w:kern w:val="0"/>
          <w:sz w:val="31"/>
          <w:szCs w:val="31"/>
          <w:lang w:val="en-US" w:eastAsia="zh-CN" w:bidi="ar"/>
        </w:rPr>
        <w:t>件，销号</w:t>
      </w:r>
      <w:r>
        <w:rPr>
          <w:rFonts w:hint="default" w:ascii="仿宋_GB2312" w:hAnsi="仿宋_GB2312" w:eastAsia="仿宋_GB2312" w:cs="仿宋_GB2312"/>
          <w:kern w:val="0"/>
          <w:sz w:val="31"/>
          <w:szCs w:val="31"/>
          <w:lang w:val="en-US" w:eastAsia="zh-CN" w:bidi="ar"/>
        </w:rPr>
        <w:t>13</w:t>
      </w:r>
      <w:r>
        <w:rPr>
          <w:rFonts w:hint="eastAsia" w:ascii="仿宋_GB2312" w:hAnsi="仿宋_GB2312" w:eastAsia="仿宋_GB2312" w:cs="仿宋_GB2312"/>
          <w:kern w:val="0"/>
          <w:sz w:val="31"/>
          <w:szCs w:val="31"/>
          <w:lang w:val="en-US" w:eastAsia="zh-CN" w:bidi="ar"/>
        </w:rPr>
        <w:t>件，</w:t>
      </w:r>
      <w:r>
        <w:rPr>
          <w:rFonts w:hint="eastAsia" w:ascii="仿宋_GB2312" w:hAnsi="仿宋_GB2312" w:eastAsia="仿宋_GB2312" w:cs="仿宋_GB2312"/>
          <w:spacing w:val="-6"/>
          <w:sz w:val="32"/>
          <w:szCs w:val="32"/>
          <w:lang w:val="en-US" w:eastAsia="zh-CN"/>
        </w:rPr>
        <w:t>持续跟踪1件。</w:t>
      </w:r>
    </w:p>
    <w:p w14:paraId="11FBE4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22" w:firstLineChars="200"/>
        <w:jc w:val="left"/>
        <w:textAlignment w:val="auto"/>
        <w:rPr>
          <w:rFonts w:hint="eastAsia" w:ascii="仿宋_GB2312" w:hAnsi="仿宋_GB2312" w:eastAsia="仿宋_GB2312" w:cs="仿宋_GB2312"/>
          <w:spacing w:val="-6"/>
          <w:kern w:val="0"/>
          <w:sz w:val="31"/>
          <w:szCs w:val="31"/>
          <w:lang w:val="en-US" w:eastAsia="zh-CN" w:bidi="ar"/>
        </w:rPr>
      </w:pPr>
      <w:r>
        <w:rPr>
          <w:rFonts w:hint="eastAsia" w:ascii="仿宋_GB2312" w:hAnsi="仿宋_GB2312" w:eastAsia="仿宋_GB2312" w:cs="仿宋_GB2312"/>
          <w:b/>
          <w:bCs/>
          <w:kern w:val="0"/>
          <w:sz w:val="31"/>
          <w:szCs w:val="31"/>
          <w:lang w:val="en-US" w:eastAsia="zh-CN" w:bidi="ar"/>
        </w:rPr>
        <w:t>4.建议提案高质高效。</w:t>
      </w:r>
      <w:r>
        <w:rPr>
          <w:rFonts w:hint="eastAsia" w:ascii="仿宋_GB2312" w:hAnsi="仿宋_GB2312" w:eastAsia="仿宋_GB2312" w:cs="仿宋_GB2312"/>
          <w:kern w:val="0"/>
          <w:sz w:val="32"/>
          <w:szCs w:val="32"/>
          <w:lang w:val="en-US" w:eastAsia="zh-CN" w:bidi="ar"/>
        </w:rPr>
        <w:t>提请第11次常务会对建议提案办理任务清单进行专题研究，</w:t>
      </w:r>
      <w:r>
        <w:rPr>
          <w:rFonts w:hint="eastAsia" w:ascii="仿宋_GB2312" w:hAnsi="仿宋_GB2312" w:eastAsia="仿宋_GB2312" w:cs="仿宋_GB2312"/>
          <w:kern w:val="0"/>
          <w:sz w:val="31"/>
          <w:szCs w:val="31"/>
          <w:lang w:val="en-US" w:eastAsia="zh-CN" w:bidi="ar"/>
        </w:rPr>
        <w:t>需政府系统承办的人大政协建议提案共</w:t>
      </w:r>
      <w:r>
        <w:rPr>
          <w:rFonts w:hint="default" w:ascii="仿宋_GB2312" w:hAnsi="仿宋_GB2312" w:eastAsia="仿宋_GB2312" w:cs="仿宋_GB2312"/>
          <w:kern w:val="0"/>
          <w:sz w:val="31"/>
          <w:szCs w:val="31"/>
          <w:lang w:val="en-US" w:eastAsia="zh-CN" w:bidi="ar"/>
        </w:rPr>
        <w:t>142</w:t>
      </w:r>
      <w:r>
        <w:rPr>
          <w:rFonts w:hint="eastAsia" w:ascii="仿宋_GB2312" w:hAnsi="仿宋_GB2312" w:eastAsia="仿宋_GB2312" w:cs="仿宋_GB2312"/>
          <w:kern w:val="0"/>
          <w:sz w:val="31"/>
          <w:szCs w:val="31"/>
          <w:lang w:val="en-US" w:eastAsia="zh-CN" w:bidi="ar"/>
        </w:rPr>
        <w:t>件，</w:t>
      </w:r>
      <w:r>
        <w:rPr>
          <w:rFonts w:hint="eastAsia" w:ascii="仿宋_GB2312" w:hAnsi="仿宋_GB2312" w:eastAsia="仿宋_GB2312" w:cs="仿宋_GB2312"/>
          <w:kern w:val="0"/>
          <w:sz w:val="32"/>
          <w:szCs w:val="32"/>
          <w:lang w:val="en-US" w:eastAsia="zh-CN" w:bidi="ar"/>
        </w:rPr>
        <w:t>其中人大代表建议7</w:t>
      </w:r>
      <w:r>
        <w:rPr>
          <w:rFonts w:hint="default"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val="en-US" w:eastAsia="zh-CN" w:bidi="ar"/>
        </w:rPr>
        <w:t>件，政协提案66件；</w:t>
      </w:r>
      <w:r>
        <w:rPr>
          <w:rFonts w:hint="default" w:ascii="仿宋_GB2312" w:hAnsi="仿宋_GB2312" w:eastAsia="仿宋_GB2312" w:cs="仿宋_GB2312"/>
          <w:kern w:val="0"/>
          <w:sz w:val="32"/>
          <w:szCs w:val="32"/>
          <w:lang w:val="en-US" w:eastAsia="zh-CN" w:bidi="ar"/>
        </w:rPr>
        <w:t>全</w:t>
      </w:r>
      <w:r>
        <w:rPr>
          <w:rFonts w:hint="eastAsia" w:ascii="仿宋_GB2312" w:hAnsi="仿宋_GB2312" w:eastAsia="仿宋_GB2312" w:cs="仿宋_GB2312"/>
          <w:kern w:val="0"/>
          <w:sz w:val="32"/>
          <w:szCs w:val="32"/>
          <w:lang w:val="en-US" w:eastAsia="zh-CN" w:bidi="ar"/>
        </w:rPr>
        <w:t>年协办市人大代表</w:t>
      </w:r>
      <w:r>
        <w:rPr>
          <w:rFonts w:hint="eastAsia" w:ascii="仿宋_GB2312" w:hAnsi="仿宋_GB2312" w:eastAsia="仿宋_GB2312" w:cs="仿宋_GB2312"/>
          <w:kern w:val="0"/>
          <w:sz w:val="31"/>
          <w:szCs w:val="31"/>
          <w:lang w:val="en-US" w:eastAsia="zh-CN" w:bidi="ar"/>
        </w:rPr>
        <w:t>建议7件、市政协</w:t>
      </w:r>
      <w:r>
        <w:rPr>
          <w:rFonts w:hint="eastAsia" w:ascii="仿宋_GB2312" w:hAnsi="仿宋_GB2312" w:eastAsia="仿宋_GB2312" w:cs="仿宋_GB2312"/>
          <w:spacing w:val="-6"/>
          <w:kern w:val="0"/>
          <w:sz w:val="31"/>
          <w:szCs w:val="31"/>
          <w:lang w:val="en-US" w:eastAsia="zh-CN" w:bidi="ar"/>
        </w:rPr>
        <w:t>提案1件</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kern w:val="0"/>
          <w:sz w:val="31"/>
          <w:szCs w:val="31"/>
          <w:lang w:val="en-US" w:eastAsia="zh-CN" w:bidi="ar"/>
        </w:rPr>
        <w:t>均按时限要求进行答复，确保建议提案办理工作落地见效。</w:t>
      </w:r>
    </w:p>
    <w:p w14:paraId="70F30D9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left"/>
        <w:textAlignment w:val="auto"/>
        <w:rPr>
          <w:rFonts w:hint="eastAsia" w:ascii="楷体" w:hAnsi="楷体" w:eastAsia="楷体" w:cs="楷体"/>
          <w:b/>
          <w:bCs/>
          <w:sz w:val="32"/>
          <w:szCs w:val="32"/>
          <w:u w:val="none"/>
          <w:lang w:val="en-US" w:eastAsia="zh-CN"/>
        </w:rPr>
      </w:pPr>
      <w:r>
        <w:rPr>
          <w:rFonts w:hint="eastAsia" w:ascii="楷体" w:hAnsi="楷体" w:eastAsia="楷体" w:cs="楷体"/>
          <w:b/>
          <w:bCs/>
          <w:sz w:val="32"/>
          <w:szCs w:val="32"/>
        </w:rPr>
        <w:t>成绩二：</w:t>
      </w:r>
      <w:r>
        <w:rPr>
          <w:rFonts w:hint="eastAsia" w:ascii="楷体" w:hAnsi="楷体" w:eastAsia="楷体" w:cs="楷体"/>
          <w:b/>
          <w:bCs/>
          <w:sz w:val="32"/>
          <w:szCs w:val="32"/>
          <w:u w:val="none"/>
          <w:lang w:val="en-US" w:eastAsia="zh-CN"/>
        </w:rPr>
        <w:t>事务服务严谨细致。</w:t>
      </w:r>
    </w:p>
    <w:p w14:paraId="1533382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22"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1"/>
          <w:szCs w:val="31"/>
          <w:lang w:val="en-US" w:eastAsia="zh-CN" w:bidi="ar"/>
        </w:rPr>
        <w:t>1.应急值守有效规范。</w:t>
      </w:r>
      <w:r>
        <w:rPr>
          <w:rFonts w:hint="eastAsia" w:ascii="仿宋_GB2312" w:hAnsi="仿宋_GB2312" w:eastAsia="仿宋_GB2312" w:cs="仿宋_GB2312"/>
          <w:kern w:val="0"/>
          <w:sz w:val="32"/>
          <w:szCs w:val="32"/>
          <w:lang w:val="en-US" w:eastAsia="zh-CN" w:bidi="ar"/>
        </w:rPr>
        <w:t>严格执行24小时值班、领导带班三级值班制度，印发《值班工作手册》，规范在岗值班流程、值班日志记录等事项。实行值班值守抽查机制，通过电话检查、现场暗访等方式对各乡镇值班工作抽查，对检查发现的值班在岗履职、值班制度执行、风险隐患排查等方面问题及时通报提醒，</w:t>
      </w:r>
      <w:r>
        <w:rPr>
          <w:rFonts w:hint="default" w:ascii="仿宋_GB2312" w:hAnsi="仿宋_GB2312" w:eastAsia="仿宋_GB2312" w:cs="仿宋_GB2312"/>
          <w:kern w:val="0"/>
          <w:sz w:val="32"/>
          <w:szCs w:val="32"/>
          <w:lang w:val="en-US" w:eastAsia="zh-CN" w:bidi="ar"/>
        </w:rPr>
        <w:t>全</w:t>
      </w:r>
      <w:r>
        <w:rPr>
          <w:rFonts w:hint="eastAsia" w:ascii="仿宋_GB2312" w:hAnsi="仿宋_GB2312" w:eastAsia="仿宋_GB2312" w:cs="仿宋_GB2312"/>
          <w:kern w:val="0"/>
          <w:sz w:val="32"/>
          <w:szCs w:val="32"/>
          <w:lang w:val="en-US" w:eastAsia="zh-CN" w:bidi="ar"/>
        </w:rPr>
        <w:t>年对17个乡镇进行</w:t>
      </w:r>
      <w:r>
        <w:rPr>
          <w:rFonts w:hint="default" w:ascii="仿宋_GB2312" w:hAnsi="仿宋_GB2312"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val="en-US" w:eastAsia="zh-CN" w:bidi="ar"/>
        </w:rPr>
        <w:t>轮全覆盖抽查，进一步提升了值班值守工作规范化水平。</w:t>
      </w:r>
    </w:p>
    <w:p w14:paraId="648A814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0"/>
          <w:sz w:val="31"/>
          <w:szCs w:val="31"/>
          <w:lang w:val="en-US" w:eastAsia="zh-CN" w:bidi="ar"/>
        </w:rPr>
        <w:t>后勤保障井然有序。</w:t>
      </w:r>
      <w:r>
        <w:rPr>
          <w:rFonts w:hint="eastAsia" w:ascii="仿宋_GB2312" w:hAnsi="仿宋_GB2312" w:eastAsia="仿宋_GB2312" w:cs="仿宋_GB2312"/>
          <w:kern w:val="0"/>
          <w:sz w:val="32"/>
          <w:szCs w:val="32"/>
          <w:lang w:val="en-US" w:eastAsia="zh-CN" w:bidi="ar"/>
        </w:rPr>
        <w:t>加强用印管理，严格审批手续。加强财务、采购监督管理，严格财务会审制度，认真做好各项财务报表、报告，开展了国有资产清查及盘活工作。扎实开展人事、绩效考核、公益性岗位招聘等日常工作，完善人事档案资料300余份</w:t>
      </w:r>
      <w:r>
        <w:rPr>
          <w:rFonts w:hint="default" w:ascii="仿宋_GB2312" w:hAnsi="仿宋_GB2312" w:eastAsia="仿宋_GB2312" w:cs="仿宋_GB2312"/>
          <w:kern w:val="0"/>
          <w:sz w:val="32"/>
          <w:szCs w:val="32"/>
          <w:lang w:val="en-US" w:eastAsia="zh-CN" w:bidi="ar"/>
        </w:rPr>
        <w:t>。强化责任担当，</w:t>
      </w:r>
      <w:r>
        <w:rPr>
          <w:rFonts w:hint="eastAsia" w:ascii="仿宋" w:hAnsi="仿宋" w:eastAsia="仿宋" w:cs="仿宋"/>
          <w:sz w:val="32"/>
          <w:szCs w:val="32"/>
        </w:rPr>
        <w:t>8月底</w:t>
      </w:r>
      <w:r>
        <w:rPr>
          <w:rFonts w:hint="default" w:ascii="仿宋" w:hAnsi="仿宋" w:eastAsia="仿宋" w:cs="仿宋"/>
          <w:sz w:val="32"/>
          <w:szCs w:val="32"/>
          <w:lang w:val="en-US"/>
        </w:rPr>
        <w:t>牵头</w:t>
      </w:r>
      <w:r>
        <w:rPr>
          <w:rFonts w:hint="eastAsia" w:ascii="仿宋" w:hAnsi="仿宋" w:eastAsia="仿宋" w:cs="仿宋"/>
          <w:sz w:val="32"/>
          <w:szCs w:val="32"/>
        </w:rPr>
        <w:t>成功举办了我县首届村厨美食大赛，评选出一批以竹元素为主</w:t>
      </w:r>
      <w:r>
        <w:rPr>
          <w:rFonts w:hint="eastAsia" w:ascii="仿宋" w:hAnsi="仿宋" w:eastAsia="仿宋" w:cs="仿宋"/>
          <w:sz w:val="32"/>
          <w:szCs w:val="32"/>
          <w:lang w:val="en-US" w:eastAsia="zh-CN"/>
        </w:rPr>
        <w:t>的</w:t>
      </w:r>
      <w:r>
        <w:rPr>
          <w:rFonts w:hint="eastAsia" w:ascii="仿宋" w:hAnsi="仿宋" w:eastAsia="仿宋" w:cs="仿宋"/>
          <w:sz w:val="32"/>
          <w:szCs w:val="32"/>
        </w:rPr>
        <w:t>美食菜品，向各大酒店、农庄、民宿、宾馆推介</w:t>
      </w:r>
      <w:r>
        <w:rPr>
          <w:rFonts w:hint="eastAsia" w:ascii="仿宋_GB2312" w:hAnsi="仿宋_GB2312" w:eastAsia="仿宋_GB2312" w:cs="仿宋_GB2312"/>
          <w:kern w:val="0"/>
          <w:sz w:val="32"/>
          <w:szCs w:val="32"/>
          <w:lang w:val="en-US" w:eastAsia="zh-CN" w:bidi="ar"/>
        </w:rPr>
        <w:t>。</w:t>
      </w:r>
    </w:p>
    <w:p w14:paraId="283A01A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3.竹产业高质量发展加速推进。</w:t>
      </w:r>
      <w:r>
        <w:rPr>
          <w:rFonts w:hint="eastAsia" w:ascii="仿宋_GB2312" w:hAnsi="仿宋_GB2312" w:eastAsia="仿宋_GB2312" w:cs="仿宋_GB2312"/>
          <w:b w:val="0"/>
          <w:bCs w:val="0"/>
          <w:color w:val="000000"/>
          <w:sz w:val="32"/>
          <w:szCs w:val="32"/>
          <w:u w:val="none"/>
          <w:lang w:val="en-US" w:eastAsia="zh-CN"/>
        </w:rPr>
        <w:t>先后出台《落实湖南省人民政府办公厅&lt;关于加快竹产业高质量发展的意见&gt;推进竹产业发展的工作责任清单》《关于支持楠竹产业发展的八条措施》，进一步规划布局2024年竹产业主要工作。全面开展资源培育，新增竹制品项目26个；新建楠竹加工厂20个，组建合作社23个</w:t>
      </w:r>
      <w:r>
        <w:rPr>
          <w:rFonts w:hint="eastAsia" w:ascii="仿宋" w:hAnsi="仿宋" w:eastAsia="仿宋" w:cs="仿宋"/>
          <w:sz w:val="32"/>
          <w:szCs w:val="32"/>
        </w:rPr>
        <w:t>，</w:t>
      </w:r>
      <w:r>
        <w:rPr>
          <w:rFonts w:hint="eastAsia" w:ascii="仿宋" w:hAnsi="仿宋" w:eastAsia="仿宋" w:cs="仿宋"/>
          <w:sz w:val="32"/>
          <w:szCs w:val="32"/>
          <w:lang w:eastAsia="zh-CN"/>
        </w:rPr>
        <w:t>成功举办全省竹产业高质量发展现场会，推动</w:t>
      </w:r>
      <w:r>
        <w:rPr>
          <w:rFonts w:hint="eastAsia" w:ascii="仿宋" w:hAnsi="仿宋" w:eastAsia="仿宋" w:cs="仿宋"/>
          <w:sz w:val="32"/>
          <w:szCs w:val="32"/>
        </w:rPr>
        <w:t>楠竹产业驶入发展快车道</w:t>
      </w:r>
      <w:r>
        <w:rPr>
          <w:rFonts w:hint="eastAsia" w:ascii="仿宋" w:hAnsi="仿宋" w:eastAsia="仿宋" w:cs="仿宋"/>
          <w:sz w:val="32"/>
          <w:szCs w:val="32"/>
          <w:lang w:eastAsia="zh-CN"/>
        </w:rPr>
        <w:t>。</w:t>
      </w:r>
      <w:r>
        <w:rPr>
          <w:rFonts w:hint="eastAsia" w:ascii="仿宋" w:hAnsi="仿宋" w:eastAsia="仿宋" w:cs="仿宋"/>
          <w:sz w:val="32"/>
          <w:szCs w:val="32"/>
        </w:rPr>
        <w:t>在袁家团绿色科技产业园规划了全竹展览馆，计划2025年</w:t>
      </w:r>
      <w:r>
        <w:rPr>
          <w:rFonts w:hint="eastAsia" w:ascii="仿宋" w:hAnsi="仿宋" w:eastAsia="仿宋" w:cs="仿宋"/>
          <w:sz w:val="32"/>
          <w:szCs w:val="32"/>
          <w:lang w:val="en-US" w:eastAsia="zh-CN"/>
        </w:rPr>
        <w:t>年</w:t>
      </w:r>
      <w:r>
        <w:rPr>
          <w:rFonts w:hint="eastAsia" w:ascii="仿宋" w:hAnsi="仿宋" w:eastAsia="仿宋" w:cs="仿宋"/>
          <w:sz w:val="32"/>
          <w:szCs w:val="32"/>
        </w:rPr>
        <w:t>底建成使用；完成了赤木滩竹韵科普基地建设，得到了省林业局、省林科院的高度认可；瓦屋塘镇竹业特色小镇建设初具规模，有望打造成省级特色小镇。</w:t>
      </w:r>
    </w:p>
    <w:p w14:paraId="4250596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textAlignment w:val="auto"/>
        <w:rPr>
          <w:rFonts w:hint="eastAsia" w:ascii="仿宋_GB2312" w:hAnsi="仿宋_GB2312" w:eastAsia="仿宋_GB2312" w:cs="仿宋_GB2312"/>
          <w:b w:val="0"/>
          <w:bCs w:val="0"/>
          <w:i w:val="0"/>
          <w:iCs w:val="0"/>
          <w:caps w:val="0"/>
          <w:smallCaps w:val="0"/>
          <w:strike w:val="0"/>
          <w:dstrike w:val="0"/>
          <w:vanish w:val="0"/>
          <w:color w:val="auto"/>
          <w:spacing w:val="0"/>
          <w:kern w:val="2"/>
          <w:sz w:val="32"/>
          <w:szCs w:val="32"/>
          <w:shd w:val="clear" w:color="auto" w:fill="auto"/>
          <w:rtl w:val="0"/>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tl w:val="0"/>
          <w:lang w:val="en-US" w:eastAsia="zh-CN"/>
        </w:rPr>
        <w:t>金融生态环境建设全力推进。</w:t>
      </w:r>
      <w:r>
        <w:rPr>
          <w:rFonts w:hint="eastAsia" w:ascii="仿宋_GB2312" w:hAnsi="仿宋_GB2312" w:eastAsia="仿宋_GB2312" w:cs="仿宋_GB2312"/>
          <w:b w:val="0"/>
          <w:bCs w:val="0"/>
          <w:color w:val="000000"/>
          <w:kern w:val="2"/>
          <w:sz w:val="32"/>
          <w:szCs w:val="32"/>
          <w:u w:val="none"/>
          <w:rtl w:val="0"/>
          <w:lang w:val="en-US" w:eastAsia="zh-CN" w:bidi="ar-SA"/>
        </w:rPr>
        <w:t>推进金芙蓉跃升行动，预计12月底广江生物公司在湖南股交所挂牌成功，完成2024年省上市后备企业申报7家，选定2024年市上市后备企业备选名单13家。金融整体运行情况良好，</w:t>
      </w:r>
      <w:r>
        <w:rPr>
          <w:rFonts w:hint="eastAsia" w:ascii="仿宋_GB2312" w:hAnsi="仿宋_GB2312" w:eastAsia="仿宋_GB2312" w:cs="仿宋_GB2312"/>
          <w:b w:val="0"/>
          <w:bCs w:val="0"/>
          <w:color w:val="000000"/>
          <w:kern w:val="2"/>
          <w:sz w:val="32"/>
          <w:szCs w:val="32"/>
          <w:u w:val="none"/>
          <w:lang w:val="en-US" w:eastAsia="zh-CN" w:bidi="ar-SA"/>
        </w:rPr>
        <w:t>制定完善《绥宁县防范化解中小金融机构风险工作方案》，</w:t>
      </w:r>
      <w:r>
        <w:rPr>
          <w:rFonts w:hint="eastAsia" w:ascii="仿宋_GB2312" w:hAnsi="仿宋_GB2312" w:eastAsia="仿宋_GB2312" w:cs="仿宋_GB2312"/>
          <w:b w:val="0"/>
          <w:bCs w:val="0"/>
          <w:i w:val="0"/>
          <w:iCs w:val="0"/>
          <w:caps w:val="0"/>
          <w:smallCaps w:val="0"/>
          <w:strike w:val="0"/>
          <w:dstrike w:val="0"/>
          <w:vanish w:val="0"/>
          <w:color w:val="auto"/>
          <w:spacing w:val="0"/>
          <w:kern w:val="2"/>
          <w:sz w:val="32"/>
          <w:szCs w:val="32"/>
          <w:shd w:val="clear" w:color="auto" w:fill="auto"/>
          <w:rtl w:val="0"/>
          <w:lang w:val="en-US" w:eastAsia="zh-CN"/>
        </w:rPr>
        <w:t>截至12月初，全县金融机构各项存款余额191.78亿元，</w:t>
      </w:r>
      <w:r>
        <w:rPr>
          <w:rFonts w:hint="eastAsia" w:ascii="仿宋_GB2312" w:hAnsi="仿宋_GB2312" w:eastAsia="仿宋_GB2312" w:cs="仿宋_GB2312"/>
          <w:bCs/>
          <w:color w:val="auto"/>
          <w:sz w:val="32"/>
          <w:szCs w:val="32"/>
          <w:lang w:val="en-US" w:eastAsia="zh-CN"/>
        </w:rPr>
        <w:t>同比增长11.6%，增幅全市排第1</w:t>
      </w:r>
      <w:r>
        <w:rPr>
          <w:rFonts w:hint="eastAsia" w:ascii="仿宋_GB2312" w:hAnsi="仿宋_GB2312" w:eastAsia="仿宋_GB2312" w:cs="仿宋_GB2312"/>
          <w:b w:val="0"/>
          <w:bCs w:val="0"/>
          <w:i w:val="0"/>
          <w:iCs w:val="0"/>
          <w:caps w:val="0"/>
          <w:smallCaps w:val="0"/>
          <w:strike w:val="0"/>
          <w:dstrike w:val="0"/>
          <w:vanish w:val="0"/>
          <w:color w:val="auto"/>
          <w:spacing w:val="0"/>
          <w:kern w:val="2"/>
          <w:sz w:val="32"/>
          <w:szCs w:val="32"/>
          <w:shd w:val="clear" w:color="auto" w:fill="auto"/>
          <w:rtl w:val="0"/>
          <w:lang w:val="en-US" w:eastAsia="zh-CN"/>
        </w:rPr>
        <w:t>；贷款余额91.93亿元，</w:t>
      </w:r>
      <w:r>
        <w:rPr>
          <w:rFonts w:hint="eastAsia" w:ascii="仿宋_GB2312" w:hAnsi="仿宋_GB2312" w:eastAsia="仿宋_GB2312" w:cs="仿宋_GB2312"/>
          <w:bCs/>
          <w:color w:val="auto"/>
          <w:sz w:val="32"/>
          <w:szCs w:val="32"/>
          <w:lang w:val="en-US" w:eastAsia="zh-CN"/>
        </w:rPr>
        <w:t>同比增长12.02%，增幅全市排第2</w:t>
      </w:r>
      <w:r>
        <w:rPr>
          <w:rFonts w:hint="eastAsia" w:ascii="仿宋_GB2312" w:hAnsi="仿宋_GB2312" w:eastAsia="仿宋_GB2312" w:cs="仿宋_GB2312"/>
          <w:b w:val="0"/>
          <w:bCs w:val="0"/>
          <w:i w:val="0"/>
          <w:iCs w:val="0"/>
          <w:caps w:val="0"/>
          <w:smallCaps w:val="0"/>
          <w:strike w:val="0"/>
          <w:dstrike w:val="0"/>
          <w:vanish w:val="0"/>
          <w:color w:val="auto"/>
          <w:spacing w:val="0"/>
          <w:kern w:val="2"/>
          <w:sz w:val="32"/>
          <w:szCs w:val="32"/>
          <w:shd w:val="clear" w:color="auto" w:fill="auto"/>
          <w:rtl w:val="0"/>
          <w:lang w:val="en-US" w:eastAsia="zh-CN"/>
        </w:rPr>
        <w:t>；存贷比为47.93%，较年初下降0.71个百分点，增幅全市排名第7。</w:t>
      </w:r>
    </w:p>
    <w:p w14:paraId="6DBC88B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textAlignment w:val="auto"/>
        <w:rPr>
          <w:rFonts w:hint="eastAsia" w:ascii="楷体" w:hAnsi="楷体" w:eastAsia="楷体" w:cs="楷体"/>
          <w:b/>
          <w:bCs/>
          <w:sz w:val="32"/>
          <w:szCs w:val="32"/>
          <w:u w:val="none"/>
          <w:lang w:val="en-US" w:eastAsia="zh-CN"/>
        </w:rPr>
      </w:pPr>
      <w:r>
        <w:rPr>
          <w:rFonts w:hint="eastAsia" w:ascii="楷体" w:hAnsi="楷体" w:eastAsia="楷体" w:cs="楷体"/>
          <w:b/>
          <w:bCs/>
          <w:sz w:val="32"/>
          <w:szCs w:val="32"/>
          <w:shd w:val="clear" w:color="auto" w:fill="FFFFFF"/>
        </w:rPr>
        <w:t>成绩三：</w:t>
      </w:r>
      <w:r>
        <w:rPr>
          <w:rFonts w:hint="eastAsia" w:ascii="楷体" w:hAnsi="楷体" w:eastAsia="楷体" w:cs="楷体"/>
          <w:b/>
          <w:bCs/>
          <w:sz w:val="32"/>
          <w:szCs w:val="32"/>
          <w:u w:val="none"/>
          <w:lang w:val="en-US" w:eastAsia="zh-CN"/>
        </w:rPr>
        <w:t>自身建设全面加强。</w:t>
      </w:r>
    </w:p>
    <w:p w14:paraId="5C005AF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rightChars="0" w:firstLine="643" w:firstLineChars="200"/>
        <w:textAlignment w:val="auto"/>
        <w:rPr>
          <w:rFonts w:hint="eastAsia" w:ascii="仿宋_GB2312" w:hAnsi="仿宋_GB2312" w:eastAsia="仿宋_GB2312" w:cs="仿宋_GB2312"/>
          <w:kern w:val="0"/>
          <w:sz w:val="31"/>
          <w:szCs w:val="31"/>
          <w:lang w:val="en-US" w:eastAsia="zh-CN" w:bidi="ar"/>
        </w:rPr>
      </w:pPr>
      <w:r>
        <w:rPr>
          <w:rFonts w:hint="eastAsia" w:ascii="楷体" w:hAnsi="楷体" w:eastAsia="楷体" w:cs="楷体"/>
          <w:b/>
          <w:bCs/>
          <w:sz w:val="32"/>
          <w:szCs w:val="32"/>
          <w:u w:val="none"/>
          <w:lang w:val="en-US" w:eastAsia="zh-CN"/>
        </w:rPr>
        <w:t>1.</w:t>
      </w:r>
      <w:r>
        <w:rPr>
          <w:rFonts w:hint="eastAsia" w:ascii="仿宋_GB2312" w:hAnsi="仿宋_GB2312" w:eastAsia="仿宋_GB2312" w:cs="仿宋_GB2312"/>
          <w:b/>
          <w:bCs/>
          <w:sz w:val="32"/>
          <w:szCs w:val="32"/>
          <w:lang w:val="en-US" w:eastAsia="zh-CN"/>
        </w:rPr>
        <w:t>突出政治建设。</w:t>
      </w:r>
      <w:r>
        <w:rPr>
          <w:rFonts w:hint="eastAsia" w:ascii="仿宋_GB2312" w:hAnsi="仿宋_GB2312" w:eastAsia="仿宋_GB2312" w:cs="仿宋_GB2312"/>
          <w:kern w:val="0"/>
          <w:sz w:val="32"/>
          <w:szCs w:val="32"/>
          <w:lang w:val="en-US" w:eastAsia="zh-CN" w:bidi="ar"/>
        </w:rPr>
        <w:t>依托理论学习中心组、党总支、党支部、党员个人“四级联动”学习机制，开展理论学习11次，组织观看警示教育片5次，保密学习教育1次，引导党员干部不断提高服务大局的能力；</w:t>
      </w:r>
      <w:r>
        <w:rPr>
          <w:rFonts w:hint="eastAsia" w:ascii="仿宋_GB2312" w:hAnsi="仿宋_GB2312" w:eastAsia="仿宋_GB2312" w:cs="仿宋_GB2312"/>
          <w:kern w:val="0"/>
          <w:sz w:val="31"/>
          <w:szCs w:val="31"/>
          <w:lang w:val="en-US" w:eastAsia="zh-CN" w:bidi="ar"/>
        </w:rPr>
        <w:t>积极推动民族团结进步创建工作与党建工作相融共促，创新举办铸牢中华民族共同体意识演讲比赛，带头参与苗族四月八姑娘节相关组织工作，深入基层开展服务乡村振兴、进社区为各族群众办实事等志愿服务活动21次，引导干部当表率、做示范、走在前。</w:t>
      </w:r>
    </w:p>
    <w:p w14:paraId="0590511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rightChars="0" w:firstLine="643"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US" w:eastAsia="zh-CN"/>
        </w:rPr>
        <w:t>2.突出干部能力提升。</w:t>
      </w:r>
      <w:r>
        <w:rPr>
          <w:rFonts w:hint="eastAsia" w:ascii="仿宋_GB2312" w:hAnsi="仿宋_GB2312" w:eastAsia="仿宋_GB2312" w:cs="仿宋_GB2312"/>
          <w:sz w:val="32"/>
          <w:szCs w:val="32"/>
          <w:u w:val="none"/>
          <w:lang w:val="en-US" w:eastAsia="zh-CN"/>
        </w:rPr>
        <w:t>实行内部轮岗交流制，全年安排干部轮岗5人；</w:t>
      </w:r>
      <w:r>
        <w:rPr>
          <w:rFonts w:hint="eastAsia" w:ascii="仿宋_GB2312" w:hAnsi="仿宋_GB2312" w:eastAsia="仿宋_GB2312" w:cs="仿宋_GB2312"/>
          <w:kern w:val="0"/>
          <w:sz w:val="32"/>
          <w:szCs w:val="32"/>
          <w:highlight w:val="none"/>
          <w:lang w:val="en-US" w:eastAsia="zh-CN" w:bidi="ar"/>
        </w:rPr>
        <w:t>加强政务礼仪培训，举办专题培训班1期，全面提升干部重大活动事项接待能力和服务水平，</w:t>
      </w:r>
      <w:r>
        <w:rPr>
          <w:rFonts w:hint="eastAsia" w:ascii="仿宋_GB2312" w:hAnsi="仿宋_GB2312" w:eastAsia="仿宋_GB2312" w:cs="仿宋_GB2312"/>
          <w:kern w:val="0"/>
          <w:sz w:val="32"/>
          <w:szCs w:val="32"/>
          <w:lang w:val="en-US" w:eastAsia="zh-CN" w:bidi="ar"/>
        </w:rPr>
        <w:t>共计参会人员360人；</w:t>
      </w:r>
      <w:r>
        <w:rPr>
          <w:rFonts w:hint="eastAsia" w:ascii="仿宋_GB2312" w:hAnsi="仿宋_GB2312" w:eastAsia="仿宋_GB2312" w:cs="仿宋_GB2312"/>
          <w:sz w:val="32"/>
          <w:szCs w:val="32"/>
          <w:lang w:eastAsia="zh-CN"/>
        </w:rPr>
        <w:t>围绕办公室职责职能和工作实际，</w:t>
      </w:r>
      <w:r>
        <w:rPr>
          <w:rFonts w:hint="eastAsia" w:ascii="仿宋_GB2312" w:hAnsi="仿宋_GB2312" w:eastAsia="仿宋_GB2312" w:cs="仿宋_GB2312"/>
          <w:kern w:val="0"/>
          <w:sz w:val="32"/>
          <w:szCs w:val="32"/>
          <w:lang w:val="en-US" w:eastAsia="zh-CN" w:bidi="ar"/>
        </w:rPr>
        <w:t>开展2期写作课堂，通过理论知识打基础、案例分析提层次、实战练兵强素质的方式，打造“开口能讲、提笔能写、问策能对、遇事能办”的复合型干部队伍。</w:t>
      </w:r>
    </w:p>
    <w:p w14:paraId="641D53A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rightChars="0" w:firstLine="643" w:firstLineChars="200"/>
        <w:textAlignment w:val="auto"/>
        <w:rPr>
          <w:rFonts w:hint="eastAsia" w:ascii="仿宋" w:hAnsi="仿宋" w:eastAsia="仿宋" w:cs="仿宋"/>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3.突出干部作风建设。</w:t>
      </w:r>
      <w:r>
        <w:rPr>
          <w:rFonts w:hint="eastAsia" w:ascii="仿宋" w:hAnsi="仿宋" w:eastAsia="仿宋" w:cs="仿宋"/>
          <w:color w:val="000000"/>
          <w:kern w:val="2"/>
          <w:sz w:val="32"/>
          <w:szCs w:val="32"/>
          <w:lang w:val="en-US" w:eastAsia="zh-CN" w:bidi="ar-SA"/>
        </w:rPr>
        <w:t>完善干部内部管理制度，安装智能考勤系统，从严干部上下班考勤管理。认真开展警示教育，全年开展典型案例学习8次，观看反腐倡廉教育片2次，开展干部谈心谈话活动258人次，全力锻造讲政治、讲奉献、讲担当的高素质办公室干部队伍。</w:t>
      </w:r>
    </w:p>
    <w:p w14:paraId="50CE390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1D7C4F32">
      <w:pPr>
        <w:pStyle w:val="6"/>
        <w:shd w:val="clear" w:color="auto" w:fill="FFFFFF"/>
        <w:spacing w:beforeAutospacing="0" w:afterAutospacing="0" w:line="480" w:lineRule="atLeast"/>
        <w:ind w:firstLine="640" w:firstLineChars="200"/>
        <w:rPr>
          <w:rFonts w:ascii="仿宋" w:hAnsi="仿宋" w:eastAsia="仿宋"/>
          <w:color w:val="010101"/>
          <w:sz w:val="32"/>
          <w:szCs w:val="32"/>
        </w:rPr>
      </w:pPr>
      <w:r>
        <w:rPr>
          <w:rFonts w:hint="eastAsia" w:ascii="仿宋" w:hAnsi="仿宋" w:eastAsia="仿宋"/>
          <w:color w:val="010101"/>
          <w:sz w:val="32"/>
          <w:szCs w:val="32"/>
          <w:lang w:val="en-US" w:eastAsia="zh-CN"/>
        </w:rPr>
        <w:t>1.资金</w:t>
      </w:r>
      <w:bookmarkStart w:id="0" w:name="_GoBack"/>
      <w:bookmarkEnd w:id="0"/>
      <w:r>
        <w:rPr>
          <w:rFonts w:hint="eastAsia" w:ascii="仿宋" w:hAnsi="仿宋" w:eastAsia="仿宋"/>
          <w:color w:val="010101"/>
          <w:sz w:val="32"/>
          <w:szCs w:val="32"/>
        </w:rPr>
        <w:t>绩效管理体制不够健全。</w:t>
      </w:r>
    </w:p>
    <w:p w14:paraId="48D7DAE5">
      <w:pPr>
        <w:pStyle w:val="6"/>
        <w:shd w:val="clear" w:color="auto" w:fill="FFFFFF"/>
        <w:spacing w:beforeAutospacing="0" w:afterAutospacing="0" w:line="480" w:lineRule="atLeast"/>
        <w:ind w:firstLine="640" w:firstLineChars="200"/>
        <w:rPr>
          <w:rFonts w:ascii="仿宋" w:hAnsi="仿宋" w:eastAsia="仿宋" w:cs="仿宋"/>
          <w:color w:val="0C0C0C"/>
          <w:sz w:val="32"/>
          <w:szCs w:val="32"/>
        </w:rPr>
      </w:pPr>
      <w:r>
        <w:rPr>
          <w:rFonts w:hint="eastAsia" w:ascii="仿宋" w:hAnsi="仿宋" w:eastAsia="仿宋"/>
          <w:color w:val="010101"/>
          <w:sz w:val="32"/>
          <w:szCs w:val="32"/>
          <w:lang w:val="en-US" w:eastAsia="zh-CN"/>
        </w:rPr>
        <w:t>2.</w:t>
      </w:r>
      <w:r>
        <w:rPr>
          <w:rFonts w:hint="eastAsia" w:ascii="仿宋" w:hAnsi="仿宋" w:eastAsia="仿宋"/>
          <w:color w:val="010101"/>
          <w:sz w:val="32"/>
          <w:szCs w:val="32"/>
        </w:rPr>
        <w:t>预算经费不足，</w:t>
      </w:r>
      <w:r>
        <w:rPr>
          <w:rFonts w:ascii="仿宋" w:hAnsi="仿宋" w:eastAsia="仿宋" w:cs="仿宋"/>
          <w:color w:val="010101"/>
          <w:sz w:val="32"/>
          <w:szCs w:val="32"/>
        </w:rPr>
        <w:t>临</w:t>
      </w:r>
      <w:r>
        <w:rPr>
          <w:rFonts w:hint="eastAsia" w:ascii="仿宋" w:hAnsi="仿宋" w:eastAsia="仿宋" w:cs="仿宋"/>
          <w:color w:val="010101"/>
          <w:sz w:val="32"/>
          <w:szCs w:val="32"/>
        </w:rPr>
        <w:t>聘、劳务派遣人员，未纳入财政预算，造成年底资金缺口大。</w:t>
      </w:r>
    </w:p>
    <w:p w14:paraId="660D11C6">
      <w:pPr>
        <w:keepNext w:val="0"/>
        <w:keepLines w:val="0"/>
        <w:pageBreakBefore w:val="0"/>
        <w:widowControl w:val="0"/>
        <w:kinsoku/>
        <w:wordWrap/>
        <w:overflowPunct/>
        <w:topLinePunct w:val="0"/>
        <w:autoSpaceDE/>
        <w:bidi w:val="0"/>
        <w:adjustRightInd/>
        <w:snapToGrid w:val="0"/>
        <w:spacing w:line="579"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在预算执行过程中，由于地方财政资金紧张，经费拨付不能及时到位。</w:t>
      </w:r>
    </w:p>
    <w:p w14:paraId="6FC9102D">
      <w:pPr>
        <w:keepNext w:val="0"/>
        <w:keepLines w:val="0"/>
        <w:pageBreakBefore w:val="0"/>
        <w:widowControl w:val="0"/>
        <w:kinsoku/>
        <w:wordWrap/>
        <w:overflowPunct/>
        <w:topLinePunct w:val="0"/>
        <w:autoSpaceDE/>
        <w:bidi w:val="0"/>
        <w:adjustRightInd/>
        <w:snapToGrid w:val="0"/>
        <w:spacing w:line="579" w:lineRule="exact"/>
        <w:ind w:left="0" w:leftChars="0"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28A0DCDF">
      <w:pPr>
        <w:pStyle w:val="13"/>
        <w:keepNext w:val="0"/>
        <w:keepLines w:val="0"/>
        <w:pageBreakBefore w:val="0"/>
        <w:widowControl w:val="0"/>
        <w:kinsoku/>
        <w:wordWrap/>
        <w:overflowPunct/>
        <w:topLinePunct w:val="0"/>
        <w:autoSpaceDE/>
        <w:bidi w:val="0"/>
        <w:adjustRightInd/>
        <w:spacing w:line="579" w:lineRule="exact"/>
        <w:ind w:left="0" w:leftChars="0" w:firstLine="640" w:firstLineChars="200"/>
        <w:textAlignment w:val="auto"/>
        <w:rPr>
          <w:rFonts w:ascii="仿宋" w:hAnsi="仿宋" w:eastAsia="仿宋" w:cs="仿宋"/>
          <w:sz w:val="32"/>
          <w:szCs w:val="32"/>
        </w:rPr>
      </w:pPr>
      <w:r>
        <w:rPr>
          <w:rFonts w:hint="eastAsia" w:ascii="仿宋" w:hAnsi="仿宋" w:eastAsia="仿宋" w:cs="仿宋"/>
          <w:color w:val="010101"/>
          <w:sz w:val="32"/>
          <w:szCs w:val="32"/>
          <w:lang w:val="en-US" w:eastAsia="zh-CN"/>
        </w:rPr>
        <w:t>1.</w:t>
      </w:r>
      <w:r>
        <w:rPr>
          <w:rFonts w:ascii="仿宋" w:hAnsi="仿宋" w:eastAsia="仿宋" w:cs="仿宋"/>
          <w:sz w:val="32"/>
          <w:szCs w:val="32"/>
        </w:rPr>
        <w:t>进一步完善</w:t>
      </w:r>
      <w:r>
        <w:rPr>
          <w:rFonts w:hint="eastAsia" w:ascii="仿宋" w:hAnsi="仿宋" w:eastAsia="仿宋" w:cs="仿宋"/>
          <w:sz w:val="32"/>
          <w:szCs w:val="32"/>
          <w:lang w:eastAsia="zh-CN"/>
        </w:rPr>
        <w:t>和</w:t>
      </w:r>
      <w:r>
        <w:rPr>
          <w:rFonts w:ascii="仿宋" w:hAnsi="仿宋" w:eastAsia="仿宋" w:cs="仿宋"/>
          <w:sz w:val="32"/>
          <w:szCs w:val="32"/>
        </w:rPr>
        <w:t>细化各项费用支出管理制度，严格控制“三公”经费和各项费用支出。</w:t>
      </w:r>
    </w:p>
    <w:p w14:paraId="13517C11">
      <w:pPr>
        <w:pStyle w:val="13"/>
        <w:keepNext w:val="0"/>
        <w:keepLines w:val="0"/>
        <w:pageBreakBefore w:val="0"/>
        <w:widowControl w:val="0"/>
        <w:kinsoku/>
        <w:wordWrap/>
        <w:overflowPunct/>
        <w:topLinePunct w:val="0"/>
        <w:autoSpaceDE/>
        <w:bidi w:val="0"/>
        <w:adjustRightInd/>
        <w:spacing w:line="579" w:lineRule="exact"/>
        <w:ind w:left="0" w:leftChars="0" w:firstLine="640" w:firstLineChars="200"/>
        <w:textAlignment w:val="auto"/>
        <w:rPr>
          <w:rFonts w:ascii="仿宋" w:hAnsi="仿宋" w:eastAsia="仿宋" w:cs="仿宋"/>
          <w:sz w:val="32"/>
          <w:szCs w:val="32"/>
        </w:rPr>
      </w:pPr>
      <w:r>
        <w:rPr>
          <w:rFonts w:hint="eastAsia" w:ascii="仿宋" w:hAnsi="仿宋" w:eastAsia="仿宋" w:cs="仿宋"/>
          <w:color w:val="010101"/>
          <w:sz w:val="32"/>
          <w:szCs w:val="32"/>
          <w:lang w:val="en-US" w:eastAsia="zh-CN"/>
        </w:rPr>
        <w:t>2.加强资金管理，强化支出责任，建立科学合理的专项资金绩效管理体系，提高财政资金使用效益</w:t>
      </w:r>
      <w:r>
        <w:rPr>
          <w:rFonts w:ascii="仿宋" w:hAnsi="仿宋" w:eastAsia="仿宋" w:cs="仿宋"/>
          <w:sz w:val="32"/>
          <w:szCs w:val="32"/>
        </w:rPr>
        <w:t>。</w:t>
      </w:r>
    </w:p>
    <w:p w14:paraId="7798F3AC">
      <w:pPr>
        <w:pStyle w:val="13"/>
        <w:keepNext w:val="0"/>
        <w:keepLines w:val="0"/>
        <w:pageBreakBefore w:val="0"/>
        <w:widowControl w:val="0"/>
        <w:kinsoku/>
        <w:wordWrap/>
        <w:overflowPunct/>
        <w:topLinePunct w:val="0"/>
        <w:autoSpaceDE/>
        <w:bidi w:val="0"/>
        <w:adjustRightInd/>
        <w:spacing w:line="579" w:lineRule="exact"/>
        <w:ind w:left="0" w:leftChars="0" w:firstLine="640" w:firstLineChars="200"/>
        <w:textAlignment w:val="auto"/>
        <w:rPr>
          <w:rFonts w:ascii="仿宋" w:hAnsi="仿宋" w:eastAsia="仿宋" w:cs="仿宋"/>
          <w:color w:val="010101"/>
          <w:sz w:val="32"/>
          <w:szCs w:val="32"/>
        </w:rPr>
      </w:pPr>
      <w:r>
        <w:rPr>
          <w:rFonts w:hint="eastAsia" w:ascii="仿宋" w:hAnsi="仿宋" w:eastAsia="仿宋" w:cs="仿宋"/>
          <w:color w:val="010101"/>
          <w:sz w:val="32"/>
          <w:szCs w:val="32"/>
          <w:lang w:val="en-US" w:eastAsia="zh-CN"/>
        </w:rPr>
        <w:t>3.</w:t>
      </w:r>
      <w:r>
        <w:rPr>
          <w:rFonts w:ascii="仿宋" w:hAnsi="仿宋" w:eastAsia="仿宋" w:cs="仿宋"/>
          <w:sz w:val="32"/>
          <w:szCs w:val="32"/>
        </w:rPr>
        <w:t>加强固定资产的管理，</w:t>
      </w:r>
      <w:r>
        <w:rPr>
          <w:rFonts w:hint="eastAsia" w:ascii="仿宋" w:hAnsi="仿宋" w:eastAsia="仿宋" w:cs="仿宋"/>
          <w:sz w:val="32"/>
          <w:szCs w:val="32"/>
        </w:rPr>
        <w:t>每年对</w:t>
      </w:r>
      <w:r>
        <w:rPr>
          <w:rFonts w:ascii="仿宋" w:hAnsi="仿宋" w:eastAsia="仿宋" w:cs="仿宋"/>
          <w:sz w:val="32"/>
          <w:szCs w:val="32"/>
        </w:rPr>
        <w:t>固定资产进行清查盘点，切实做到账卡相符、账物相符。</w:t>
      </w:r>
    </w:p>
    <w:p w14:paraId="3B7BDEB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79" w:lineRule="exact"/>
        <w:ind w:left="0" w:leftChars="0" w:right="0" w:firstLine="640" w:firstLineChars="200"/>
        <w:textAlignment w:val="auto"/>
        <w:rPr>
          <w:rFonts w:hint="eastAsia" w:ascii="仿宋" w:hAnsi="仿宋" w:eastAsia="仿宋" w:cs="仿宋"/>
          <w:i w:val="0"/>
          <w:iCs w:val="0"/>
          <w:caps w:val="0"/>
          <w:color w:val="000000"/>
          <w:spacing w:val="0"/>
          <w:sz w:val="32"/>
          <w:szCs w:val="32"/>
        </w:rPr>
      </w:pPr>
    </w:p>
    <w:p w14:paraId="0460DB7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 w:hAnsi="仿宋" w:eastAsia="仿宋" w:cs="仿宋"/>
          <w:i w:val="0"/>
          <w:iCs w:val="0"/>
          <w:caps w:val="0"/>
          <w:color w:val="000000"/>
          <w:spacing w:val="0"/>
          <w:sz w:val="32"/>
          <w:szCs w:val="32"/>
        </w:rPr>
      </w:pPr>
    </w:p>
    <w:p w14:paraId="490436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795430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leftChars="0" w:right="0" w:firstLine="1600" w:firstLineChars="5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221C73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000000"/>
          <w:spacing w:val="0"/>
          <w:sz w:val="32"/>
          <w:szCs w:val="32"/>
          <w:shd w:val="clear" w:fill="FFFFFF"/>
        </w:rPr>
      </w:pPr>
    </w:p>
    <w:p w14:paraId="570DE2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000000"/>
          <w:spacing w:val="0"/>
          <w:sz w:val="32"/>
          <w:szCs w:val="32"/>
          <w:shd w:val="clear" w:fill="FFFFFF"/>
        </w:rPr>
      </w:pPr>
    </w:p>
    <w:p w14:paraId="389B1B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pacing w:before="0" w:beforeAutospacing="0" w:after="0" w:afterAutospacing="0" w:line="560" w:lineRule="exact"/>
        <w:ind w:left="0" w:right="0" w:firstLine="0"/>
        <w:jc w:val="both"/>
        <w:textAlignment w:val="auto"/>
        <w:rPr>
          <w:rFonts w:hint="eastAsia" w:ascii="黑体" w:hAnsi="黑体" w:eastAsia="黑体" w:cs="黑体"/>
          <w:i w:val="0"/>
          <w:iCs w:val="0"/>
          <w:caps w:val="0"/>
          <w:color w:val="000000"/>
          <w:spacing w:val="0"/>
          <w:sz w:val="32"/>
          <w:szCs w:val="32"/>
          <w:shd w:val="clear" w:fill="FFFFFF"/>
        </w:rPr>
      </w:pPr>
    </w:p>
    <w:p w14:paraId="2FB679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64E87A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577A1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0DDDCD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553B454B">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0228B77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8"/>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3520085F">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54FC451A">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2EBB656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5BC21B53">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6983B21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3132F36E">
        <w:tblPrEx>
          <w:tblCellMar>
            <w:top w:w="0" w:type="dxa"/>
            <w:left w:w="108" w:type="dxa"/>
            <w:bottom w:w="0" w:type="dxa"/>
            <w:right w:w="108" w:type="dxa"/>
          </w:tblCellMar>
        </w:tblPrEx>
        <w:trPr>
          <w:trHeight w:val="400" w:hRule="atLeast"/>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448FE65E">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shd w:val="clear" w:color="auto" w:fill="auto"/>
            <w:noWrap w:val="0"/>
            <w:vAlign w:val="center"/>
          </w:tcPr>
          <w:p w14:paraId="075C1BD2">
            <w:pPr>
              <w:keepNext w:val="0"/>
              <w:keepLines w:val="0"/>
              <w:pageBreakBefore w:val="0"/>
              <w:widowControl/>
              <w:kinsoku/>
              <w:wordWrap/>
              <w:overflowPunct/>
              <w:topLinePunct w:val="0"/>
              <w:autoSpaceDE/>
              <w:bidi w:val="0"/>
              <w:adjustRightInd/>
              <w:spacing w:line="560" w:lineRule="exact"/>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65</w:t>
            </w:r>
          </w:p>
        </w:tc>
        <w:tc>
          <w:tcPr>
            <w:tcW w:w="2055" w:type="dxa"/>
            <w:gridSpan w:val="2"/>
            <w:tcBorders>
              <w:top w:val="single" w:color="auto" w:sz="4" w:space="0"/>
              <w:left w:val="nil"/>
              <w:bottom w:val="single" w:color="auto" w:sz="4" w:space="0"/>
              <w:right w:val="single" w:color="auto" w:sz="4" w:space="0"/>
            </w:tcBorders>
            <w:shd w:val="clear" w:color="auto" w:fill="auto"/>
            <w:noWrap w:val="0"/>
            <w:vAlign w:val="center"/>
          </w:tcPr>
          <w:p w14:paraId="60BA701F">
            <w:pPr>
              <w:keepNext w:val="0"/>
              <w:keepLines w:val="0"/>
              <w:pageBreakBefore w:val="0"/>
              <w:widowControl/>
              <w:kinsoku/>
              <w:wordWrap/>
              <w:overflowPunct/>
              <w:topLinePunct w:val="0"/>
              <w:autoSpaceDE/>
              <w:bidi w:val="0"/>
              <w:adjustRightInd/>
              <w:spacing w:line="560" w:lineRule="exact"/>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56</w:t>
            </w:r>
          </w:p>
        </w:tc>
        <w:tc>
          <w:tcPr>
            <w:tcW w:w="2310" w:type="dxa"/>
            <w:gridSpan w:val="2"/>
            <w:tcBorders>
              <w:top w:val="single" w:color="auto" w:sz="4" w:space="0"/>
              <w:left w:val="nil"/>
              <w:bottom w:val="single" w:color="auto" w:sz="4" w:space="0"/>
              <w:right w:val="single" w:color="auto" w:sz="4" w:space="0"/>
            </w:tcBorders>
            <w:shd w:val="clear" w:color="auto" w:fill="auto"/>
            <w:noWrap w:val="0"/>
            <w:vAlign w:val="center"/>
          </w:tcPr>
          <w:p w14:paraId="07F89F55">
            <w:pPr>
              <w:keepNext w:val="0"/>
              <w:keepLines w:val="0"/>
              <w:pageBreakBefore w:val="0"/>
              <w:widowControl/>
              <w:kinsoku/>
              <w:wordWrap/>
              <w:overflowPunct/>
              <w:topLinePunct w:val="0"/>
              <w:autoSpaceDE/>
              <w:bidi w:val="0"/>
              <w:adjustRightInd/>
              <w:spacing w:line="560" w:lineRule="exact"/>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100%</w:t>
            </w:r>
          </w:p>
        </w:tc>
      </w:tr>
      <w:tr w14:paraId="3EDFC0B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FDF0A2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6AF8C20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41B53C26">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04B50E7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6B6F03E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D9ADF71">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1A9412A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14.76</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2A68050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w:t>
            </w:r>
          </w:p>
        </w:tc>
        <w:tc>
          <w:tcPr>
            <w:tcW w:w="2310" w:type="dxa"/>
            <w:gridSpan w:val="2"/>
            <w:tcBorders>
              <w:top w:val="single" w:color="auto" w:sz="4" w:space="0"/>
              <w:left w:val="nil"/>
              <w:bottom w:val="single" w:color="auto" w:sz="4" w:space="0"/>
              <w:right w:val="single" w:color="000000" w:sz="4" w:space="0"/>
            </w:tcBorders>
            <w:noWrap w:val="0"/>
            <w:vAlign w:val="center"/>
          </w:tcPr>
          <w:p w14:paraId="69CC93D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9.91</w:t>
            </w:r>
            <w:r>
              <w:rPr>
                <w:rFonts w:hint="eastAsia" w:ascii="仿宋" w:hAnsi="仿宋" w:eastAsia="仿宋" w:cs="仿宋"/>
                <w:kern w:val="0"/>
                <w:sz w:val="21"/>
                <w:szCs w:val="21"/>
              </w:rPr>
              <w:t>　</w:t>
            </w:r>
          </w:p>
        </w:tc>
      </w:tr>
      <w:tr w14:paraId="4F8C71D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42F49F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51AFD3A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13.7</w:t>
            </w:r>
          </w:p>
        </w:tc>
        <w:tc>
          <w:tcPr>
            <w:tcW w:w="2055" w:type="dxa"/>
            <w:gridSpan w:val="2"/>
            <w:tcBorders>
              <w:top w:val="single" w:color="auto" w:sz="4" w:space="0"/>
              <w:left w:val="nil"/>
              <w:bottom w:val="single" w:color="auto" w:sz="4" w:space="0"/>
              <w:right w:val="single" w:color="000000" w:sz="4" w:space="0"/>
            </w:tcBorders>
            <w:noWrap w:val="0"/>
            <w:vAlign w:val="center"/>
          </w:tcPr>
          <w:p w14:paraId="77801D3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12</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8A08DE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8.36</w:t>
            </w:r>
          </w:p>
        </w:tc>
      </w:tr>
      <w:tr w14:paraId="4C79FB0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B58F97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48B38D2F">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78D999A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79ECDD16">
            <w:pPr>
              <w:widowControl/>
              <w:spacing w:line="320" w:lineRule="exact"/>
              <w:jc w:val="center"/>
              <w:rPr>
                <w:rFonts w:hint="eastAsia" w:ascii="仿宋" w:hAnsi="仿宋" w:eastAsia="仿宋" w:cs="仿宋"/>
                <w:kern w:val="0"/>
                <w:sz w:val="21"/>
                <w:szCs w:val="21"/>
              </w:rPr>
            </w:pPr>
          </w:p>
        </w:tc>
      </w:tr>
      <w:tr w14:paraId="6BD94B0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4CBF8C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4A04283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13.7</w:t>
            </w:r>
          </w:p>
        </w:tc>
        <w:tc>
          <w:tcPr>
            <w:tcW w:w="2055" w:type="dxa"/>
            <w:gridSpan w:val="2"/>
            <w:tcBorders>
              <w:top w:val="single" w:color="auto" w:sz="4" w:space="0"/>
              <w:left w:val="nil"/>
              <w:bottom w:val="single" w:color="auto" w:sz="4" w:space="0"/>
              <w:right w:val="single" w:color="000000" w:sz="4" w:space="0"/>
            </w:tcBorders>
            <w:noWrap w:val="0"/>
            <w:vAlign w:val="center"/>
          </w:tcPr>
          <w:p w14:paraId="47EDADA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w:t>
            </w:r>
          </w:p>
        </w:tc>
        <w:tc>
          <w:tcPr>
            <w:tcW w:w="2310" w:type="dxa"/>
            <w:gridSpan w:val="2"/>
            <w:tcBorders>
              <w:top w:val="single" w:color="auto" w:sz="4" w:space="0"/>
              <w:left w:val="nil"/>
              <w:bottom w:val="single" w:color="auto" w:sz="4" w:space="0"/>
              <w:right w:val="single" w:color="000000" w:sz="4" w:space="0"/>
            </w:tcBorders>
            <w:noWrap w:val="0"/>
            <w:vAlign w:val="center"/>
          </w:tcPr>
          <w:p w14:paraId="46A3EAD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8.36</w:t>
            </w:r>
            <w:r>
              <w:rPr>
                <w:rFonts w:hint="eastAsia" w:ascii="仿宋" w:hAnsi="仿宋" w:eastAsia="仿宋" w:cs="仿宋"/>
                <w:kern w:val="0"/>
                <w:sz w:val="21"/>
                <w:szCs w:val="21"/>
              </w:rPr>
              <w:t>　</w:t>
            </w:r>
          </w:p>
        </w:tc>
      </w:tr>
      <w:tr w14:paraId="5056F51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69EF6ED">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1681A49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2D8E4C2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FFC090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4FDD34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64D0C9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14:paraId="6834AD0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1.06</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26EDB5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2310" w:type="dxa"/>
            <w:gridSpan w:val="2"/>
            <w:tcBorders>
              <w:top w:val="single" w:color="auto" w:sz="4" w:space="0"/>
              <w:left w:val="nil"/>
              <w:bottom w:val="single" w:color="auto" w:sz="4" w:space="0"/>
              <w:right w:val="single" w:color="000000" w:sz="4" w:space="0"/>
            </w:tcBorders>
            <w:noWrap w:val="0"/>
            <w:vAlign w:val="center"/>
          </w:tcPr>
          <w:p w14:paraId="619EC33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1.55</w:t>
            </w:r>
            <w:r>
              <w:rPr>
                <w:rFonts w:hint="eastAsia" w:ascii="仿宋" w:hAnsi="仿宋" w:eastAsia="仿宋" w:cs="仿宋"/>
                <w:kern w:val="0"/>
                <w:sz w:val="21"/>
                <w:szCs w:val="21"/>
              </w:rPr>
              <w:t>　</w:t>
            </w:r>
          </w:p>
        </w:tc>
      </w:tr>
      <w:tr w14:paraId="588F68D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07B5C04">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4E6D2FD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453</w:t>
            </w:r>
          </w:p>
        </w:tc>
        <w:tc>
          <w:tcPr>
            <w:tcW w:w="2055" w:type="dxa"/>
            <w:gridSpan w:val="2"/>
            <w:tcBorders>
              <w:top w:val="single" w:color="auto" w:sz="4" w:space="0"/>
              <w:left w:val="nil"/>
              <w:bottom w:val="single" w:color="auto" w:sz="4" w:space="0"/>
              <w:right w:val="single" w:color="000000" w:sz="4" w:space="0"/>
            </w:tcBorders>
            <w:noWrap w:val="0"/>
            <w:vAlign w:val="center"/>
          </w:tcPr>
          <w:p w14:paraId="57D1DD8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220</w:t>
            </w:r>
          </w:p>
        </w:tc>
        <w:tc>
          <w:tcPr>
            <w:tcW w:w="2310" w:type="dxa"/>
            <w:gridSpan w:val="2"/>
            <w:tcBorders>
              <w:top w:val="single" w:color="auto" w:sz="4" w:space="0"/>
              <w:left w:val="nil"/>
              <w:bottom w:val="single" w:color="auto" w:sz="4" w:space="0"/>
              <w:right w:val="single" w:color="000000" w:sz="4" w:space="0"/>
            </w:tcBorders>
            <w:noWrap w:val="0"/>
            <w:vAlign w:val="center"/>
          </w:tcPr>
          <w:p w14:paraId="5739A2B6">
            <w:pPr>
              <w:widowControl/>
              <w:spacing w:line="320" w:lineRule="exact"/>
              <w:jc w:val="center"/>
              <w:rPr>
                <w:rFonts w:hint="eastAsia" w:ascii="仿宋" w:hAnsi="仿宋" w:eastAsia="仿宋" w:cs="仿宋"/>
                <w:kern w:val="0"/>
                <w:sz w:val="21"/>
                <w:szCs w:val="21"/>
              </w:rPr>
            </w:pPr>
          </w:p>
        </w:tc>
      </w:tr>
      <w:tr w14:paraId="68E2E43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590E26D">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85274B6">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250989E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220</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38D2CCE">
            <w:pPr>
              <w:widowControl/>
              <w:spacing w:line="320" w:lineRule="exact"/>
              <w:jc w:val="center"/>
              <w:rPr>
                <w:rFonts w:hint="eastAsia" w:ascii="仿宋" w:hAnsi="仿宋" w:eastAsia="仿宋" w:cs="仿宋"/>
                <w:kern w:val="0"/>
                <w:sz w:val="21"/>
                <w:szCs w:val="21"/>
              </w:rPr>
            </w:pPr>
          </w:p>
        </w:tc>
      </w:tr>
      <w:tr w14:paraId="06E882B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45EEAE7">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F6CFD3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85</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0D1A2F4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B3BBB0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78B497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D35427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376D28B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368</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BF632B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5A6A2C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7B6F19B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A434BE1">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其中：竹笋加工项目专项资金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223E072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368</w:t>
            </w:r>
          </w:p>
        </w:tc>
        <w:tc>
          <w:tcPr>
            <w:tcW w:w="2055" w:type="dxa"/>
            <w:gridSpan w:val="2"/>
            <w:tcBorders>
              <w:top w:val="single" w:color="auto" w:sz="4" w:space="0"/>
              <w:left w:val="nil"/>
              <w:bottom w:val="single" w:color="auto" w:sz="4" w:space="0"/>
              <w:right w:val="single" w:color="000000" w:sz="4" w:space="0"/>
            </w:tcBorders>
            <w:noWrap w:val="0"/>
            <w:vAlign w:val="center"/>
          </w:tcPr>
          <w:p w14:paraId="32B087CE">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4D92AE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6BEC398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3993B75">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67D43EE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10775E2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BFAFC5B">
            <w:pPr>
              <w:widowControl/>
              <w:spacing w:line="320" w:lineRule="exact"/>
              <w:jc w:val="center"/>
              <w:rPr>
                <w:rFonts w:hint="eastAsia" w:ascii="仿宋" w:hAnsi="仿宋" w:eastAsia="仿宋" w:cs="仿宋"/>
                <w:kern w:val="0"/>
                <w:sz w:val="21"/>
                <w:szCs w:val="21"/>
              </w:rPr>
            </w:pPr>
          </w:p>
        </w:tc>
      </w:tr>
      <w:tr w14:paraId="0B2AA83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62FCB4F">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5CC4BE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590</w:t>
            </w:r>
          </w:p>
        </w:tc>
        <w:tc>
          <w:tcPr>
            <w:tcW w:w="2055" w:type="dxa"/>
            <w:gridSpan w:val="2"/>
            <w:tcBorders>
              <w:top w:val="single" w:color="auto" w:sz="4" w:space="0"/>
              <w:left w:val="nil"/>
              <w:bottom w:val="single" w:color="auto" w:sz="4" w:space="0"/>
              <w:right w:val="single" w:color="000000" w:sz="4" w:space="0"/>
            </w:tcBorders>
            <w:noWrap w:val="0"/>
            <w:vAlign w:val="center"/>
          </w:tcPr>
          <w:p w14:paraId="7949A04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187</w:t>
            </w:r>
          </w:p>
        </w:tc>
        <w:tc>
          <w:tcPr>
            <w:tcW w:w="2310" w:type="dxa"/>
            <w:gridSpan w:val="2"/>
            <w:tcBorders>
              <w:top w:val="single" w:color="auto" w:sz="4" w:space="0"/>
              <w:left w:val="nil"/>
              <w:bottom w:val="single" w:color="auto" w:sz="4" w:space="0"/>
              <w:right w:val="single" w:color="000000" w:sz="4" w:space="0"/>
            </w:tcBorders>
            <w:noWrap w:val="0"/>
            <w:vAlign w:val="center"/>
          </w:tcPr>
          <w:p w14:paraId="006F1D1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552</w:t>
            </w:r>
          </w:p>
        </w:tc>
      </w:tr>
      <w:tr w14:paraId="74C5E79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46FD13">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B592370">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23</w:t>
            </w:r>
          </w:p>
        </w:tc>
        <w:tc>
          <w:tcPr>
            <w:tcW w:w="2055" w:type="dxa"/>
            <w:gridSpan w:val="2"/>
            <w:tcBorders>
              <w:top w:val="single" w:color="auto" w:sz="4" w:space="0"/>
              <w:left w:val="nil"/>
              <w:bottom w:val="single" w:color="auto" w:sz="4" w:space="0"/>
              <w:right w:val="single" w:color="000000" w:sz="4" w:space="0"/>
            </w:tcBorders>
            <w:noWrap w:val="0"/>
            <w:vAlign w:val="center"/>
          </w:tcPr>
          <w:p w14:paraId="171E5B8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149</w:t>
            </w:r>
          </w:p>
        </w:tc>
        <w:tc>
          <w:tcPr>
            <w:tcW w:w="2310" w:type="dxa"/>
            <w:gridSpan w:val="2"/>
            <w:tcBorders>
              <w:top w:val="single" w:color="auto" w:sz="4" w:space="0"/>
              <w:left w:val="nil"/>
              <w:bottom w:val="single" w:color="auto" w:sz="4" w:space="0"/>
              <w:right w:val="single" w:color="000000" w:sz="4" w:space="0"/>
            </w:tcBorders>
            <w:noWrap w:val="0"/>
            <w:vAlign w:val="center"/>
          </w:tcPr>
          <w:p w14:paraId="02B3303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35</w:t>
            </w:r>
            <w:r>
              <w:rPr>
                <w:rFonts w:hint="eastAsia" w:ascii="仿宋" w:hAnsi="仿宋" w:eastAsia="仿宋" w:cs="仿宋"/>
                <w:kern w:val="0"/>
                <w:sz w:val="21"/>
                <w:szCs w:val="21"/>
              </w:rPr>
              <w:t>　</w:t>
            </w:r>
          </w:p>
        </w:tc>
      </w:tr>
      <w:tr w14:paraId="3942FD9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7538AE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71C702E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157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36ED7F7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0AE2F3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135</w:t>
            </w:r>
            <w:r>
              <w:rPr>
                <w:rFonts w:hint="eastAsia" w:ascii="仿宋" w:hAnsi="仿宋" w:eastAsia="仿宋" w:cs="仿宋"/>
                <w:kern w:val="0"/>
                <w:sz w:val="21"/>
                <w:szCs w:val="21"/>
              </w:rPr>
              <w:t>　</w:t>
            </w:r>
          </w:p>
        </w:tc>
      </w:tr>
      <w:tr w14:paraId="27ACBEF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C984F57">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4F2EB2A6">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21</w:t>
            </w:r>
          </w:p>
        </w:tc>
        <w:tc>
          <w:tcPr>
            <w:tcW w:w="2055" w:type="dxa"/>
            <w:gridSpan w:val="2"/>
            <w:tcBorders>
              <w:top w:val="single" w:color="auto" w:sz="4" w:space="0"/>
              <w:left w:val="nil"/>
              <w:bottom w:val="single" w:color="auto" w:sz="4" w:space="0"/>
              <w:right w:val="single" w:color="000000" w:sz="4" w:space="0"/>
            </w:tcBorders>
            <w:noWrap w:val="0"/>
            <w:vAlign w:val="center"/>
          </w:tcPr>
          <w:p w14:paraId="241A5AA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A833F9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r>
      <w:tr w14:paraId="6E9957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BCF8D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764F1EE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DC71BE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2EF228A">
            <w:pPr>
              <w:widowControl/>
              <w:spacing w:line="320" w:lineRule="exact"/>
              <w:jc w:val="center"/>
              <w:rPr>
                <w:rFonts w:hint="eastAsia" w:ascii="仿宋" w:hAnsi="仿宋" w:eastAsia="仿宋" w:cs="仿宋"/>
                <w:kern w:val="0"/>
                <w:sz w:val="21"/>
                <w:szCs w:val="21"/>
              </w:rPr>
            </w:pPr>
          </w:p>
        </w:tc>
      </w:tr>
      <w:tr w14:paraId="3AE570F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0F26772">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2AA1A9CF">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36CD660">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2FD04CDF">
            <w:pPr>
              <w:widowControl/>
              <w:spacing w:line="320" w:lineRule="exact"/>
              <w:jc w:val="center"/>
              <w:rPr>
                <w:rFonts w:hint="eastAsia" w:ascii="仿宋" w:hAnsi="仿宋" w:eastAsia="仿宋" w:cs="仿宋"/>
                <w:kern w:val="0"/>
                <w:sz w:val="21"/>
                <w:szCs w:val="21"/>
              </w:rPr>
            </w:pPr>
          </w:p>
        </w:tc>
      </w:tr>
      <w:tr w14:paraId="51F50A4E">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489C77C6">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5F82A96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3147B67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4F13103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7B2A84C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5C753B9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53BC320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5EA718F9">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78A591B3">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3496E9F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30552FA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670979A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w:t>
            </w: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7FA7DA8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386549E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49140CE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w:t>
            </w:r>
            <w:r>
              <w:rPr>
                <w:rFonts w:hint="eastAsia" w:ascii="仿宋" w:hAnsi="仿宋" w:eastAsia="仿宋" w:cs="仿宋"/>
                <w:kern w:val="0"/>
                <w:sz w:val="21"/>
                <w:szCs w:val="21"/>
              </w:rPr>
              <w:t>　</w:t>
            </w:r>
          </w:p>
        </w:tc>
      </w:tr>
      <w:tr w14:paraId="7926976F">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35AE7D34">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3DD410F1">
            <w:pPr>
              <w:spacing w:line="240" w:lineRule="exact"/>
              <w:ind w:firstLine="315" w:firstLineChars="150"/>
              <w:rPr>
                <w:rFonts w:hint="eastAsia" w:ascii="仿宋" w:hAnsi="仿宋" w:eastAsia="仿宋" w:cs="仿宋"/>
                <w:kern w:val="0"/>
                <w:sz w:val="21"/>
                <w:szCs w:val="21"/>
              </w:rPr>
            </w:pPr>
            <w:r>
              <w:rPr>
                <w:rFonts w:hint="eastAsia" w:ascii="仿宋" w:hAnsi="仿宋" w:eastAsia="仿宋" w:cs="仿宋"/>
                <w:kern w:val="0"/>
                <w:szCs w:val="21"/>
                <w:lang w:eastAsia="zh-CN"/>
              </w:rPr>
              <w:t>严控“三公”经费和差旅费，降低行政运行成本，推动过紧日子成为常态</w:t>
            </w:r>
            <w:r>
              <w:rPr>
                <w:rFonts w:hint="eastAsia" w:ascii="仿宋" w:hAnsi="仿宋" w:eastAsia="仿宋" w:cs="仿宋"/>
                <w:kern w:val="0"/>
                <w:szCs w:val="21"/>
              </w:rPr>
              <w:t>。</w:t>
            </w:r>
          </w:p>
        </w:tc>
      </w:tr>
      <w:tr w14:paraId="5ECAA255">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39573AD7">
            <w:pPr>
              <w:widowControl/>
              <w:spacing w:line="240" w:lineRule="exact"/>
              <w:jc w:val="both"/>
              <w:rPr>
                <w:rFonts w:hint="eastAsia" w:ascii="仿宋" w:hAnsi="仿宋" w:eastAsia="仿宋" w:cs="仿宋"/>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tc>
      </w:tr>
    </w:tbl>
    <w:p w14:paraId="6760C0F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18AA1F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tbl>
      <w:tblPr>
        <w:tblStyle w:val="8"/>
        <w:tblW w:w="5306" w:type="pct"/>
        <w:jc w:val="center"/>
        <w:tblLayout w:type="fixed"/>
        <w:tblCellMar>
          <w:top w:w="0" w:type="dxa"/>
          <w:left w:w="108" w:type="dxa"/>
          <w:bottom w:w="0" w:type="dxa"/>
          <w:right w:w="108" w:type="dxa"/>
        </w:tblCellMar>
      </w:tblPr>
      <w:tblGrid>
        <w:gridCol w:w="1032"/>
        <w:gridCol w:w="752"/>
        <w:gridCol w:w="683"/>
        <w:gridCol w:w="1194"/>
        <w:gridCol w:w="926"/>
        <w:gridCol w:w="1231"/>
        <w:gridCol w:w="1327"/>
        <w:gridCol w:w="664"/>
        <w:gridCol w:w="879"/>
        <w:gridCol w:w="1169"/>
      </w:tblGrid>
      <w:tr w14:paraId="2048A686">
        <w:tblPrEx>
          <w:tblCellMar>
            <w:top w:w="0" w:type="dxa"/>
            <w:left w:w="108" w:type="dxa"/>
            <w:bottom w:w="0" w:type="dxa"/>
            <w:right w:w="108" w:type="dxa"/>
          </w:tblCellMar>
        </w:tblPrEx>
        <w:trPr>
          <w:trHeight w:val="0" w:hRule="atLeast"/>
          <w:jc w:val="center"/>
        </w:trPr>
        <w:tc>
          <w:tcPr>
            <w:tcW w:w="523" w:type="pct"/>
            <w:tcBorders>
              <w:top w:val="single" w:color="auto" w:sz="4" w:space="0"/>
              <w:left w:val="single" w:color="auto" w:sz="4" w:space="0"/>
              <w:bottom w:val="single" w:color="auto" w:sz="4" w:space="0"/>
              <w:right w:val="single" w:color="auto" w:sz="4" w:space="0"/>
            </w:tcBorders>
            <w:noWrap w:val="0"/>
            <w:vAlign w:val="center"/>
          </w:tcPr>
          <w:p w14:paraId="23A987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p w14:paraId="2DA2F6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名称</w:t>
            </w:r>
          </w:p>
        </w:tc>
        <w:tc>
          <w:tcPr>
            <w:tcW w:w="4476" w:type="pct"/>
            <w:gridSpan w:val="9"/>
            <w:tcBorders>
              <w:top w:val="single" w:color="auto" w:sz="4" w:space="0"/>
              <w:left w:val="nil"/>
              <w:bottom w:val="single" w:color="auto" w:sz="4" w:space="0"/>
              <w:right w:val="single" w:color="auto" w:sz="4" w:space="0"/>
            </w:tcBorders>
            <w:noWrap w:val="0"/>
            <w:vAlign w:val="center"/>
          </w:tcPr>
          <w:p w14:paraId="57F360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Cs w:val="21"/>
              </w:rPr>
              <w:t>绥宁县人民政府办公室</w:t>
            </w:r>
          </w:p>
        </w:tc>
      </w:tr>
      <w:tr w14:paraId="61A32652">
        <w:tblPrEx>
          <w:tblCellMar>
            <w:top w:w="0" w:type="dxa"/>
            <w:left w:w="108" w:type="dxa"/>
            <w:bottom w:w="0" w:type="dxa"/>
            <w:right w:w="108" w:type="dxa"/>
          </w:tblCellMar>
        </w:tblPrEx>
        <w:trPr>
          <w:trHeight w:val="0" w:hRule="atLeast"/>
          <w:jc w:val="center"/>
        </w:trPr>
        <w:tc>
          <w:tcPr>
            <w:tcW w:w="523" w:type="pct"/>
            <w:vMerge w:val="restart"/>
            <w:tcBorders>
              <w:top w:val="nil"/>
              <w:left w:val="single" w:color="auto" w:sz="4" w:space="0"/>
              <w:right w:val="single" w:color="auto" w:sz="4" w:space="0"/>
            </w:tcBorders>
            <w:noWrap w:val="0"/>
            <w:vAlign w:val="center"/>
          </w:tcPr>
          <w:p w14:paraId="525CE2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727" w:type="pct"/>
            <w:gridSpan w:val="2"/>
            <w:tcBorders>
              <w:top w:val="nil"/>
              <w:left w:val="nil"/>
              <w:bottom w:val="single" w:color="auto" w:sz="4" w:space="0"/>
              <w:right w:val="single" w:color="auto" w:sz="4" w:space="0"/>
            </w:tcBorders>
            <w:noWrap w:val="0"/>
            <w:vAlign w:val="center"/>
          </w:tcPr>
          <w:p w14:paraId="23A65C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05" w:type="pct"/>
            <w:tcBorders>
              <w:top w:val="nil"/>
              <w:left w:val="nil"/>
              <w:bottom w:val="single" w:color="auto" w:sz="4" w:space="0"/>
              <w:right w:val="single" w:color="auto" w:sz="4" w:space="0"/>
            </w:tcBorders>
            <w:noWrap w:val="0"/>
            <w:vAlign w:val="center"/>
          </w:tcPr>
          <w:p w14:paraId="0C78EB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w:t>
            </w:r>
          </w:p>
          <w:p w14:paraId="30CEE5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算数</w:t>
            </w:r>
          </w:p>
        </w:tc>
        <w:tc>
          <w:tcPr>
            <w:tcW w:w="1094" w:type="pct"/>
            <w:gridSpan w:val="2"/>
            <w:tcBorders>
              <w:top w:val="nil"/>
              <w:left w:val="nil"/>
              <w:bottom w:val="single" w:color="auto" w:sz="4" w:space="0"/>
              <w:right w:val="single" w:color="auto" w:sz="4" w:space="0"/>
            </w:tcBorders>
            <w:noWrap w:val="0"/>
            <w:vAlign w:val="center"/>
          </w:tcPr>
          <w:p w14:paraId="07480C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673" w:type="pct"/>
            <w:tcBorders>
              <w:top w:val="nil"/>
              <w:left w:val="nil"/>
              <w:bottom w:val="single" w:color="auto" w:sz="4" w:space="0"/>
              <w:right w:val="single" w:color="auto" w:sz="4" w:space="0"/>
            </w:tcBorders>
            <w:noWrap w:val="0"/>
            <w:vAlign w:val="center"/>
          </w:tcPr>
          <w:p w14:paraId="0906EB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336" w:type="pct"/>
            <w:tcBorders>
              <w:top w:val="nil"/>
              <w:left w:val="nil"/>
              <w:bottom w:val="single" w:color="auto" w:sz="4" w:space="0"/>
              <w:right w:val="single" w:color="auto" w:sz="4" w:space="0"/>
            </w:tcBorders>
            <w:noWrap w:val="0"/>
            <w:vAlign w:val="center"/>
          </w:tcPr>
          <w:p w14:paraId="61DC64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445" w:type="pct"/>
            <w:tcBorders>
              <w:top w:val="nil"/>
              <w:left w:val="nil"/>
              <w:bottom w:val="single" w:color="auto" w:sz="4" w:space="0"/>
              <w:right w:val="single" w:color="auto" w:sz="4" w:space="0"/>
            </w:tcBorders>
            <w:noWrap w:val="0"/>
            <w:vAlign w:val="center"/>
          </w:tcPr>
          <w:p w14:paraId="582F58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592" w:type="pct"/>
            <w:tcBorders>
              <w:top w:val="nil"/>
              <w:left w:val="nil"/>
              <w:bottom w:val="single" w:color="auto" w:sz="4" w:space="0"/>
              <w:right w:val="single" w:color="auto" w:sz="4" w:space="0"/>
            </w:tcBorders>
            <w:noWrap w:val="0"/>
            <w:vAlign w:val="center"/>
          </w:tcPr>
          <w:p w14:paraId="16FE2F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1B809776">
        <w:tblPrEx>
          <w:tblCellMar>
            <w:top w:w="0" w:type="dxa"/>
            <w:left w:w="108" w:type="dxa"/>
            <w:bottom w:w="0" w:type="dxa"/>
            <w:right w:w="108" w:type="dxa"/>
          </w:tblCellMar>
        </w:tblPrEx>
        <w:trPr>
          <w:trHeight w:val="0" w:hRule="atLeast"/>
          <w:jc w:val="center"/>
        </w:trPr>
        <w:tc>
          <w:tcPr>
            <w:tcW w:w="523" w:type="pct"/>
            <w:vMerge w:val="continue"/>
            <w:tcBorders>
              <w:top w:val="nil"/>
              <w:left w:val="single" w:color="auto" w:sz="4" w:space="0"/>
              <w:right w:val="single" w:color="auto" w:sz="4" w:space="0"/>
            </w:tcBorders>
            <w:noWrap w:val="0"/>
            <w:vAlign w:val="center"/>
          </w:tcPr>
          <w:p w14:paraId="09B9C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727" w:type="pct"/>
            <w:gridSpan w:val="2"/>
            <w:tcBorders>
              <w:top w:val="nil"/>
              <w:left w:val="nil"/>
              <w:bottom w:val="single" w:color="auto" w:sz="4" w:space="0"/>
              <w:right w:val="single" w:color="auto" w:sz="4" w:space="0"/>
            </w:tcBorders>
            <w:noWrap w:val="0"/>
            <w:vAlign w:val="center"/>
          </w:tcPr>
          <w:p w14:paraId="306C21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w:t>
            </w:r>
          </w:p>
          <w:p w14:paraId="414A04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总额</w:t>
            </w:r>
          </w:p>
        </w:tc>
        <w:tc>
          <w:tcPr>
            <w:tcW w:w="605" w:type="pct"/>
            <w:tcBorders>
              <w:top w:val="nil"/>
              <w:left w:val="nil"/>
              <w:bottom w:val="single" w:color="auto" w:sz="4" w:space="0"/>
              <w:right w:val="single" w:color="auto" w:sz="4" w:space="0"/>
            </w:tcBorders>
            <w:noWrap w:val="0"/>
            <w:vAlign w:val="center"/>
          </w:tcPr>
          <w:p w14:paraId="3A12BC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1070</w:t>
            </w:r>
          </w:p>
        </w:tc>
        <w:tc>
          <w:tcPr>
            <w:tcW w:w="1094" w:type="pct"/>
            <w:gridSpan w:val="2"/>
            <w:tcBorders>
              <w:top w:val="nil"/>
              <w:left w:val="nil"/>
              <w:bottom w:val="single" w:color="auto" w:sz="4" w:space="0"/>
              <w:right w:val="single" w:color="auto" w:sz="4" w:space="0"/>
            </w:tcBorders>
            <w:noWrap w:val="0"/>
            <w:vAlign w:val="center"/>
          </w:tcPr>
          <w:p w14:paraId="0CA53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1538</w:t>
            </w:r>
          </w:p>
        </w:tc>
        <w:tc>
          <w:tcPr>
            <w:tcW w:w="673" w:type="pct"/>
            <w:tcBorders>
              <w:top w:val="nil"/>
              <w:left w:val="nil"/>
              <w:bottom w:val="single" w:color="auto" w:sz="4" w:space="0"/>
              <w:right w:val="single" w:color="auto" w:sz="4" w:space="0"/>
            </w:tcBorders>
            <w:noWrap w:val="0"/>
            <w:vAlign w:val="center"/>
          </w:tcPr>
          <w:p w14:paraId="29477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1537</w:t>
            </w:r>
          </w:p>
        </w:tc>
        <w:tc>
          <w:tcPr>
            <w:tcW w:w="336" w:type="pct"/>
            <w:tcBorders>
              <w:top w:val="nil"/>
              <w:left w:val="nil"/>
              <w:bottom w:val="single" w:color="auto" w:sz="4" w:space="0"/>
              <w:right w:val="single" w:color="auto" w:sz="4" w:space="0"/>
            </w:tcBorders>
            <w:noWrap w:val="0"/>
            <w:vAlign w:val="center"/>
          </w:tcPr>
          <w:p w14:paraId="69947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445" w:type="pct"/>
            <w:tcBorders>
              <w:top w:val="nil"/>
              <w:left w:val="nil"/>
              <w:bottom w:val="single" w:color="auto" w:sz="4" w:space="0"/>
              <w:right w:val="single" w:color="auto" w:sz="4" w:space="0"/>
            </w:tcBorders>
            <w:noWrap w:val="0"/>
            <w:vAlign w:val="center"/>
          </w:tcPr>
          <w:p w14:paraId="53F8C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99.9%</w:t>
            </w:r>
          </w:p>
        </w:tc>
        <w:tc>
          <w:tcPr>
            <w:tcW w:w="592" w:type="pct"/>
            <w:tcBorders>
              <w:top w:val="nil"/>
              <w:left w:val="nil"/>
              <w:bottom w:val="single" w:color="auto" w:sz="4" w:space="0"/>
              <w:right w:val="single" w:color="auto" w:sz="4" w:space="0"/>
            </w:tcBorders>
            <w:noWrap w:val="0"/>
            <w:vAlign w:val="center"/>
          </w:tcPr>
          <w:p w14:paraId="6243EB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3BF35839">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right w:val="single" w:color="auto" w:sz="4" w:space="0"/>
            </w:tcBorders>
            <w:noWrap w:val="0"/>
            <w:vAlign w:val="center"/>
          </w:tcPr>
          <w:p w14:paraId="17C164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nil"/>
              <w:left w:val="nil"/>
              <w:bottom w:val="single" w:color="auto" w:sz="4" w:space="0"/>
              <w:right w:val="single" w:color="auto" w:sz="4" w:space="0"/>
            </w:tcBorders>
            <w:noWrap w:val="0"/>
            <w:vAlign w:val="center"/>
          </w:tcPr>
          <w:p w14:paraId="2E9F4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2048" w:type="pct"/>
            <w:gridSpan w:val="4"/>
            <w:tcBorders>
              <w:top w:val="nil"/>
              <w:left w:val="nil"/>
              <w:bottom w:val="single" w:color="auto" w:sz="4" w:space="0"/>
              <w:right w:val="single" w:color="auto" w:sz="4" w:space="0"/>
            </w:tcBorders>
            <w:noWrap w:val="0"/>
            <w:vAlign w:val="center"/>
          </w:tcPr>
          <w:p w14:paraId="43DD8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45B00D46">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right w:val="single" w:color="auto" w:sz="4" w:space="0"/>
            </w:tcBorders>
            <w:noWrap w:val="0"/>
            <w:vAlign w:val="center"/>
          </w:tcPr>
          <w:p w14:paraId="42F644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nil"/>
              <w:left w:val="nil"/>
              <w:bottom w:val="single" w:color="auto" w:sz="4" w:space="0"/>
              <w:right w:val="single" w:color="auto" w:sz="4" w:space="0"/>
            </w:tcBorders>
            <w:noWrap w:val="0"/>
            <w:vAlign w:val="center"/>
          </w:tcPr>
          <w:p w14:paraId="74FE8309">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1524</w:t>
            </w:r>
          </w:p>
        </w:tc>
        <w:tc>
          <w:tcPr>
            <w:tcW w:w="2048" w:type="pct"/>
            <w:gridSpan w:val="4"/>
            <w:tcBorders>
              <w:top w:val="nil"/>
              <w:left w:val="nil"/>
              <w:bottom w:val="single" w:color="auto" w:sz="4" w:space="0"/>
              <w:right w:val="single" w:color="auto" w:sz="4" w:space="0"/>
            </w:tcBorders>
            <w:noWrap w:val="0"/>
            <w:vAlign w:val="center"/>
          </w:tcPr>
          <w:p w14:paraId="39E49406">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1537</w:t>
            </w:r>
          </w:p>
        </w:tc>
      </w:tr>
      <w:tr w14:paraId="611333E1">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right w:val="single" w:color="auto" w:sz="4" w:space="0"/>
            </w:tcBorders>
            <w:noWrap w:val="0"/>
            <w:vAlign w:val="center"/>
          </w:tcPr>
          <w:p w14:paraId="44045A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nil"/>
              <w:left w:val="nil"/>
              <w:bottom w:val="single" w:color="auto" w:sz="4" w:space="0"/>
              <w:right w:val="single" w:color="auto" w:sz="4" w:space="0"/>
            </w:tcBorders>
            <w:noWrap w:val="0"/>
            <w:vAlign w:val="center"/>
          </w:tcPr>
          <w:p w14:paraId="7A47044D">
            <w:pPr>
              <w:keepNext w:val="0"/>
              <w:keepLines w:val="0"/>
              <w:pageBreakBefore w:val="0"/>
              <w:widowControl w:val="0"/>
              <w:kinsoku/>
              <w:wordWrap/>
              <w:overflowPunct/>
              <w:topLinePunct w:val="0"/>
              <w:autoSpaceDE/>
              <w:autoSpaceDN/>
              <w:bidi w:val="0"/>
              <w:adjustRightInd/>
              <w:snapToGrid/>
              <w:spacing w:line="320" w:lineRule="exact"/>
              <w:ind w:firstLine="840" w:firstLineChars="400"/>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9</w:t>
            </w:r>
          </w:p>
        </w:tc>
        <w:tc>
          <w:tcPr>
            <w:tcW w:w="2048" w:type="pct"/>
            <w:gridSpan w:val="4"/>
            <w:tcBorders>
              <w:top w:val="nil"/>
              <w:left w:val="nil"/>
              <w:bottom w:val="single" w:color="auto" w:sz="4" w:space="0"/>
              <w:right w:val="single" w:color="auto" w:sz="4" w:space="0"/>
            </w:tcBorders>
            <w:noWrap w:val="0"/>
            <w:vAlign w:val="center"/>
          </w:tcPr>
          <w:p w14:paraId="62FD3D35">
            <w:pPr>
              <w:keepNext w:val="0"/>
              <w:keepLines w:val="0"/>
              <w:pageBreakBefore w:val="0"/>
              <w:widowControl w:val="0"/>
              <w:kinsoku/>
              <w:wordWrap/>
              <w:overflowPunct/>
              <w:topLinePunct w:val="0"/>
              <w:autoSpaceDE/>
              <w:autoSpaceDN/>
              <w:bidi w:val="0"/>
              <w:adjustRightInd/>
              <w:snapToGrid/>
              <w:spacing w:line="320" w:lineRule="exact"/>
              <w:ind w:firstLine="840" w:firstLineChars="400"/>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0</w:t>
            </w:r>
          </w:p>
        </w:tc>
      </w:tr>
      <w:tr w14:paraId="6F91D96B">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right w:val="single" w:color="auto" w:sz="4" w:space="0"/>
            </w:tcBorders>
            <w:noWrap w:val="0"/>
            <w:vAlign w:val="center"/>
          </w:tcPr>
          <w:p w14:paraId="649598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nil"/>
              <w:left w:val="nil"/>
              <w:bottom w:val="single" w:color="auto" w:sz="4" w:space="0"/>
              <w:right w:val="single" w:color="auto" w:sz="4" w:space="0"/>
            </w:tcBorders>
            <w:noWrap w:val="0"/>
            <w:vAlign w:val="center"/>
          </w:tcPr>
          <w:p w14:paraId="4068B1EC">
            <w:pPr>
              <w:keepNext w:val="0"/>
              <w:keepLines w:val="0"/>
              <w:pageBreakBefore w:val="0"/>
              <w:widowControl w:val="0"/>
              <w:kinsoku/>
              <w:wordWrap/>
              <w:overflowPunct/>
              <w:topLinePunct w:val="0"/>
              <w:autoSpaceDE/>
              <w:autoSpaceDN/>
              <w:bidi w:val="0"/>
              <w:adjustRightInd/>
              <w:snapToGrid/>
              <w:spacing w:line="320" w:lineRule="exact"/>
              <w:ind w:firstLine="840" w:firstLineChars="40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2048" w:type="pct"/>
            <w:gridSpan w:val="4"/>
            <w:tcBorders>
              <w:top w:val="nil"/>
              <w:left w:val="nil"/>
              <w:bottom w:val="single" w:color="auto" w:sz="4" w:space="0"/>
              <w:right w:val="single" w:color="auto" w:sz="4" w:space="0"/>
            </w:tcBorders>
            <w:noWrap w:val="0"/>
            <w:vAlign w:val="center"/>
          </w:tcPr>
          <w:p w14:paraId="372793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49A4EADE">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bottom w:val="single" w:color="000000" w:sz="4" w:space="0"/>
              <w:right w:val="single" w:color="auto" w:sz="4" w:space="0"/>
            </w:tcBorders>
            <w:noWrap w:val="0"/>
            <w:vAlign w:val="center"/>
          </w:tcPr>
          <w:p w14:paraId="66AFF4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nil"/>
              <w:left w:val="nil"/>
              <w:bottom w:val="single" w:color="auto" w:sz="4" w:space="0"/>
              <w:right w:val="single" w:color="auto" w:sz="4" w:space="0"/>
            </w:tcBorders>
            <w:noWrap w:val="0"/>
            <w:vAlign w:val="center"/>
          </w:tcPr>
          <w:p w14:paraId="24A2267C">
            <w:pPr>
              <w:keepNext w:val="0"/>
              <w:keepLines w:val="0"/>
              <w:pageBreakBefore w:val="0"/>
              <w:widowControl w:val="0"/>
              <w:kinsoku/>
              <w:wordWrap/>
              <w:overflowPunct/>
              <w:topLinePunct w:val="0"/>
              <w:autoSpaceDE/>
              <w:autoSpaceDN/>
              <w:bidi w:val="0"/>
              <w:adjustRightInd/>
              <w:snapToGrid/>
              <w:spacing w:line="320" w:lineRule="exact"/>
              <w:ind w:firstLine="840" w:firstLineChars="400"/>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4</w:t>
            </w:r>
          </w:p>
        </w:tc>
        <w:tc>
          <w:tcPr>
            <w:tcW w:w="2048" w:type="pct"/>
            <w:gridSpan w:val="4"/>
            <w:tcBorders>
              <w:top w:val="nil"/>
              <w:left w:val="nil"/>
              <w:bottom w:val="single" w:color="auto" w:sz="4" w:space="0"/>
              <w:right w:val="single" w:color="auto" w:sz="4" w:space="0"/>
            </w:tcBorders>
            <w:noWrap w:val="0"/>
            <w:vAlign w:val="center"/>
          </w:tcPr>
          <w:p w14:paraId="3A6A0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1E4E1D41">
        <w:tblPrEx>
          <w:tblCellMar>
            <w:top w:w="0" w:type="dxa"/>
            <w:left w:w="108" w:type="dxa"/>
            <w:bottom w:w="0" w:type="dxa"/>
            <w:right w:w="108" w:type="dxa"/>
          </w:tblCellMar>
        </w:tblPrEx>
        <w:trPr>
          <w:trHeight w:val="0" w:hRule="atLeast"/>
          <w:jc w:val="center"/>
        </w:trPr>
        <w:tc>
          <w:tcPr>
            <w:tcW w:w="523" w:type="pct"/>
            <w:vMerge w:val="restart"/>
            <w:tcBorders>
              <w:top w:val="nil"/>
              <w:left w:val="single" w:color="auto" w:sz="4" w:space="0"/>
              <w:bottom w:val="single" w:color="000000" w:sz="4" w:space="0"/>
              <w:right w:val="single" w:color="auto" w:sz="4" w:space="0"/>
            </w:tcBorders>
            <w:noWrap w:val="0"/>
            <w:vAlign w:val="center"/>
          </w:tcPr>
          <w:p w14:paraId="67CDFF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2427" w:type="pct"/>
            <w:gridSpan w:val="5"/>
            <w:tcBorders>
              <w:top w:val="single" w:color="auto" w:sz="4" w:space="0"/>
              <w:left w:val="nil"/>
              <w:bottom w:val="single" w:color="auto" w:sz="4" w:space="0"/>
              <w:right w:val="single" w:color="000000" w:sz="4" w:space="0"/>
            </w:tcBorders>
            <w:noWrap w:val="0"/>
            <w:vAlign w:val="center"/>
          </w:tcPr>
          <w:p w14:paraId="184E46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2048" w:type="pct"/>
            <w:gridSpan w:val="4"/>
            <w:tcBorders>
              <w:top w:val="single" w:color="auto" w:sz="4" w:space="0"/>
              <w:left w:val="nil"/>
              <w:bottom w:val="single" w:color="auto" w:sz="4" w:space="0"/>
              <w:right w:val="single" w:color="auto" w:sz="4" w:space="0"/>
            </w:tcBorders>
            <w:noWrap w:val="0"/>
            <w:vAlign w:val="center"/>
          </w:tcPr>
          <w:p w14:paraId="3DE2DB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77D897FC">
        <w:tblPrEx>
          <w:tblCellMar>
            <w:top w:w="0" w:type="dxa"/>
            <w:left w:w="108" w:type="dxa"/>
            <w:bottom w:w="0" w:type="dxa"/>
            <w:right w:w="108" w:type="dxa"/>
          </w:tblCellMar>
        </w:tblPrEx>
        <w:trPr>
          <w:trHeight w:val="0" w:hRule="atLeast"/>
          <w:jc w:val="center"/>
        </w:trPr>
        <w:tc>
          <w:tcPr>
            <w:tcW w:w="523" w:type="pct"/>
            <w:vMerge w:val="continue"/>
            <w:tcBorders>
              <w:top w:val="nil"/>
              <w:left w:val="single" w:color="auto" w:sz="4" w:space="0"/>
              <w:bottom w:val="single" w:color="auto" w:sz="4" w:space="0"/>
              <w:right w:val="single" w:color="auto" w:sz="4" w:space="0"/>
            </w:tcBorders>
            <w:noWrap w:val="0"/>
            <w:vAlign w:val="center"/>
          </w:tcPr>
          <w:p w14:paraId="5F79EF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2427" w:type="pct"/>
            <w:gridSpan w:val="5"/>
            <w:tcBorders>
              <w:top w:val="single" w:color="auto" w:sz="4" w:space="0"/>
              <w:left w:val="nil"/>
              <w:bottom w:val="single" w:color="auto" w:sz="4" w:space="0"/>
              <w:right w:val="single" w:color="000000" w:sz="4" w:space="0"/>
            </w:tcBorders>
            <w:noWrap w:val="0"/>
            <w:vAlign w:val="center"/>
          </w:tcPr>
          <w:p w14:paraId="5C46FB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Cs w:val="21"/>
              </w:rPr>
              <w:t>保证人员经费正常发放，保证单位工作正常运转，认真完成各项职能职责</w:t>
            </w:r>
          </w:p>
        </w:tc>
        <w:tc>
          <w:tcPr>
            <w:tcW w:w="2048" w:type="pct"/>
            <w:gridSpan w:val="4"/>
            <w:tcBorders>
              <w:top w:val="single" w:color="auto" w:sz="4" w:space="0"/>
              <w:left w:val="nil"/>
              <w:bottom w:val="single" w:color="auto" w:sz="4" w:space="0"/>
              <w:right w:val="single" w:color="auto" w:sz="4" w:space="0"/>
            </w:tcBorders>
            <w:noWrap w:val="0"/>
            <w:vAlign w:val="center"/>
          </w:tcPr>
          <w:p w14:paraId="5C59812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Cs w:val="21"/>
              </w:rPr>
              <w:t>圆满完成年度各项工作任务</w:t>
            </w:r>
          </w:p>
        </w:tc>
      </w:tr>
      <w:tr w14:paraId="39814FC5">
        <w:tblPrEx>
          <w:tblCellMar>
            <w:top w:w="0" w:type="dxa"/>
            <w:left w:w="108" w:type="dxa"/>
            <w:bottom w:w="0" w:type="dxa"/>
            <w:right w:w="108" w:type="dxa"/>
          </w:tblCellMar>
        </w:tblPrEx>
        <w:trPr>
          <w:trHeight w:val="0" w:hRule="atLeast"/>
          <w:jc w:val="center"/>
        </w:trPr>
        <w:tc>
          <w:tcPr>
            <w:tcW w:w="523" w:type="pct"/>
            <w:vMerge w:val="restart"/>
            <w:tcBorders>
              <w:top w:val="single" w:color="auto" w:sz="4" w:space="0"/>
              <w:left w:val="single" w:color="auto" w:sz="4" w:space="0"/>
              <w:right w:val="single" w:color="auto" w:sz="4" w:space="0"/>
            </w:tcBorders>
            <w:noWrap w:val="0"/>
            <w:vAlign w:val="center"/>
          </w:tcPr>
          <w:p w14:paraId="0F0F95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73E1EA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指标</w:t>
            </w:r>
          </w:p>
          <w:p w14:paraId="60743E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lang w:val="en-US" w:eastAsia="zh-CN"/>
              </w:rPr>
              <w:t>（90分）</w:t>
            </w:r>
          </w:p>
        </w:tc>
        <w:tc>
          <w:tcPr>
            <w:tcW w:w="381" w:type="pct"/>
            <w:tcBorders>
              <w:top w:val="single" w:color="auto" w:sz="4" w:space="0"/>
              <w:left w:val="nil"/>
              <w:bottom w:val="single" w:color="auto" w:sz="4" w:space="0"/>
              <w:right w:val="single" w:color="auto" w:sz="4" w:space="0"/>
            </w:tcBorders>
            <w:noWrap w:val="0"/>
            <w:vAlign w:val="center"/>
          </w:tcPr>
          <w:p w14:paraId="5ECD76F4">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346" w:type="pct"/>
            <w:tcBorders>
              <w:top w:val="single" w:color="auto" w:sz="4" w:space="0"/>
              <w:left w:val="nil"/>
              <w:bottom w:val="single" w:color="auto" w:sz="4" w:space="0"/>
              <w:right w:val="single" w:color="auto" w:sz="4" w:space="0"/>
            </w:tcBorders>
            <w:noWrap w:val="0"/>
            <w:vAlign w:val="center"/>
          </w:tcPr>
          <w:p w14:paraId="2EED0E0F">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075" w:type="pct"/>
            <w:gridSpan w:val="2"/>
            <w:tcBorders>
              <w:top w:val="single" w:color="auto" w:sz="4" w:space="0"/>
              <w:left w:val="nil"/>
              <w:bottom w:val="single" w:color="auto" w:sz="4" w:space="0"/>
              <w:right w:val="single" w:color="auto" w:sz="4" w:space="0"/>
            </w:tcBorders>
            <w:noWrap w:val="0"/>
            <w:vAlign w:val="center"/>
          </w:tcPr>
          <w:p w14:paraId="5E01EC39">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624" w:type="pct"/>
            <w:tcBorders>
              <w:top w:val="single" w:color="auto" w:sz="4" w:space="0"/>
              <w:left w:val="nil"/>
              <w:bottom w:val="single" w:color="auto" w:sz="4" w:space="0"/>
              <w:right w:val="single" w:color="auto" w:sz="4" w:space="0"/>
            </w:tcBorders>
            <w:noWrap w:val="0"/>
            <w:vAlign w:val="center"/>
          </w:tcPr>
          <w:p w14:paraId="05BD4E9E">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5645DF1A">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673" w:type="pct"/>
            <w:tcBorders>
              <w:top w:val="single" w:color="auto" w:sz="4" w:space="0"/>
              <w:left w:val="nil"/>
              <w:bottom w:val="single" w:color="auto" w:sz="4" w:space="0"/>
              <w:right w:val="single" w:color="auto" w:sz="4" w:space="0"/>
            </w:tcBorders>
            <w:noWrap w:val="0"/>
            <w:vAlign w:val="center"/>
          </w:tcPr>
          <w:p w14:paraId="45A2E991">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336" w:type="pct"/>
            <w:tcBorders>
              <w:top w:val="single" w:color="auto" w:sz="4" w:space="0"/>
              <w:left w:val="nil"/>
              <w:bottom w:val="single" w:color="auto" w:sz="4" w:space="0"/>
              <w:right w:val="single" w:color="auto" w:sz="4" w:space="0"/>
            </w:tcBorders>
            <w:noWrap w:val="0"/>
            <w:vAlign w:val="center"/>
          </w:tcPr>
          <w:p w14:paraId="36C59732">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445" w:type="pct"/>
            <w:tcBorders>
              <w:top w:val="single" w:color="auto" w:sz="4" w:space="0"/>
              <w:left w:val="nil"/>
              <w:bottom w:val="single" w:color="auto" w:sz="4" w:space="0"/>
              <w:right w:val="single" w:color="auto" w:sz="4" w:space="0"/>
            </w:tcBorders>
            <w:noWrap w:val="0"/>
            <w:vAlign w:val="center"/>
          </w:tcPr>
          <w:p w14:paraId="58BFEFF8">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592" w:type="pct"/>
            <w:tcBorders>
              <w:top w:val="single" w:color="auto" w:sz="4" w:space="0"/>
              <w:left w:val="nil"/>
              <w:bottom w:val="single" w:color="auto" w:sz="4" w:space="0"/>
              <w:right w:val="single" w:color="auto" w:sz="4" w:space="0"/>
            </w:tcBorders>
            <w:noWrap w:val="0"/>
            <w:vAlign w:val="center"/>
          </w:tcPr>
          <w:p w14:paraId="6683F83D">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72236AE1">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61E57A90">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290BD286">
        <w:tblPrEx>
          <w:tblCellMar>
            <w:top w:w="0" w:type="dxa"/>
            <w:left w:w="108" w:type="dxa"/>
            <w:bottom w:w="0" w:type="dxa"/>
            <w:right w:w="108" w:type="dxa"/>
          </w:tblCellMar>
        </w:tblPrEx>
        <w:trPr>
          <w:trHeight w:val="0" w:hRule="atLeast"/>
          <w:jc w:val="center"/>
        </w:trPr>
        <w:tc>
          <w:tcPr>
            <w:tcW w:w="523" w:type="pct"/>
            <w:vMerge w:val="continue"/>
            <w:tcBorders>
              <w:left w:val="single" w:color="auto" w:sz="4" w:space="0"/>
              <w:right w:val="single" w:color="auto" w:sz="4" w:space="0"/>
            </w:tcBorders>
            <w:noWrap w:val="0"/>
            <w:vAlign w:val="center"/>
          </w:tcPr>
          <w:p w14:paraId="09FFB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restart"/>
            <w:tcBorders>
              <w:top w:val="single" w:color="auto" w:sz="4" w:space="0"/>
              <w:left w:val="nil"/>
              <w:bottom w:val="single" w:color="auto" w:sz="4" w:space="0"/>
              <w:right w:val="single" w:color="auto" w:sz="4" w:space="0"/>
            </w:tcBorders>
            <w:noWrap w:val="0"/>
            <w:vAlign w:val="center"/>
          </w:tcPr>
          <w:p w14:paraId="2BBD3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346" w:type="pct"/>
            <w:vMerge w:val="restart"/>
            <w:tcBorders>
              <w:top w:val="single" w:color="auto" w:sz="4" w:space="0"/>
              <w:left w:val="nil"/>
              <w:bottom w:val="single" w:color="auto" w:sz="4" w:space="0"/>
              <w:right w:val="single" w:color="auto" w:sz="4" w:space="0"/>
            </w:tcBorders>
            <w:noWrap w:val="0"/>
            <w:vAlign w:val="center"/>
          </w:tcPr>
          <w:p w14:paraId="35A1C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4347DADB">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发放工资福利及缴纳各项社保等</w:t>
            </w:r>
          </w:p>
        </w:tc>
        <w:tc>
          <w:tcPr>
            <w:tcW w:w="624" w:type="pct"/>
            <w:tcBorders>
              <w:top w:val="single" w:color="auto" w:sz="4" w:space="0"/>
              <w:left w:val="nil"/>
              <w:bottom w:val="single" w:color="auto" w:sz="4" w:space="0"/>
              <w:right w:val="single" w:color="auto" w:sz="4" w:space="0"/>
            </w:tcBorders>
            <w:shd w:val="clear" w:color="auto" w:fill="auto"/>
            <w:noWrap w:val="0"/>
            <w:vAlign w:val="center"/>
          </w:tcPr>
          <w:p w14:paraId="78D728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56人</w:t>
            </w:r>
          </w:p>
        </w:tc>
        <w:tc>
          <w:tcPr>
            <w:tcW w:w="673" w:type="pct"/>
            <w:tcBorders>
              <w:top w:val="single" w:color="auto" w:sz="4" w:space="0"/>
              <w:left w:val="nil"/>
              <w:bottom w:val="single" w:color="auto" w:sz="4" w:space="0"/>
              <w:right w:val="single" w:color="auto" w:sz="4" w:space="0"/>
            </w:tcBorders>
            <w:shd w:val="clear" w:color="auto" w:fill="auto"/>
            <w:noWrap w:val="0"/>
            <w:vAlign w:val="center"/>
          </w:tcPr>
          <w:p w14:paraId="0C5247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56人</w:t>
            </w:r>
          </w:p>
        </w:tc>
        <w:tc>
          <w:tcPr>
            <w:tcW w:w="336" w:type="pct"/>
            <w:tcBorders>
              <w:top w:val="single" w:color="auto" w:sz="4" w:space="0"/>
              <w:left w:val="nil"/>
              <w:bottom w:val="single" w:color="auto" w:sz="4" w:space="0"/>
              <w:right w:val="single" w:color="auto" w:sz="4" w:space="0"/>
            </w:tcBorders>
            <w:shd w:val="clear" w:color="auto" w:fill="auto"/>
            <w:noWrap w:val="0"/>
            <w:vAlign w:val="center"/>
          </w:tcPr>
          <w:p w14:paraId="45B5E4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445" w:type="pct"/>
            <w:tcBorders>
              <w:top w:val="single" w:color="auto" w:sz="4" w:space="0"/>
              <w:left w:val="nil"/>
              <w:bottom w:val="single" w:color="auto" w:sz="4" w:space="0"/>
              <w:right w:val="single" w:color="auto" w:sz="4" w:space="0"/>
            </w:tcBorders>
            <w:shd w:val="clear" w:color="auto" w:fill="auto"/>
            <w:noWrap w:val="0"/>
            <w:vAlign w:val="center"/>
          </w:tcPr>
          <w:p w14:paraId="49180B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592" w:type="pct"/>
            <w:tcBorders>
              <w:top w:val="single" w:color="auto" w:sz="4" w:space="0"/>
              <w:left w:val="nil"/>
              <w:bottom w:val="single" w:color="auto" w:sz="4" w:space="0"/>
              <w:right w:val="single" w:color="auto" w:sz="4" w:space="0"/>
            </w:tcBorders>
            <w:shd w:val="clear" w:color="auto" w:fill="auto"/>
            <w:noWrap w:val="0"/>
            <w:vAlign w:val="center"/>
          </w:tcPr>
          <w:p w14:paraId="704A91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p>
        </w:tc>
      </w:tr>
      <w:tr w14:paraId="582E24DB">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5F9564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7CFF0C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66978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noWrap w:val="0"/>
            <w:vAlign w:val="center"/>
          </w:tcPr>
          <w:p w14:paraId="390FC8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0"/>
                <w:szCs w:val="20"/>
              </w:rPr>
            </w:pPr>
            <w:r>
              <w:rPr>
                <w:rFonts w:hint="eastAsia" w:ascii="仿宋" w:hAnsi="仿宋" w:eastAsia="仿宋" w:cs="仿宋"/>
                <w:sz w:val="20"/>
                <w:szCs w:val="20"/>
              </w:rPr>
              <w:t>绥宁政报编撰</w:t>
            </w:r>
          </w:p>
        </w:tc>
        <w:tc>
          <w:tcPr>
            <w:tcW w:w="624" w:type="pct"/>
            <w:tcBorders>
              <w:top w:val="single" w:color="auto" w:sz="4" w:space="0"/>
              <w:left w:val="nil"/>
              <w:bottom w:val="single" w:color="auto" w:sz="4" w:space="0"/>
              <w:right w:val="single" w:color="auto" w:sz="4" w:space="0"/>
            </w:tcBorders>
            <w:noWrap w:val="0"/>
            <w:vAlign w:val="center"/>
          </w:tcPr>
          <w:p w14:paraId="131E8C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6期</w:t>
            </w:r>
          </w:p>
        </w:tc>
        <w:tc>
          <w:tcPr>
            <w:tcW w:w="673" w:type="pct"/>
            <w:tcBorders>
              <w:top w:val="single" w:color="auto" w:sz="4" w:space="0"/>
              <w:left w:val="nil"/>
              <w:bottom w:val="single" w:color="auto" w:sz="4" w:space="0"/>
              <w:right w:val="single" w:color="auto" w:sz="4" w:space="0"/>
            </w:tcBorders>
            <w:noWrap w:val="0"/>
            <w:vAlign w:val="center"/>
          </w:tcPr>
          <w:p w14:paraId="20BDAB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6期</w:t>
            </w:r>
          </w:p>
        </w:tc>
        <w:tc>
          <w:tcPr>
            <w:tcW w:w="336" w:type="pct"/>
            <w:tcBorders>
              <w:top w:val="single" w:color="auto" w:sz="4" w:space="0"/>
              <w:left w:val="nil"/>
              <w:bottom w:val="single" w:color="auto" w:sz="4" w:space="0"/>
              <w:right w:val="single" w:color="auto" w:sz="4" w:space="0"/>
            </w:tcBorders>
            <w:noWrap w:val="0"/>
            <w:vAlign w:val="center"/>
          </w:tcPr>
          <w:p w14:paraId="4CD2B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6BE716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3FB6C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51FE1C21">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023501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7EEB97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58D418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0634A417">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电子政务内网、外网租赁、视频会议系统运行及线路租费</w:t>
            </w:r>
          </w:p>
        </w:tc>
        <w:tc>
          <w:tcPr>
            <w:tcW w:w="624" w:type="pct"/>
            <w:tcBorders>
              <w:top w:val="single" w:color="auto" w:sz="4" w:space="0"/>
              <w:left w:val="nil"/>
              <w:bottom w:val="single" w:color="auto" w:sz="4" w:space="0"/>
              <w:right w:val="single" w:color="auto" w:sz="4" w:space="0"/>
            </w:tcBorders>
            <w:noWrap w:val="0"/>
            <w:vAlign w:val="center"/>
          </w:tcPr>
          <w:p w14:paraId="43E787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365天</w:t>
            </w:r>
          </w:p>
        </w:tc>
        <w:tc>
          <w:tcPr>
            <w:tcW w:w="673" w:type="pct"/>
            <w:tcBorders>
              <w:top w:val="single" w:color="auto" w:sz="4" w:space="0"/>
              <w:left w:val="nil"/>
              <w:bottom w:val="single" w:color="auto" w:sz="4" w:space="0"/>
              <w:right w:val="single" w:color="auto" w:sz="4" w:space="0"/>
            </w:tcBorders>
            <w:noWrap w:val="0"/>
            <w:vAlign w:val="center"/>
          </w:tcPr>
          <w:p w14:paraId="1E5DAF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365天</w:t>
            </w:r>
          </w:p>
        </w:tc>
        <w:tc>
          <w:tcPr>
            <w:tcW w:w="336" w:type="pct"/>
            <w:tcBorders>
              <w:top w:val="single" w:color="auto" w:sz="4" w:space="0"/>
              <w:left w:val="nil"/>
              <w:bottom w:val="single" w:color="auto" w:sz="4" w:space="0"/>
              <w:right w:val="single" w:color="auto" w:sz="4" w:space="0"/>
            </w:tcBorders>
            <w:noWrap w:val="0"/>
            <w:vAlign w:val="center"/>
          </w:tcPr>
          <w:p w14:paraId="43167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6007B8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555626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120F2C51">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07E3CC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31F5CC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03AF1C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6C858CAA">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防范金融风险打击非法集资、整治金融领域非法活动专项</w:t>
            </w:r>
            <w:r>
              <w:rPr>
                <w:rFonts w:hint="eastAsia" w:ascii="宋体" w:hAnsi="宋体" w:cs="宋体"/>
                <w:i w:val="0"/>
                <w:iCs w:val="0"/>
                <w:color w:val="000000"/>
                <w:kern w:val="0"/>
                <w:sz w:val="14"/>
                <w:szCs w:val="14"/>
                <w:u w:val="none"/>
                <w:lang w:val="en-US" w:eastAsia="zh-CN" w:bidi="ar"/>
              </w:rPr>
              <w:t>工作</w:t>
            </w:r>
          </w:p>
        </w:tc>
        <w:tc>
          <w:tcPr>
            <w:tcW w:w="624" w:type="pct"/>
            <w:tcBorders>
              <w:top w:val="single" w:color="auto" w:sz="4" w:space="0"/>
              <w:left w:val="nil"/>
              <w:bottom w:val="single" w:color="auto" w:sz="4" w:space="0"/>
              <w:right w:val="single" w:color="auto" w:sz="4" w:space="0"/>
            </w:tcBorders>
            <w:noWrap w:val="0"/>
            <w:vAlign w:val="center"/>
          </w:tcPr>
          <w:p w14:paraId="7A2764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1年</w:t>
            </w:r>
          </w:p>
        </w:tc>
        <w:tc>
          <w:tcPr>
            <w:tcW w:w="673" w:type="pct"/>
            <w:tcBorders>
              <w:top w:val="single" w:color="auto" w:sz="4" w:space="0"/>
              <w:left w:val="nil"/>
              <w:bottom w:val="single" w:color="auto" w:sz="4" w:space="0"/>
              <w:right w:val="single" w:color="auto" w:sz="4" w:space="0"/>
            </w:tcBorders>
            <w:noWrap w:val="0"/>
            <w:vAlign w:val="center"/>
          </w:tcPr>
          <w:p w14:paraId="65EBAD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lang w:eastAsia="zh-CN"/>
              </w:rPr>
              <w:t>年</w:t>
            </w:r>
          </w:p>
        </w:tc>
        <w:tc>
          <w:tcPr>
            <w:tcW w:w="336" w:type="pct"/>
            <w:tcBorders>
              <w:top w:val="single" w:color="auto" w:sz="4" w:space="0"/>
              <w:left w:val="nil"/>
              <w:bottom w:val="single" w:color="auto" w:sz="4" w:space="0"/>
              <w:right w:val="single" w:color="auto" w:sz="4" w:space="0"/>
            </w:tcBorders>
            <w:noWrap w:val="0"/>
            <w:vAlign w:val="center"/>
          </w:tcPr>
          <w:p w14:paraId="745948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34A9DB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1FDE40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5456103F">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1BABE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6AC4B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06C7C7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4AFAD4DC">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政府发展研究中心外出调研、撰写文稿等工作</w:t>
            </w:r>
          </w:p>
        </w:tc>
        <w:tc>
          <w:tcPr>
            <w:tcW w:w="624" w:type="pct"/>
            <w:tcBorders>
              <w:top w:val="single" w:color="auto" w:sz="4" w:space="0"/>
              <w:left w:val="nil"/>
              <w:bottom w:val="single" w:color="auto" w:sz="4" w:space="0"/>
              <w:right w:val="single" w:color="auto" w:sz="4" w:space="0"/>
            </w:tcBorders>
            <w:noWrap w:val="0"/>
            <w:vAlign w:val="center"/>
          </w:tcPr>
          <w:p w14:paraId="04B4FA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1年</w:t>
            </w:r>
          </w:p>
        </w:tc>
        <w:tc>
          <w:tcPr>
            <w:tcW w:w="673" w:type="pct"/>
            <w:tcBorders>
              <w:top w:val="single" w:color="auto" w:sz="4" w:space="0"/>
              <w:left w:val="nil"/>
              <w:bottom w:val="single" w:color="auto" w:sz="4" w:space="0"/>
              <w:right w:val="single" w:color="auto" w:sz="4" w:space="0"/>
            </w:tcBorders>
            <w:noWrap w:val="0"/>
            <w:vAlign w:val="center"/>
          </w:tcPr>
          <w:p w14:paraId="2E971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1年</w:t>
            </w:r>
          </w:p>
        </w:tc>
        <w:tc>
          <w:tcPr>
            <w:tcW w:w="336" w:type="pct"/>
            <w:tcBorders>
              <w:top w:val="single" w:color="auto" w:sz="4" w:space="0"/>
              <w:left w:val="nil"/>
              <w:bottom w:val="single" w:color="auto" w:sz="4" w:space="0"/>
              <w:right w:val="single" w:color="auto" w:sz="4" w:space="0"/>
            </w:tcBorders>
            <w:noWrap w:val="0"/>
            <w:vAlign w:val="center"/>
          </w:tcPr>
          <w:p w14:paraId="11CC20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445" w:type="pct"/>
            <w:tcBorders>
              <w:top w:val="single" w:color="auto" w:sz="4" w:space="0"/>
              <w:left w:val="nil"/>
              <w:bottom w:val="single" w:color="auto" w:sz="4" w:space="0"/>
              <w:right w:val="single" w:color="auto" w:sz="4" w:space="0"/>
            </w:tcBorders>
            <w:noWrap w:val="0"/>
            <w:vAlign w:val="center"/>
          </w:tcPr>
          <w:p w14:paraId="1DC14B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p>
        </w:tc>
        <w:tc>
          <w:tcPr>
            <w:tcW w:w="592" w:type="pct"/>
            <w:tcBorders>
              <w:top w:val="single" w:color="auto" w:sz="4" w:space="0"/>
              <w:left w:val="nil"/>
              <w:bottom w:val="single" w:color="auto" w:sz="4" w:space="0"/>
              <w:right w:val="single" w:color="auto" w:sz="4" w:space="0"/>
            </w:tcBorders>
            <w:noWrap w:val="0"/>
            <w:vAlign w:val="center"/>
          </w:tcPr>
          <w:p w14:paraId="6A7B21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3FF9C8A3">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42DB61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0FBE4C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5DCA6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48A44CEA">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促进楠竹产业发展提质增效工作</w:t>
            </w:r>
          </w:p>
        </w:tc>
        <w:tc>
          <w:tcPr>
            <w:tcW w:w="624" w:type="pct"/>
            <w:tcBorders>
              <w:top w:val="single" w:color="auto" w:sz="4" w:space="0"/>
              <w:left w:val="nil"/>
              <w:bottom w:val="single" w:color="auto" w:sz="4" w:space="0"/>
              <w:right w:val="single" w:color="auto" w:sz="4" w:space="0"/>
            </w:tcBorders>
            <w:noWrap w:val="0"/>
            <w:vAlign w:val="center"/>
          </w:tcPr>
          <w:p w14:paraId="50DE80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1年</w:t>
            </w:r>
          </w:p>
        </w:tc>
        <w:tc>
          <w:tcPr>
            <w:tcW w:w="673" w:type="pct"/>
            <w:tcBorders>
              <w:top w:val="single" w:color="auto" w:sz="4" w:space="0"/>
              <w:left w:val="nil"/>
              <w:bottom w:val="single" w:color="auto" w:sz="4" w:space="0"/>
              <w:right w:val="single" w:color="auto" w:sz="4" w:space="0"/>
            </w:tcBorders>
            <w:noWrap w:val="0"/>
            <w:vAlign w:val="center"/>
          </w:tcPr>
          <w:p w14:paraId="5C3B01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1年</w:t>
            </w:r>
          </w:p>
        </w:tc>
        <w:tc>
          <w:tcPr>
            <w:tcW w:w="336" w:type="pct"/>
            <w:tcBorders>
              <w:top w:val="single" w:color="auto" w:sz="4" w:space="0"/>
              <w:left w:val="nil"/>
              <w:bottom w:val="single" w:color="auto" w:sz="4" w:space="0"/>
              <w:right w:val="single" w:color="auto" w:sz="4" w:space="0"/>
            </w:tcBorders>
            <w:noWrap w:val="0"/>
            <w:vAlign w:val="center"/>
          </w:tcPr>
          <w:p w14:paraId="758BF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2C80CE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31A574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268491AF">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68DA9D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245C97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41FF44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0D8FAE87">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民兵武器仓库和训练基地管理站工作</w:t>
            </w:r>
          </w:p>
        </w:tc>
        <w:tc>
          <w:tcPr>
            <w:tcW w:w="624" w:type="pct"/>
            <w:tcBorders>
              <w:top w:val="single" w:color="auto" w:sz="4" w:space="0"/>
              <w:left w:val="nil"/>
              <w:bottom w:val="single" w:color="auto" w:sz="4" w:space="0"/>
              <w:right w:val="single" w:color="auto" w:sz="4" w:space="0"/>
            </w:tcBorders>
            <w:noWrap w:val="0"/>
            <w:vAlign w:val="center"/>
          </w:tcPr>
          <w:p w14:paraId="3F3C2E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1年</w:t>
            </w:r>
          </w:p>
        </w:tc>
        <w:tc>
          <w:tcPr>
            <w:tcW w:w="673" w:type="pct"/>
            <w:tcBorders>
              <w:top w:val="single" w:color="auto" w:sz="4" w:space="0"/>
              <w:left w:val="nil"/>
              <w:bottom w:val="single" w:color="auto" w:sz="4" w:space="0"/>
              <w:right w:val="single" w:color="auto" w:sz="4" w:space="0"/>
            </w:tcBorders>
            <w:noWrap w:val="0"/>
            <w:vAlign w:val="center"/>
          </w:tcPr>
          <w:p w14:paraId="2C4DB8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1年</w:t>
            </w:r>
          </w:p>
        </w:tc>
        <w:tc>
          <w:tcPr>
            <w:tcW w:w="336" w:type="pct"/>
            <w:tcBorders>
              <w:top w:val="single" w:color="auto" w:sz="4" w:space="0"/>
              <w:left w:val="nil"/>
              <w:bottom w:val="single" w:color="auto" w:sz="4" w:space="0"/>
              <w:right w:val="single" w:color="auto" w:sz="4" w:space="0"/>
            </w:tcBorders>
            <w:noWrap w:val="0"/>
            <w:vAlign w:val="center"/>
          </w:tcPr>
          <w:p w14:paraId="0AAC2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7AB9C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599233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32B006E6">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5D6E4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3898DD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7DB5AD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2EEE93C8">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调研、督查、出差</w:t>
            </w:r>
          </w:p>
        </w:tc>
        <w:tc>
          <w:tcPr>
            <w:tcW w:w="624" w:type="pct"/>
            <w:tcBorders>
              <w:top w:val="single" w:color="auto" w:sz="4" w:space="0"/>
              <w:left w:val="nil"/>
              <w:bottom w:val="single" w:color="auto" w:sz="4" w:space="0"/>
              <w:right w:val="single" w:color="auto" w:sz="4" w:space="0"/>
            </w:tcBorders>
            <w:noWrap w:val="0"/>
            <w:vAlign w:val="center"/>
          </w:tcPr>
          <w:p w14:paraId="7D72C7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6000次</w:t>
            </w:r>
          </w:p>
        </w:tc>
        <w:tc>
          <w:tcPr>
            <w:tcW w:w="673" w:type="pct"/>
            <w:tcBorders>
              <w:top w:val="single" w:color="auto" w:sz="4" w:space="0"/>
              <w:left w:val="nil"/>
              <w:bottom w:val="single" w:color="auto" w:sz="4" w:space="0"/>
              <w:right w:val="single" w:color="auto" w:sz="4" w:space="0"/>
            </w:tcBorders>
            <w:noWrap w:val="0"/>
            <w:vAlign w:val="center"/>
          </w:tcPr>
          <w:p w14:paraId="622052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6000次</w:t>
            </w:r>
          </w:p>
        </w:tc>
        <w:tc>
          <w:tcPr>
            <w:tcW w:w="336" w:type="pct"/>
            <w:tcBorders>
              <w:top w:val="single" w:color="auto" w:sz="4" w:space="0"/>
              <w:left w:val="nil"/>
              <w:bottom w:val="single" w:color="auto" w:sz="4" w:space="0"/>
              <w:right w:val="single" w:color="auto" w:sz="4" w:space="0"/>
            </w:tcBorders>
            <w:noWrap w:val="0"/>
            <w:vAlign w:val="center"/>
          </w:tcPr>
          <w:p w14:paraId="3F5EF0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174439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028C5D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30977A22">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5282F2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20D9F1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7B4544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605ADF46">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档案整理</w:t>
            </w:r>
          </w:p>
        </w:tc>
        <w:tc>
          <w:tcPr>
            <w:tcW w:w="624" w:type="pct"/>
            <w:tcBorders>
              <w:top w:val="single" w:color="auto" w:sz="4" w:space="0"/>
              <w:left w:val="nil"/>
              <w:bottom w:val="single" w:color="auto" w:sz="4" w:space="0"/>
              <w:right w:val="single" w:color="auto" w:sz="4" w:space="0"/>
            </w:tcBorders>
            <w:noWrap w:val="0"/>
            <w:vAlign w:val="center"/>
          </w:tcPr>
          <w:p w14:paraId="6547FD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1次</w:t>
            </w:r>
          </w:p>
        </w:tc>
        <w:tc>
          <w:tcPr>
            <w:tcW w:w="673" w:type="pct"/>
            <w:tcBorders>
              <w:top w:val="single" w:color="auto" w:sz="4" w:space="0"/>
              <w:left w:val="nil"/>
              <w:bottom w:val="single" w:color="auto" w:sz="4" w:space="0"/>
              <w:right w:val="single" w:color="auto" w:sz="4" w:space="0"/>
            </w:tcBorders>
            <w:noWrap w:val="0"/>
            <w:vAlign w:val="center"/>
          </w:tcPr>
          <w:p w14:paraId="308EFF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336" w:type="pct"/>
            <w:tcBorders>
              <w:top w:val="single" w:color="auto" w:sz="4" w:space="0"/>
              <w:left w:val="nil"/>
              <w:bottom w:val="single" w:color="auto" w:sz="4" w:space="0"/>
              <w:right w:val="single" w:color="auto" w:sz="4" w:space="0"/>
            </w:tcBorders>
            <w:noWrap w:val="0"/>
            <w:vAlign w:val="center"/>
          </w:tcPr>
          <w:p w14:paraId="2ADB6F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795971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577D31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6C8A81E1">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656109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auto" w:sz="4" w:space="0"/>
              <w:right w:val="single" w:color="auto" w:sz="4" w:space="0"/>
            </w:tcBorders>
            <w:noWrap w:val="0"/>
            <w:vAlign w:val="center"/>
          </w:tcPr>
          <w:p w14:paraId="7F4DC6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auto" w:sz="4" w:space="0"/>
              <w:left w:val="nil"/>
              <w:bottom w:val="single" w:color="auto" w:sz="4" w:space="0"/>
              <w:right w:val="single" w:color="auto" w:sz="4" w:space="0"/>
            </w:tcBorders>
            <w:noWrap w:val="0"/>
            <w:vAlign w:val="center"/>
          </w:tcPr>
          <w:p w14:paraId="24B4CF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0DBA5875">
            <w:pPr>
              <w:keepNext w:val="0"/>
              <w:keepLines w:val="0"/>
              <w:widowControl/>
              <w:suppressLineNumbers w:val="0"/>
              <w:jc w:val="left"/>
              <w:textAlignment w:val="center"/>
              <w:rPr>
                <w:rFonts w:hint="eastAsia" w:ascii="宋体" w:hAnsi="宋体" w:eastAsia="宋体" w:cs="宋体"/>
                <w:i w:val="0"/>
                <w:iCs w:val="0"/>
                <w:color w:val="000000"/>
                <w:kern w:val="2"/>
                <w:sz w:val="14"/>
                <w:szCs w:val="14"/>
                <w:u w:val="none"/>
                <w:lang w:val="en-US" w:eastAsia="zh-CN" w:bidi="ar-SA"/>
              </w:rPr>
            </w:pPr>
            <w:r>
              <w:rPr>
                <w:rFonts w:ascii="宋体" w:hAnsi="宋体" w:eastAsia="宋体" w:cs="宋体"/>
                <w:i w:val="0"/>
                <w:iCs w:val="0"/>
                <w:color w:val="000000"/>
                <w:kern w:val="0"/>
                <w:sz w:val="14"/>
                <w:szCs w:val="14"/>
                <w:u w:val="none"/>
                <w:lang w:val="en-US" w:eastAsia="zh-CN" w:bidi="ar"/>
              </w:rPr>
              <w:t>24小时值班值守和信息报送</w:t>
            </w:r>
          </w:p>
        </w:tc>
        <w:tc>
          <w:tcPr>
            <w:tcW w:w="624" w:type="pct"/>
            <w:tcBorders>
              <w:top w:val="single" w:color="auto" w:sz="4" w:space="0"/>
              <w:left w:val="nil"/>
              <w:bottom w:val="single" w:color="auto" w:sz="4" w:space="0"/>
              <w:right w:val="single" w:color="auto" w:sz="4" w:space="0"/>
            </w:tcBorders>
            <w:noWrap w:val="0"/>
            <w:vAlign w:val="center"/>
          </w:tcPr>
          <w:p w14:paraId="5E522D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365天</w:t>
            </w:r>
          </w:p>
        </w:tc>
        <w:tc>
          <w:tcPr>
            <w:tcW w:w="673" w:type="pct"/>
            <w:tcBorders>
              <w:top w:val="single" w:color="auto" w:sz="4" w:space="0"/>
              <w:left w:val="nil"/>
              <w:bottom w:val="single" w:color="auto" w:sz="4" w:space="0"/>
              <w:right w:val="single" w:color="auto" w:sz="4" w:space="0"/>
            </w:tcBorders>
            <w:noWrap w:val="0"/>
            <w:vAlign w:val="center"/>
          </w:tcPr>
          <w:p w14:paraId="72C90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365天</w:t>
            </w:r>
          </w:p>
        </w:tc>
        <w:tc>
          <w:tcPr>
            <w:tcW w:w="336" w:type="pct"/>
            <w:tcBorders>
              <w:top w:val="single" w:color="auto" w:sz="4" w:space="0"/>
              <w:left w:val="nil"/>
              <w:bottom w:val="single" w:color="auto" w:sz="4" w:space="0"/>
              <w:right w:val="single" w:color="auto" w:sz="4" w:space="0"/>
            </w:tcBorders>
            <w:noWrap w:val="0"/>
            <w:vAlign w:val="center"/>
          </w:tcPr>
          <w:p w14:paraId="4329DA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445" w:type="pct"/>
            <w:tcBorders>
              <w:top w:val="single" w:color="auto" w:sz="4" w:space="0"/>
              <w:left w:val="nil"/>
              <w:bottom w:val="single" w:color="auto" w:sz="4" w:space="0"/>
              <w:right w:val="single" w:color="auto" w:sz="4" w:space="0"/>
            </w:tcBorders>
            <w:noWrap w:val="0"/>
            <w:vAlign w:val="center"/>
          </w:tcPr>
          <w:p w14:paraId="2F1681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w:t>
            </w:r>
          </w:p>
        </w:tc>
        <w:tc>
          <w:tcPr>
            <w:tcW w:w="592" w:type="pct"/>
            <w:tcBorders>
              <w:top w:val="single" w:color="auto" w:sz="4" w:space="0"/>
              <w:left w:val="nil"/>
              <w:bottom w:val="single" w:color="auto" w:sz="4" w:space="0"/>
              <w:right w:val="single" w:color="auto" w:sz="4" w:space="0"/>
            </w:tcBorders>
            <w:noWrap w:val="0"/>
            <w:vAlign w:val="center"/>
          </w:tcPr>
          <w:p w14:paraId="2D19C8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5FDA8871">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36450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nil"/>
              <w:bottom w:val="single" w:color="000000" w:sz="4" w:space="0"/>
              <w:right w:val="single" w:color="auto" w:sz="4" w:space="0"/>
            </w:tcBorders>
            <w:noWrap w:val="0"/>
            <w:vAlign w:val="center"/>
          </w:tcPr>
          <w:p w14:paraId="76B251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auto" w:sz="4" w:space="0"/>
              <w:left w:val="nil"/>
              <w:bottom w:val="single" w:color="000000" w:sz="4" w:space="0"/>
              <w:right w:val="single" w:color="auto" w:sz="4" w:space="0"/>
            </w:tcBorders>
            <w:noWrap w:val="0"/>
            <w:vAlign w:val="center"/>
          </w:tcPr>
          <w:p w14:paraId="5EB381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203767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验收合格率</w:t>
            </w:r>
          </w:p>
        </w:tc>
        <w:tc>
          <w:tcPr>
            <w:tcW w:w="624" w:type="pct"/>
            <w:tcBorders>
              <w:top w:val="single" w:color="auto" w:sz="4" w:space="0"/>
              <w:left w:val="nil"/>
              <w:bottom w:val="single" w:color="auto" w:sz="4" w:space="0"/>
              <w:right w:val="single" w:color="auto" w:sz="4" w:space="0"/>
            </w:tcBorders>
            <w:shd w:val="clear" w:color="auto" w:fill="auto"/>
            <w:noWrap w:val="0"/>
            <w:vAlign w:val="center"/>
          </w:tcPr>
          <w:p w14:paraId="1525EF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673" w:type="pct"/>
            <w:tcBorders>
              <w:top w:val="single" w:color="auto" w:sz="4" w:space="0"/>
              <w:left w:val="nil"/>
              <w:bottom w:val="single" w:color="auto" w:sz="4" w:space="0"/>
              <w:right w:val="single" w:color="auto" w:sz="4" w:space="0"/>
            </w:tcBorders>
            <w:shd w:val="clear" w:color="auto" w:fill="auto"/>
            <w:noWrap w:val="0"/>
            <w:vAlign w:val="center"/>
          </w:tcPr>
          <w:p w14:paraId="1F9D2A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95%</w:t>
            </w:r>
          </w:p>
        </w:tc>
        <w:tc>
          <w:tcPr>
            <w:tcW w:w="336" w:type="pct"/>
            <w:tcBorders>
              <w:top w:val="single" w:color="auto" w:sz="4" w:space="0"/>
              <w:left w:val="nil"/>
              <w:bottom w:val="single" w:color="auto" w:sz="4" w:space="0"/>
              <w:right w:val="single" w:color="auto" w:sz="4" w:space="0"/>
            </w:tcBorders>
            <w:shd w:val="clear" w:color="auto" w:fill="auto"/>
            <w:noWrap w:val="0"/>
            <w:vAlign w:val="center"/>
          </w:tcPr>
          <w:p w14:paraId="24AF66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445" w:type="pct"/>
            <w:tcBorders>
              <w:top w:val="single" w:color="auto" w:sz="4" w:space="0"/>
              <w:left w:val="nil"/>
              <w:bottom w:val="single" w:color="auto" w:sz="4" w:space="0"/>
              <w:right w:val="single" w:color="auto" w:sz="4" w:space="0"/>
            </w:tcBorders>
            <w:shd w:val="clear" w:color="auto" w:fill="auto"/>
            <w:noWrap w:val="0"/>
            <w:vAlign w:val="center"/>
          </w:tcPr>
          <w:p w14:paraId="7AEF0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8</w:t>
            </w:r>
          </w:p>
        </w:tc>
        <w:tc>
          <w:tcPr>
            <w:tcW w:w="592" w:type="pct"/>
            <w:tcBorders>
              <w:top w:val="single" w:color="auto" w:sz="4" w:space="0"/>
              <w:left w:val="nil"/>
              <w:bottom w:val="single" w:color="auto" w:sz="4" w:space="0"/>
              <w:right w:val="single" w:color="auto" w:sz="4" w:space="0"/>
            </w:tcBorders>
            <w:noWrap w:val="0"/>
            <w:vAlign w:val="center"/>
          </w:tcPr>
          <w:p w14:paraId="07169C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33619C72">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111FAD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nil"/>
              <w:bottom w:val="single" w:color="000000" w:sz="4" w:space="0"/>
              <w:right w:val="single" w:color="auto" w:sz="4" w:space="0"/>
            </w:tcBorders>
            <w:noWrap w:val="0"/>
            <w:vAlign w:val="center"/>
          </w:tcPr>
          <w:p w14:paraId="72DE4E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000000" w:sz="4" w:space="0"/>
              <w:left w:val="nil"/>
              <w:bottom w:val="single" w:color="000000" w:sz="4" w:space="0"/>
              <w:right w:val="single" w:color="auto" w:sz="4" w:space="0"/>
            </w:tcBorders>
            <w:noWrap w:val="0"/>
            <w:vAlign w:val="center"/>
          </w:tcPr>
          <w:p w14:paraId="6FBA5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auto" w:sz="4" w:space="0"/>
              <w:left w:val="nil"/>
              <w:bottom w:val="single" w:color="auto" w:sz="4" w:space="0"/>
              <w:right w:val="single" w:color="auto" w:sz="4" w:space="0"/>
            </w:tcBorders>
            <w:noWrap w:val="0"/>
            <w:vAlign w:val="center"/>
          </w:tcPr>
          <w:p w14:paraId="78CF17C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rPr>
            </w:pPr>
          </w:p>
        </w:tc>
        <w:tc>
          <w:tcPr>
            <w:tcW w:w="624" w:type="pct"/>
            <w:tcBorders>
              <w:top w:val="single" w:color="auto" w:sz="4" w:space="0"/>
              <w:left w:val="nil"/>
              <w:bottom w:val="single" w:color="auto" w:sz="4" w:space="0"/>
              <w:right w:val="single" w:color="auto" w:sz="4" w:space="0"/>
            </w:tcBorders>
            <w:noWrap w:val="0"/>
            <w:vAlign w:val="center"/>
          </w:tcPr>
          <w:p w14:paraId="2B43A9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single" w:color="auto" w:sz="4" w:space="0"/>
              <w:left w:val="nil"/>
              <w:bottom w:val="single" w:color="auto" w:sz="4" w:space="0"/>
              <w:right w:val="single" w:color="auto" w:sz="4" w:space="0"/>
            </w:tcBorders>
            <w:noWrap w:val="0"/>
            <w:vAlign w:val="center"/>
          </w:tcPr>
          <w:p w14:paraId="4B3D49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auto" w:sz="4" w:space="0"/>
              <w:left w:val="nil"/>
              <w:bottom w:val="single" w:color="auto" w:sz="4" w:space="0"/>
              <w:right w:val="single" w:color="auto" w:sz="4" w:space="0"/>
            </w:tcBorders>
            <w:noWrap w:val="0"/>
            <w:vAlign w:val="center"/>
          </w:tcPr>
          <w:p w14:paraId="1E0030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auto" w:sz="4" w:space="0"/>
              <w:left w:val="nil"/>
              <w:bottom w:val="single" w:color="auto" w:sz="4" w:space="0"/>
              <w:right w:val="single" w:color="auto" w:sz="4" w:space="0"/>
            </w:tcBorders>
            <w:noWrap w:val="0"/>
            <w:vAlign w:val="center"/>
          </w:tcPr>
          <w:p w14:paraId="098393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auto" w:sz="4" w:space="0"/>
              <w:left w:val="nil"/>
              <w:bottom w:val="single" w:color="auto" w:sz="4" w:space="0"/>
              <w:right w:val="single" w:color="auto" w:sz="4" w:space="0"/>
            </w:tcBorders>
            <w:noWrap w:val="0"/>
            <w:vAlign w:val="center"/>
          </w:tcPr>
          <w:p w14:paraId="5FDF2B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710F5AE9">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225FAF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nil"/>
              <w:bottom w:val="single" w:color="auto" w:sz="4" w:space="0"/>
              <w:right w:val="single" w:color="auto" w:sz="4" w:space="0"/>
            </w:tcBorders>
            <w:noWrap w:val="0"/>
            <w:vAlign w:val="center"/>
          </w:tcPr>
          <w:p w14:paraId="30DCA8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000000" w:sz="4" w:space="0"/>
              <w:left w:val="nil"/>
              <w:right w:val="single" w:color="auto" w:sz="4" w:space="0"/>
            </w:tcBorders>
            <w:noWrap w:val="0"/>
            <w:vAlign w:val="center"/>
          </w:tcPr>
          <w:p w14:paraId="008692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075" w:type="pct"/>
            <w:gridSpan w:val="2"/>
            <w:tcBorders>
              <w:top w:val="nil"/>
              <w:left w:val="nil"/>
              <w:bottom w:val="single" w:color="auto" w:sz="4" w:space="0"/>
              <w:right w:val="single" w:color="auto" w:sz="4" w:space="0"/>
            </w:tcBorders>
            <w:shd w:val="clear" w:color="auto" w:fill="auto"/>
            <w:noWrap w:val="0"/>
            <w:vAlign w:val="center"/>
          </w:tcPr>
          <w:p w14:paraId="4B4FA4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资金拨付及时率</w:t>
            </w:r>
          </w:p>
        </w:tc>
        <w:tc>
          <w:tcPr>
            <w:tcW w:w="624" w:type="pct"/>
            <w:tcBorders>
              <w:top w:val="nil"/>
              <w:left w:val="nil"/>
              <w:bottom w:val="single" w:color="auto" w:sz="4" w:space="0"/>
              <w:right w:val="single" w:color="auto" w:sz="4" w:space="0"/>
            </w:tcBorders>
            <w:shd w:val="clear" w:color="auto" w:fill="auto"/>
            <w:noWrap w:val="0"/>
            <w:vAlign w:val="center"/>
          </w:tcPr>
          <w:p w14:paraId="11BC43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673" w:type="pct"/>
            <w:tcBorders>
              <w:top w:val="nil"/>
              <w:left w:val="nil"/>
              <w:bottom w:val="single" w:color="auto" w:sz="4" w:space="0"/>
              <w:right w:val="single" w:color="auto" w:sz="4" w:space="0"/>
            </w:tcBorders>
            <w:shd w:val="clear" w:color="auto" w:fill="auto"/>
            <w:noWrap w:val="0"/>
            <w:vAlign w:val="center"/>
          </w:tcPr>
          <w:p w14:paraId="2BBE81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90%</w:t>
            </w:r>
          </w:p>
        </w:tc>
        <w:tc>
          <w:tcPr>
            <w:tcW w:w="336" w:type="pct"/>
            <w:tcBorders>
              <w:top w:val="nil"/>
              <w:left w:val="nil"/>
              <w:bottom w:val="single" w:color="auto" w:sz="4" w:space="0"/>
              <w:right w:val="single" w:color="auto" w:sz="4" w:space="0"/>
            </w:tcBorders>
            <w:shd w:val="clear" w:color="auto" w:fill="auto"/>
            <w:noWrap w:val="0"/>
            <w:vAlign w:val="center"/>
          </w:tcPr>
          <w:p w14:paraId="56994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445" w:type="pct"/>
            <w:tcBorders>
              <w:top w:val="nil"/>
              <w:left w:val="nil"/>
              <w:bottom w:val="single" w:color="auto" w:sz="4" w:space="0"/>
              <w:right w:val="single" w:color="auto" w:sz="4" w:space="0"/>
            </w:tcBorders>
            <w:shd w:val="clear" w:color="auto" w:fill="auto"/>
            <w:noWrap w:val="0"/>
            <w:vAlign w:val="center"/>
          </w:tcPr>
          <w:p w14:paraId="4BE15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4</w:t>
            </w:r>
          </w:p>
        </w:tc>
        <w:tc>
          <w:tcPr>
            <w:tcW w:w="592" w:type="pct"/>
            <w:tcBorders>
              <w:top w:val="nil"/>
              <w:left w:val="nil"/>
              <w:bottom w:val="single" w:color="auto" w:sz="4" w:space="0"/>
              <w:right w:val="single" w:color="auto" w:sz="4" w:space="0"/>
            </w:tcBorders>
            <w:shd w:val="clear" w:color="auto" w:fill="auto"/>
            <w:noWrap w:val="0"/>
            <w:vAlign w:val="center"/>
          </w:tcPr>
          <w:p w14:paraId="20BDDE8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县财政资金困难</w:t>
            </w:r>
          </w:p>
        </w:tc>
      </w:tr>
      <w:tr w14:paraId="75EFA0A8">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088A3A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nil"/>
              <w:bottom w:val="single" w:color="auto" w:sz="4" w:space="0"/>
              <w:right w:val="single" w:color="auto" w:sz="4" w:space="0"/>
            </w:tcBorders>
            <w:noWrap w:val="0"/>
            <w:vAlign w:val="center"/>
          </w:tcPr>
          <w:p w14:paraId="74B626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nil"/>
              <w:bottom w:val="single" w:color="auto" w:sz="4" w:space="0"/>
              <w:right w:val="single" w:color="auto" w:sz="4" w:space="0"/>
            </w:tcBorders>
            <w:noWrap w:val="0"/>
            <w:vAlign w:val="center"/>
          </w:tcPr>
          <w:p w14:paraId="1CF17D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nil"/>
              <w:left w:val="nil"/>
              <w:bottom w:val="single" w:color="auto" w:sz="4" w:space="0"/>
              <w:right w:val="single" w:color="auto" w:sz="4" w:space="0"/>
            </w:tcBorders>
            <w:shd w:val="clear" w:color="auto" w:fill="auto"/>
            <w:noWrap w:val="0"/>
            <w:vAlign w:val="center"/>
          </w:tcPr>
          <w:p w14:paraId="413013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工作完成及时率</w:t>
            </w:r>
          </w:p>
        </w:tc>
        <w:tc>
          <w:tcPr>
            <w:tcW w:w="624" w:type="pct"/>
            <w:tcBorders>
              <w:top w:val="nil"/>
              <w:left w:val="nil"/>
              <w:bottom w:val="single" w:color="auto" w:sz="4" w:space="0"/>
              <w:right w:val="single" w:color="auto" w:sz="4" w:space="0"/>
            </w:tcBorders>
            <w:shd w:val="clear" w:color="auto" w:fill="auto"/>
            <w:noWrap w:val="0"/>
            <w:vAlign w:val="center"/>
          </w:tcPr>
          <w:p w14:paraId="50AB4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673" w:type="pct"/>
            <w:tcBorders>
              <w:top w:val="nil"/>
              <w:left w:val="nil"/>
              <w:bottom w:val="single" w:color="auto" w:sz="4" w:space="0"/>
              <w:right w:val="single" w:color="auto" w:sz="4" w:space="0"/>
            </w:tcBorders>
            <w:shd w:val="clear" w:color="auto" w:fill="auto"/>
            <w:noWrap w:val="0"/>
            <w:vAlign w:val="center"/>
          </w:tcPr>
          <w:p w14:paraId="4674BF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336" w:type="pct"/>
            <w:tcBorders>
              <w:top w:val="nil"/>
              <w:left w:val="nil"/>
              <w:bottom w:val="single" w:color="auto" w:sz="4" w:space="0"/>
              <w:right w:val="single" w:color="auto" w:sz="4" w:space="0"/>
            </w:tcBorders>
            <w:shd w:val="clear" w:color="auto" w:fill="auto"/>
            <w:noWrap w:val="0"/>
            <w:vAlign w:val="center"/>
          </w:tcPr>
          <w:p w14:paraId="79D1CF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445" w:type="pct"/>
            <w:tcBorders>
              <w:top w:val="nil"/>
              <w:left w:val="nil"/>
              <w:bottom w:val="single" w:color="auto" w:sz="4" w:space="0"/>
              <w:right w:val="single" w:color="auto" w:sz="4" w:space="0"/>
            </w:tcBorders>
            <w:shd w:val="clear" w:color="auto" w:fill="auto"/>
            <w:noWrap w:val="0"/>
            <w:vAlign w:val="center"/>
          </w:tcPr>
          <w:p w14:paraId="5FDB8A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592" w:type="pct"/>
            <w:tcBorders>
              <w:top w:val="nil"/>
              <w:left w:val="nil"/>
              <w:bottom w:val="single" w:color="auto" w:sz="4" w:space="0"/>
              <w:right w:val="single" w:color="auto" w:sz="4" w:space="0"/>
            </w:tcBorders>
            <w:shd w:val="clear" w:color="auto" w:fill="auto"/>
            <w:noWrap w:val="0"/>
            <w:vAlign w:val="center"/>
          </w:tcPr>
          <w:p w14:paraId="60561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p>
        </w:tc>
      </w:tr>
      <w:tr w14:paraId="0A068B82">
        <w:tblPrEx>
          <w:tblCellMar>
            <w:top w:w="0" w:type="dxa"/>
            <w:left w:w="108" w:type="dxa"/>
            <w:bottom w:w="0" w:type="dxa"/>
            <w:right w:w="108" w:type="dxa"/>
          </w:tblCellMar>
        </w:tblPrEx>
        <w:trPr>
          <w:trHeight w:val="567" w:hRule="exact"/>
          <w:jc w:val="center"/>
        </w:trPr>
        <w:tc>
          <w:tcPr>
            <w:tcW w:w="523" w:type="pct"/>
            <w:vMerge w:val="continue"/>
            <w:tcBorders>
              <w:left w:val="single" w:color="auto" w:sz="4" w:space="0"/>
              <w:right w:val="single" w:color="auto" w:sz="4" w:space="0"/>
            </w:tcBorders>
            <w:noWrap w:val="0"/>
            <w:vAlign w:val="center"/>
          </w:tcPr>
          <w:p w14:paraId="06F7C3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left w:val="nil"/>
              <w:bottom w:val="single" w:color="auto" w:sz="4" w:space="0"/>
              <w:right w:val="single" w:color="auto" w:sz="4" w:space="0"/>
            </w:tcBorders>
            <w:noWrap w:val="0"/>
            <w:vAlign w:val="center"/>
          </w:tcPr>
          <w:p w14:paraId="49E52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auto" w:sz="4" w:space="0"/>
              <w:left w:val="nil"/>
              <w:bottom w:val="single" w:color="auto" w:sz="4" w:space="0"/>
              <w:right w:val="single" w:color="auto" w:sz="4" w:space="0"/>
            </w:tcBorders>
            <w:noWrap w:val="0"/>
            <w:vAlign w:val="center"/>
          </w:tcPr>
          <w:p w14:paraId="5EB850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075" w:type="pct"/>
            <w:gridSpan w:val="2"/>
            <w:tcBorders>
              <w:top w:val="nil"/>
              <w:left w:val="nil"/>
              <w:bottom w:val="single" w:color="auto" w:sz="4" w:space="0"/>
              <w:right w:val="single" w:color="auto" w:sz="4" w:space="0"/>
            </w:tcBorders>
            <w:shd w:val="clear" w:color="auto" w:fill="auto"/>
            <w:noWrap w:val="0"/>
            <w:vAlign w:val="center"/>
          </w:tcPr>
          <w:p w14:paraId="498B21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基本支出</w:t>
            </w:r>
            <w:r>
              <w:rPr>
                <w:rFonts w:hint="eastAsia" w:ascii="仿宋" w:hAnsi="仿宋" w:eastAsia="仿宋" w:cs="仿宋"/>
                <w:sz w:val="20"/>
                <w:szCs w:val="20"/>
                <w:lang w:eastAsia="zh-CN"/>
              </w:rPr>
              <w:t>控制额</w:t>
            </w:r>
          </w:p>
        </w:tc>
        <w:tc>
          <w:tcPr>
            <w:tcW w:w="624" w:type="pct"/>
            <w:tcBorders>
              <w:top w:val="nil"/>
              <w:left w:val="nil"/>
              <w:bottom w:val="single" w:color="auto" w:sz="4" w:space="0"/>
              <w:right w:val="single" w:color="auto" w:sz="4" w:space="0"/>
            </w:tcBorders>
            <w:shd w:val="clear" w:color="auto" w:fill="auto"/>
            <w:noWrap w:val="0"/>
            <w:vAlign w:val="center"/>
          </w:tcPr>
          <w:p w14:paraId="3C2F47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1537</w:t>
            </w:r>
          </w:p>
        </w:tc>
        <w:tc>
          <w:tcPr>
            <w:tcW w:w="673" w:type="pct"/>
            <w:tcBorders>
              <w:top w:val="nil"/>
              <w:left w:val="nil"/>
              <w:bottom w:val="single" w:color="auto" w:sz="4" w:space="0"/>
              <w:right w:val="single" w:color="auto" w:sz="4" w:space="0"/>
            </w:tcBorders>
            <w:shd w:val="clear" w:color="auto" w:fill="auto"/>
            <w:noWrap w:val="0"/>
            <w:vAlign w:val="center"/>
          </w:tcPr>
          <w:p w14:paraId="2A3CAE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1537</w:t>
            </w:r>
          </w:p>
        </w:tc>
        <w:tc>
          <w:tcPr>
            <w:tcW w:w="336" w:type="pct"/>
            <w:tcBorders>
              <w:top w:val="nil"/>
              <w:left w:val="nil"/>
              <w:bottom w:val="single" w:color="auto" w:sz="4" w:space="0"/>
              <w:right w:val="single" w:color="auto" w:sz="4" w:space="0"/>
            </w:tcBorders>
            <w:shd w:val="clear" w:color="auto" w:fill="auto"/>
            <w:noWrap w:val="0"/>
            <w:vAlign w:val="center"/>
          </w:tcPr>
          <w:p w14:paraId="6F25FC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445" w:type="pct"/>
            <w:tcBorders>
              <w:top w:val="nil"/>
              <w:left w:val="nil"/>
              <w:bottom w:val="single" w:color="auto" w:sz="4" w:space="0"/>
              <w:right w:val="single" w:color="auto" w:sz="4" w:space="0"/>
            </w:tcBorders>
            <w:shd w:val="clear" w:color="auto" w:fill="auto"/>
            <w:noWrap w:val="0"/>
            <w:vAlign w:val="center"/>
          </w:tcPr>
          <w:p w14:paraId="432609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592" w:type="pct"/>
            <w:tcBorders>
              <w:top w:val="nil"/>
              <w:left w:val="nil"/>
              <w:bottom w:val="single" w:color="auto" w:sz="4" w:space="0"/>
              <w:right w:val="single" w:color="auto" w:sz="4" w:space="0"/>
            </w:tcBorders>
            <w:shd w:val="clear" w:color="auto" w:fill="auto"/>
            <w:noWrap w:val="0"/>
            <w:vAlign w:val="center"/>
          </w:tcPr>
          <w:p w14:paraId="63F86F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p>
        </w:tc>
      </w:tr>
      <w:tr w14:paraId="4C8CF9C1">
        <w:tblPrEx>
          <w:tblCellMar>
            <w:top w:w="0" w:type="dxa"/>
            <w:left w:w="108" w:type="dxa"/>
            <w:bottom w:w="0" w:type="dxa"/>
            <w:right w:w="108" w:type="dxa"/>
          </w:tblCellMar>
        </w:tblPrEx>
        <w:trPr>
          <w:trHeight w:val="470" w:hRule="exact"/>
          <w:jc w:val="center"/>
        </w:trPr>
        <w:tc>
          <w:tcPr>
            <w:tcW w:w="523" w:type="pct"/>
            <w:vMerge w:val="continue"/>
            <w:tcBorders>
              <w:left w:val="single" w:color="auto" w:sz="4" w:space="0"/>
              <w:bottom w:val="single" w:color="000000" w:sz="4" w:space="0"/>
              <w:right w:val="single" w:color="auto" w:sz="4" w:space="0"/>
            </w:tcBorders>
            <w:noWrap w:val="0"/>
            <w:vAlign w:val="center"/>
          </w:tcPr>
          <w:p w14:paraId="580281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left w:val="nil"/>
              <w:bottom w:val="single" w:color="000000" w:sz="4" w:space="0"/>
              <w:right w:val="single" w:color="auto" w:sz="4" w:space="0"/>
            </w:tcBorders>
            <w:noWrap w:val="0"/>
            <w:vAlign w:val="center"/>
          </w:tcPr>
          <w:p w14:paraId="32870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nil"/>
              <w:bottom w:val="single" w:color="000000" w:sz="4" w:space="0"/>
              <w:right w:val="single" w:color="auto" w:sz="4" w:space="0"/>
            </w:tcBorders>
            <w:noWrap w:val="0"/>
            <w:vAlign w:val="center"/>
          </w:tcPr>
          <w:p w14:paraId="4BB3C9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nil"/>
              <w:left w:val="nil"/>
              <w:bottom w:val="single" w:color="000000" w:sz="4" w:space="0"/>
              <w:right w:val="single" w:color="auto" w:sz="4" w:space="0"/>
            </w:tcBorders>
            <w:noWrap w:val="0"/>
            <w:vAlign w:val="center"/>
          </w:tcPr>
          <w:p w14:paraId="00C1B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624" w:type="pct"/>
            <w:tcBorders>
              <w:top w:val="nil"/>
              <w:left w:val="nil"/>
              <w:bottom w:val="single" w:color="000000" w:sz="4" w:space="0"/>
              <w:right w:val="single" w:color="auto" w:sz="4" w:space="0"/>
            </w:tcBorders>
            <w:noWrap w:val="0"/>
            <w:vAlign w:val="center"/>
          </w:tcPr>
          <w:p w14:paraId="69CA0D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673" w:type="pct"/>
            <w:tcBorders>
              <w:top w:val="nil"/>
              <w:left w:val="nil"/>
              <w:bottom w:val="single" w:color="000000" w:sz="4" w:space="0"/>
              <w:right w:val="single" w:color="auto" w:sz="4" w:space="0"/>
            </w:tcBorders>
            <w:noWrap w:val="0"/>
            <w:vAlign w:val="center"/>
          </w:tcPr>
          <w:p w14:paraId="6F8E77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336" w:type="pct"/>
            <w:tcBorders>
              <w:top w:val="nil"/>
              <w:left w:val="nil"/>
              <w:bottom w:val="single" w:color="000000" w:sz="4" w:space="0"/>
              <w:right w:val="single" w:color="auto" w:sz="4" w:space="0"/>
            </w:tcBorders>
            <w:noWrap w:val="0"/>
            <w:vAlign w:val="center"/>
          </w:tcPr>
          <w:p w14:paraId="1F0F5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nil"/>
              <w:left w:val="nil"/>
              <w:bottom w:val="single" w:color="000000" w:sz="4" w:space="0"/>
              <w:right w:val="single" w:color="auto" w:sz="4" w:space="0"/>
            </w:tcBorders>
            <w:noWrap w:val="0"/>
            <w:vAlign w:val="center"/>
          </w:tcPr>
          <w:p w14:paraId="307176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nil"/>
              <w:left w:val="nil"/>
              <w:bottom w:val="single" w:color="000000" w:sz="4" w:space="0"/>
              <w:right w:val="single" w:color="auto" w:sz="4" w:space="0"/>
            </w:tcBorders>
            <w:noWrap w:val="0"/>
            <w:vAlign w:val="center"/>
          </w:tcPr>
          <w:p w14:paraId="7C9A94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4B84CC81">
        <w:tblPrEx>
          <w:tblCellMar>
            <w:top w:w="0" w:type="dxa"/>
            <w:left w:w="108" w:type="dxa"/>
            <w:bottom w:w="0" w:type="dxa"/>
            <w:right w:w="108" w:type="dxa"/>
          </w:tblCellMar>
        </w:tblPrEx>
        <w:trPr>
          <w:trHeight w:val="371" w:hRule="exact"/>
          <w:jc w:val="center"/>
        </w:trPr>
        <w:tc>
          <w:tcPr>
            <w:tcW w:w="523" w:type="pct"/>
            <w:vMerge w:val="restart"/>
            <w:tcBorders>
              <w:top w:val="single" w:color="000000" w:sz="4" w:space="0"/>
              <w:left w:val="single" w:color="auto" w:sz="4" w:space="0"/>
              <w:right w:val="single" w:color="auto" w:sz="4" w:space="0"/>
            </w:tcBorders>
            <w:noWrap w:val="0"/>
            <w:vAlign w:val="center"/>
          </w:tcPr>
          <w:p w14:paraId="07491E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6BC84D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指标</w:t>
            </w:r>
          </w:p>
          <w:p w14:paraId="348909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（90分）</w:t>
            </w:r>
          </w:p>
        </w:tc>
        <w:tc>
          <w:tcPr>
            <w:tcW w:w="381" w:type="pct"/>
            <w:vMerge w:val="restart"/>
            <w:tcBorders>
              <w:top w:val="single" w:color="000000" w:sz="4" w:space="0"/>
              <w:left w:val="single" w:color="auto" w:sz="4" w:space="0"/>
              <w:bottom w:val="single" w:color="000000" w:sz="4" w:space="0"/>
              <w:right w:val="single" w:color="auto" w:sz="4" w:space="0"/>
            </w:tcBorders>
            <w:noWrap w:val="0"/>
            <w:vAlign w:val="center"/>
          </w:tcPr>
          <w:p w14:paraId="46B8DB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tc>
        <w:tc>
          <w:tcPr>
            <w:tcW w:w="346" w:type="pct"/>
            <w:vMerge w:val="restart"/>
            <w:tcBorders>
              <w:top w:val="single" w:color="000000" w:sz="4" w:space="0"/>
              <w:left w:val="single" w:color="auto" w:sz="4" w:space="0"/>
              <w:bottom w:val="single" w:color="000000" w:sz="4" w:space="0"/>
              <w:right w:val="single" w:color="auto" w:sz="4" w:space="0"/>
            </w:tcBorders>
            <w:noWrap w:val="0"/>
            <w:vAlign w:val="center"/>
          </w:tcPr>
          <w:p w14:paraId="53CF6F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075" w:type="pct"/>
            <w:gridSpan w:val="2"/>
            <w:tcBorders>
              <w:top w:val="single" w:color="000000" w:sz="4" w:space="0"/>
              <w:left w:val="single" w:color="auto" w:sz="4" w:space="0"/>
              <w:bottom w:val="single" w:color="000000" w:sz="4" w:space="0"/>
              <w:right w:val="single" w:color="auto" w:sz="4" w:space="0"/>
            </w:tcBorders>
            <w:noWrap w:val="0"/>
            <w:vAlign w:val="center"/>
          </w:tcPr>
          <w:p w14:paraId="5D3EE7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624" w:type="pct"/>
            <w:tcBorders>
              <w:top w:val="single" w:color="000000" w:sz="4" w:space="0"/>
              <w:left w:val="nil"/>
              <w:bottom w:val="single" w:color="000000" w:sz="4" w:space="0"/>
              <w:right w:val="single" w:color="auto" w:sz="4" w:space="0"/>
            </w:tcBorders>
            <w:noWrap w:val="0"/>
            <w:vAlign w:val="center"/>
          </w:tcPr>
          <w:p w14:paraId="14D7E3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673" w:type="pct"/>
            <w:tcBorders>
              <w:top w:val="single" w:color="000000" w:sz="4" w:space="0"/>
              <w:left w:val="nil"/>
              <w:bottom w:val="single" w:color="000000" w:sz="4" w:space="0"/>
              <w:right w:val="single" w:color="auto" w:sz="4" w:space="0"/>
            </w:tcBorders>
            <w:noWrap w:val="0"/>
            <w:vAlign w:val="center"/>
          </w:tcPr>
          <w:p w14:paraId="675EF0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000000" w:sz="4" w:space="0"/>
              <w:left w:val="nil"/>
              <w:bottom w:val="single" w:color="000000" w:sz="4" w:space="0"/>
              <w:right w:val="single" w:color="auto" w:sz="4" w:space="0"/>
            </w:tcBorders>
            <w:noWrap w:val="0"/>
            <w:vAlign w:val="center"/>
          </w:tcPr>
          <w:p w14:paraId="563E2C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000000" w:sz="4" w:space="0"/>
              <w:left w:val="nil"/>
              <w:bottom w:val="single" w:color="000000" w:sz="4" w:space="0"/>
              <w:right w:val="single" w:color="auto" w:sz="4" w:space="0"/>
            </w:tcBorders>
            <w:noWrap w:val="0"/>
            <w:vAlign w:val="center"/>
          </w:tcPr>
          <w:p w14:paraId="1576F5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000000" w:sz="4" w:space="0"/>
              <w:left w:val="nil"/>
              <w:bottom w:val="single" w:color="000000" w:sz="4" w:space="0"/>
              <w:right w:val="single" w:color="auto" w:sz="4" w:space="0"/>
            </w:tcBorders>
            <w:noWrap w:val="0"/>
            <w:vAlign w:val="center"/>
          </w:tcPr>
          <w:p w14:paraId="172730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45464DB9">
        <w:tblPrEx>
          <w:tblCellMar>
            <w:top w:w="0" w:type="dxa"/>
            <w:left w:w="108" w:type="dxa"/>
            <w:bottom w:w="0" w:type="dxa"/>
            <w:right w:w="108" w:type="dxa"/>
          </w:tblCellMar>
        </w:tblPrEx>
        <w:trPr>
          <w:trHeight w:val="650" w:hRule="exact"/>
          <w:jc w:val="center"/>
        </w:trPr>
        <w:tc>
          <w:tcPr>
            <w:tcW w:w="523" w:type="pct"/>
            <w:vMerge w:val="continue"/>
            <w:tcBorders>
              <w:left w:val="single" w:color="auto" w:sz="4" w:space="0"/>
              <w:right w:val="single" w:color="auto" w:sz="4" w:space="0"/>
            </w:tcBorders>
            <w:noWrap w:val="0"/>
            <w:vAlign w:val="center"/>
          </w:tcPr>
          <w:p w14:paraId="09F8B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29A97A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top w:val="single" w:color="000000" w:sz="4" w:space="0"/>
              <w:left w:val="single" w:color="auto" w:sz="4" w:space="0"/>
              <w:bottom w:val="single" w:color="auto" w:sz="4" w:space="0"/>
              <w:right w:val="single" w:color="auto" w:sz="4" w:space="0"/>
            </w:tcBorders>
            <w:noWrap w:val="0"/>
            <w:vAlign w:val="center"/>
          </w:tcPr>
          <w:p w14:paraId="00433A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000000" w:sz="4" w:space="0"/>
              <w:left w:val="nil"/>
              <w:bottom w:val="single" w:color="auto" w:sz="4" w:space="0"/>
              <w:right w:val="single" w:color="auto" w:sz="4" w:space="0"/>
            </w:tcBorders>
            <w:noWrap w:val="0"/>
            <w:vAlign w:val="center"/>
          </w:tcPr>
          <w:p w14:paraId="0AE63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24" w:type="pct"/>
            <w:tcBorders>
              <w:top w:val="single" w:color="000000" w:sz="4" w:space="0"/>
              <w:left w:val="nil"/>
              <w:bottom w:val="single" w:color="auto" w:sz="4" w:space="0"/>
              <w:right w:val="single" w:color="auto" w:sz="4" w:space="0"/>
            </w:tcBorders>
            <w:noWrap w:val="0"/>
            <w:vAlign w:val="center"/>
          </w:tcPr>
          <w:p w14:paraId="2E4E6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single" w:color="000000" w:sz="4" w:space="0"/>
              <w:left w:val="nil"/>
              <w:bottom w:val="single" w:color="auto" w:sz="4" w:space="0"/>
              <w:right w:val="single" w:color="auto" w:sz="4" w:space="0"/>
            </w:tcBorders>
            <w:noWrap w:val="0"/>
            <w:vAlign w:val="center"/>
          </w:tcPr>
          <w:p w14:paraId="00F49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000000" w:sz="4" w:space="0"/>
              <w:left w:val="nil"/>
              <w:bottom w:val="single" w:color="auto" w:sz="4" w:space="0"/>
              <w:right w:val="single" w:color="auto" w:sz="4" w:space="0"/>
            </w:tcBorders>
            <w:noWrap w:val="0"/>
            <w:vAlign w:val="center"/>
          </w:tcPr>
          <w:p w14:paraId="559ACA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000000" w:sz="4" w:space="0"/>
              <w:left w:val="nil"/>
              <w:bottom w:val="single" w:color="auto" w:sz="4" w:space="0"/>
              <w:right w:val="single" w:color="auto" w:sz="4" w:space="0"/>
            </w:tcBorders>
            <w:noWrap w:val="0"/>
            <w:vAlign w:val="center"/>
          </w:tcPr>
          <w:p w14:paraId="641F91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000000" w:sz="4" w:space="0"/>
              <w:left w:val="nil"/>
              <w:bottom w:val="single" w:color="auto" w:sz="4" w:space="0"/>
              <w:right w:val="single" w:color="auto" w:sz="4" w:space="0"/>
            </w:tcBorders>
            <w:noWrap w:val="0"/>
            <w:vAlign w:val="center"/>
          </w:tcPr>
          <w:p w14:paraId="4D803C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p w14:paraId="1319D3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1A7572EC">
        <w:tblPrEx>
          <w:tblCellMar>
            <w:top w:w="0" w:type="dxa"/>
            <w:left w:w="108" w:type="dxa"/>
            <w:bottom w:w="0" w:type="dxa"/>
            <w:right w:w="108" w:type="dxa"/>
          </w:tblCellMar>
        </w:tblPrEx>
        <w:trPr>
          <w:trHeight w:val="737" w:hRule="exact"/>
          <w:jc w:val="center"/>
        </w:trPr>
        <w:tc>
          <w:tcPr>
            <w:tcW w:w="523" w:type="pct"/>
            <w:vMerge w:val="continue"/>
            <w:tcBorders>
              <w:left w:val="single" w:color="auto" w:sz="4" w:space="0"/>
              <w:right w:val="single" w:color="auto" w:sz="4" w:space="0"/>
            </w:tcBorders>
            <w:noWrap w:val="0"/>
            <w:vAlign w:val="center"/>
          </w:tcPr>
          <w:p w14:paraId="4D90E3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269122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000000" w:sz="4" w:space="0"/>
              <w:left w:val="single" w:color="auto" w:sz="4" w:space="0"/>
              <w:right w:val="single" w:color="auto" w:sz="4" w:space="0"/>
            </w:tcBorders>
            <w:noWrap w:val="0"/>
            <w:vAlign w:val="center"/>
          </w:tcPr>
          <w:p w14:paraId="11F240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075" w:type="pct"/>
            <w:gridSpan w:val="2"/>
            <w:tcBorders>
              <w:top w:val="single" w:color="000000" w:sz="4" w:space="0"/>
              <w:left w:val="nil"/>
              <w:bottom w:val="single" w:color="auto" w:sz="4" w:space="0"/>
              <w:right w:val="single" w:color="auto" w:sz="4" w:space="0"/>
            </w:tcBorders>
            <w:shd w:val="clear" w:color="auto" w:fill="auto"/>
            <w:noWrap w:val="0"/>
            <w:vAlign w:val="center"/>
          </w:tcPr>
          <w:p w14:paraId="526F2E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全县人民</w:t>
            </w:r>
            <w:r>
              <w:rPr>
                <w:rFonts w:hint="eastAsia" w:ascii="仿宋" w:hAnsi="仿宋" w:eastAsia="仿宋" w:cs="仿宋"/>
                <w:color w:val="000000"/>
                <w:kern w:val="0"/>
                <w:szCs w:val="21"/>
                <w:lang w:eastAsia="zh-CN"/>
              </w:rPr>
              <w:t>受益度</w:t>
            </w:r>
          </w:p>
        </w:tc>
        <w:tc>
          <w:tcPr>
            <w:tcW w:w="624" w:type="pct"/>
            <w:tcBorders>
              <w:top w:val="single" w:color="000000" w:sz="4" w:space="0"/>
              <w:left w:val="nil"/>
              <w:bottom w:val="single" w:color="auto" w:sz="4" w:space="0"/>
              <w:right w:val="single" w:color="auto" w:sz="4" w:space="0"/>
            </w:tcBorders>
            <w:shd w:val="clear" w:color="auto" w:fill="auto"/>
            <w:noWrap w:val="0"/>
            <w:vAlign w:val="center"/>
          </w:tcPr>
          <w:p w14:paraId="01853F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38.5万人口</w:t>
            </w:r>
          </w:p>
        </w:tc>
        <w:tc>
          <w:tcPr>
            <w:tcW w:w="673" w:type="pct"/>
            <w:tcBorders>
              <w:top w:val="single" w:color="000000" w:sz="4" w:space="0"/>
              <w:left w:val="nil"/>
              <w:bottom w:val="single" w:color="auto" w:sz="4" w:space="0"/>
              <w:right w:val="single" w:color="auto" w:sz="4" w:space="0"/>
            </w:tcBorders>
            <w:shd w:val="clear" w:color="auto" w:fill="auto"/>
            <w:noWrap w:val="0"/>
            <w:vAlign w:val="center"/>
          </w:tcPr>
          <w:p w14:paraId="277791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38.5万人口</w:t>
            </w:r>
          </w:p>
        </w:tc>
        <w:tc>
          <w:tcPr>
            <w:tcW w:w="336" w:type="pct"/>
            <w:tcBorders>
              <w:top w:val="single" w:color="000000" w:sz="4" w:space="0"/>
              <w:left w:val="nil"/>
              <w:bottom w:val="single" w:color="auto" w:sz="4" w:space="0"/>
              <w:right w:val="single" w:color="auto" w:sz="4" w:space="0"/>
            </w:tcBorders>
            <w:shd w:val="clear" w:color="auto" w:fill="auto"/>
            <w:noWrap w:val="0"/>
            <w:vAlign w:val="center"/>
          </w:tcPr>
          <w:p w14:paraId="390A4F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445" w:type="pct"/>
            <w:tcBorders>
              <w:top w:val="single" w:color="000000" w:sz="4" w:space="0"/>
              <w:left w:val="nil"/>
              <w:bottom w:val="single" w:color="auto" w:sz="4" w:space="0"/>
              <w:right w:val="single" w:color="auto" w:sz="4" w:space="0"/>
            </w:tcBorders>
            <w:shd w:val="clear" w:color="auto" w:fill="auto"/>
            <w:noWrap w:val="0"/>
            <w:vAlign w:val="center"/>
          </w:tcPr>
          <w:p w14:paraId="5610F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13</w:t>
            </w:r>
          </w:p>
        </w:tc>
        <w:tc>
          <w:tcPr>
            <w:tcW w:w="592" w:type="pct"/>
            <w:tcBorders>
              <w:top w:val="single" w:color="000000" w:sz="4" w:space="0"/>
              <w:left w:val="nil"/>
              <w:bottom w:val="single" w:color="auto" w:sz="4" w:space="0"/>
              <w:right w:val="single" w:color="auto" w:sz="4" w:space="0"/>
            </w:tcBorders>
            <w:noWrap w:val="0"/>
            <w:vAlign w:val="center"/>
          </w:tcPr>
          <w:p w14:paraId="79399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7B396D52">
        <w:tblPrEx>
          <w:tblCellMar>
            <w:top w:w="0" w:type="dxa"/>
            <w:left w:w="108" w:type="dxa"/>
            <w:bottom w:w="0" w:type="dxa"/>
            <w:right w:w="108" w:type="dxa"/>
          </w:tblCellMar>
        </w:tblPrEx>
        <w:trPr>
          <w:trHeight w:val="492" w:hRule="exact"/>
          <w:jc w:val="center"/>
        </w:trPr>
        <w:tc>
          <w:tcPr>
            <w:tcW w:w="523" w:type="pct"/>
            <w:vMerge w:val="continue"/>
            <w:tcBorders>
              <w:left w:val="single" w:color="auto" w:sz="4" w:space="0"/>
              <w:right w:val="single" w:color="auto" w:sz="4" w:space="0"/>
            </w:tcBorders>
            <w:noWrap w:val="0"/>
            <w:vAlign w:val="center"/>
          </w:tcPr>
          <w:p w14:paraId="7A00FE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10C63E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single" w:color="auto" w:sz="4" w:space="0"/>
              <w:bottom w:val="single" w:color="auto" w:sz="4" w:space="0"/>
              <w:right w:val="single" w:color="auto" w:sz="4" w:space="0"/>
            </w:tcBorders>
            <w:noWrap w:val="0"/>
            <w:vAlign w:val="center"/>
          </w:tcPr>
          <w:p w14:paraId="3CC401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000000" w:sz="4" w:space="0"/>
              <w:left w:val="nil"/>
              <w:bottom w:val="single" w:color="auto" w:sz="4" w:space="0"/>
              <w:right w:val="single" w:color="auto" w:sz="4" w:space="0"/>
            </w:tcBorders>
            <w:noWrap w:val="0"/>
            <w:vAlign w:val="center"/>
          </w:tcPr>
          <w:p w14:paraId="398C31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24" w:type="pct"/>
            <w:tcBorders>
              <w:top w:val="single" w:color="000000" w:sz="4" w:space="0"/>
              <w:left w:val="nil"/>
              <w:bottom w:val="single" w:color="auto" w:sz="4" w:space="0"/>
              <w:right w:val="single" w:color="auto" w:sz="4" w:space="0"/>
            </w:tcBorders>
            <w:noWrap w:val="0"/>
            <w:vAlign w:val="center"/>
          </w:tcPr>
          <w:p w14:paraId="2F2AD8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single" w:color="000000" w:sz="4" w:space="0"/>
              <w:left w:val="nil"/>
              <w:bottom w:val="single" w:color="auto" w:sz="4" w:space="0"/>
              <w:right w:val="single" w:color="auto" w:sz="4" w:space="0"/>
            </w:tcBorders>
            <w:noWrap w:val="0"/>
            <w:vAlign w:val="center"/>
          </w:tcPr>
          <w:p w14:paraId="5E28F4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000000" w:sz="4" w:space="0"/>
              <w:left w:val="nil"/>
              <w:bottom w:val="single" w:color="auto" w:sz="4" w:space="0"/>
              <w:right w:val="single" w:color="auto" w:sz="4" w:space="0"/>
            </w:tcBorders>
            <w:noWrap w:val="0"/>
            <w:vAlign w:val="center"/>
          </w:tcPr>
          <w:p w14:paraId="22EE46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000000" w:sz="4" w:space="0"/>
              <w:left w:val="nil"/>
              <w:bottom w:val="single" w:color="auto" w:sz="4" w:space="0"/>
              <w:right w:val="single" w:color="auto" w:sz="4" w:space="0"/>
            </w:tcBorders>
            <w:noWrap w:val="0"/>
            <w:vAlign w:val="center"/>
          </w:tcPr>
          <w:p w14:paraId="6595F5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000000" w:sz="4" w:space="0"/>
              <w:left w:val="nil"/>
              <w:bottom w:val="single" w:color="auto" w:sz="4" w:space="0"/>
              <w:right w:val="single" w:color="auto" w:sz="4" w:space="0"/>
            </w:tcBorders>
            <w:noWrap w:val="0"/>
            <w:vAlign w:val="center"/>
          </w:tcPr>
          <w:p w14:paraId="5BA583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20D42D60">
        <w:tblPrEx>
          <w:tblCellMar>
            <w:top w:w="0" w:type="dxa"/>
            <w:left w:w="108" w:type="dxa"/>
            <w:bottom w:w="0" w:type="dxa"/>
            <w:right w:w="108" w:type="dxa"/>
          </w:tblCellMar>
        </w:tblPrEx>
        <w:trPr>
          <w:trHeight w:val="737" w:hRule="exact"/>
          <w:jc w:val="center"/>
        </w:trPr>
        <w:tc>
          <w:tcPr>
            <w:tcW w:w="523" w:type="pct"/>
            <w:vMerge w:val="continue"/>
            <w:tcBorders>
              <w:left w:val="single" w:color="auto" w:sz="4" w:space="0"/>
              <w:right w:val="single" w:color="auto" w:sz="4" w:space="0"/>
            </w:tcBorders>
            <w:noWrap w:val="0"/>
            <w:vAlign w:val="center"/>
          </w:tcPr>
          <w:p w14:paraId="0AE7B5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42858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000000" w:sz="4" w:space="0"/>
              <w:left w:val="single" w:color="auto" w:sz="4" w:space="0"/>
              <w:right w:val="single" w:color="auto" w:sz="4" w:space="0"/>
            </w:tcBorders>
            <w:noWrap w:val="0"/>
            <w:vAlign w:val="center"/>
          </w:tcPr>
          <w:p w14:paraId="6A84D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075" w:type="pct"/>
            <w:gridSpan w:val="2"/>
            <w:tcBorders>
              <w:top w:val="single" w:color="000000" w:sz="4" w:space="0"/>
              <w:left w:val="nil"/>
              <w:bottom w:val="single" w:color="auto" w:sz="4" w:space="0"/>
              <w:right w:val="single" w:color="auto" w:sz="4" w:space="0"/>
            </w:tcBorders>
            <w:noWrap w:val="0"/>
            <w:vAlign w:val="center"/>
          </w:tcPr>
          <w:p w14:paraId="4FCFD3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24" w:type="pct"/>
            <w:tcBorders>
              <w:top w:val="single" w:color="000000" w:sz="4" w:space="0"/>
              <w:left w:val="nil"/>
              <w:bottom w:val="single" w:color="auto" w:sz="4" w:space="0"/>
              <w:right w:val="single" w:color="auto" w:sz="4" w:space="0"/>
            </w:tcBorders>
            <w:noWrap w:val="0"/>
            <w:vAlign w:val="center"/>
          </w:tcPr>
          <w:p w14:paraId="6D2C7C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single" w:color="000000" w:sz="4" w:space="0"/>
              <w:left w:val="nil"/>
              <w:bottom w:val="single" w:color="auto" w:sz="4" w:space="0"/>
              <w:right w:val="single" w:color="auto" w:sz="4" w:space="0"/>
            </w:tcBorders>
            <w:noWrap w:val="0"/>
            <w:vAlign w:val="center"/>
          </w:tcPr>
          <w:p w14:paraId="6BD72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000000" w:sz="4" w:space="0"/>
              <w:left w:val="nil"/>
              <w:bottom w:val="single" w:color="auto" w:sz="4" w:space="0"/>
              <w:right w:val="single" w:color="auto" w:sz="4" w:space="0"/>
            </w:tcBorders>
            <w:noWrap w:val="0"/>
            <w:vAlign w:val="center"/>
          </w:tcPr>
          <w:p w14:paraId="6BD61B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000000" w:sz="4" w:space="0"/>
              <w:left w:val="nil"/>
              <w:bottom w:val="single" w:color="auto" w:sz="4" w:space="0"/>
              <w:right w:val="single" w:color="auto" w:sz="4" w:space="0"/>
            </w:tcBorders>
            <w:noWrap w:val="0"/>
            <w:vAlign w:val="center"/>
          </w:tcPr>
          <w:p w14:paraId="0AB53C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000000" w:sz="4" w:space="0"/>
              <w:left w:val="nil"/>
              <w:bottom w:val="single" w:color="auto" w:sz="4" w:space="0"/>
              <w:right w:val="single" w:color="auto" w:sz="4" w:space="0"/>
            </w:tcBorders>
            <w:noWrap w:val="0"/>
            <w:vAlign w:val="center"/>
          </w:tcPr>
          <w:p w14:paraId="64E80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4A78A418">
        <w:tblPrEx>
          <w:tblCellMar>
            <w:top w:w="0" w:type="dxa"/>
            <w:left w:w="108" w:type="dxa"/>
            <w:bottom w:w="0" w:type="dxa"/>
            <w:right w:w="108" w:type="dxa"/>
          </w:tblCellMar>
        </w:tblPrEx>
        <w:trPr>
          <w:trHeight w:val="737" w:hRule="exact"/>
          <w:jc w:val="center"/>
        </w:trPr>
        <w:tc>
          <w:tcPr>
            <w:tcW w:w="523" w:type="pct"/>
            <w:vMerge w:val="continue"/>
            <w:tcBorders>
              <w:left w:val="single" w:color="auto" w:sz="4" w:space="0"/>
              <w:right w:val="single" w:color="auto" w:sz="4" w:space="0"/>
            </w:tcBorders>
            <w:noWrap w:val="0"/>
            <w:vAlign w:val="center"/>
          </w:tcPr>
          <w:p w14:paraId="5F9F12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58B9EE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single" w:color="auto" w:sz="4" w:space="0"/>
              <w:bottom w:val="single" w:color="auto" w:sz="4" w:space="0"/>
              <w:right w:val="single" w:color="auto" w:sz="4" w:space="0"/>
            </w:tcBorders>
            <w:noWrap w:val="0"/>
            <w:vAlign w:val="center"/>
          </w:tcPr>
          <w:p w14:paraId="16C28C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000000" w:sz="4" w:space="0"/>
              <w:left w:val="nil"/>
              <w:bottom w:val="single" w:color="auto" w:sz="4" w:space="0"/>
              <w:right w:val="single" w:color="auto" w:sz="4" w:space="0"/>
            </w:tcBorders>
            <w:noWrap w:val="0"/>
            <w:vAlign w:val="center"/>
          </w:tcPr>
          <w:p w14:paraId="3F386D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24" w:type="pct"/>
            <w:tcBorders>
              <w:top w:val="single" w:color="000000" w:sz="4" w:space="0"/>
              <w:left w:val="nil"/>
              <w:bottom w:val="single" w:color="auto" w:sz="4" w:space="0"/>
              <w:right w:val="single" w:color="auto" w:sz="4" w:space="0"/>
            </w:tcBorders>
            <w:noWrap w:val="0"/>
            <w:vAlign w:val="center"/>
          </w:tcPr>
          <w:p w14:paraId="32A6D0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single" w:color="000000" w:sz="4" w:space="0"/>
              <w:left w:val="nil"/>
              <w:bottom w:val="single" w:color="auto" w:sz="4" w:space="0"/>
              <w:right w:val="single" w:color="auto" w:sz="4" w:space="0"/>
            </w:tcBorders>
            <w:noWrap w:val="0"/>
            <w:vAlign w:val="center"/>
          </w:tcPr>
          <w:p w14:paraId="77D0D1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single" w:color="000000" w:sz="4" w:space="0"/>
              <w:left w:val="nil"/>
              <w:bottom w:val="single" w:color="auto" w:sz="4" w:space="0"/>
              <w:right w:val="single" w:color="auto" w:sz="4" w:space="0"/>
            </w:tcBorders>
            <w:noWrap w:val="0"/>
            <w:vAlign w:val="center"/>
          </w:tcPr>
          <w:p w14:paraId="383C0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single" w:color="000000" w:sz="4" w:space="0"/>
              <w:left w:val="nil"/>
              <w:bottom w:val="single" w:color="auto" w:sz="4" w:space="0"/>
              <w:right w:val="single" w:color="auto" w:sz="4" w:space="0"/>
            </w:tcBorders>
            <w:noWrap w:val="0"/>
            <w:vAlign w:val="center"/>
          </w:tcPr>
          <w:p w14:paraId="334A33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single" w:color="000000" w:sz="4" w:space="0"/>
              <w:left w:val="nil"/>
              <w:bottom w:val="single" w:color="auto" w:sz="4" w:space="0"/>
              <w:right w:val="single" w:color="auto" w:sz="4" w:space="0"/>
            </w:tcBorders>
            <w:noWrap w:val="0"/>
            <w:vAlign w:val="center"/>
          </w:tcPr>
          <w:p w14:paraId="58445E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74D3065D">
        <w:tblPrEx>
          <w:tblCellMar>
            <w:top w:w="0" w:type="dxa"/>
            <w:left w:w="108" w:type="dxa"/>
            <w:bottom w:w="0" w:type="dxa"/>
            <w:right w:w="108" w:type="dxa"/>
          </w:tblCellMar>
        </w:tblPrEx>
        <w:trPr>
          <w:trHeight w:val="737" w:hRule="exact"/>
          <w:jc w:val="center"/>
        </w:trPr>
        <w:tc>
          <w:tcPr>
            <w:tcW w:w="523" w:type="pct"/>
            <w:vMerge w:val="continue"/>
            <w:tcBorders>
              <w:left w:val="single" w:color="auto" w:sz="4" w:space="0"/>
              <w:right w:val="single" w:color="auto" w:sz="4" w:space="0"/>
            </w:tcBorders>
            <w:noWrap w:val="0"/>
            <w:vAlign w:val="center"/>
          </w:tcPr>
          <w:p w14:paraId="4E9143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000000" w:sz="4" w:space="0"/>
              <w:left w:val="single" w:color="auto" w:sz="4" w:space="0"/>
              <w:bottom w:val="single" w:color="auto" w:sz="4" w:space="0"/>
              <w:right w:val="single" w:color="auto" w:sz="4" w:space="0"/>
            </w:tcBorders>
            <w:noWrap w:val="0"/>
            <w:vAlign w:val="center"/>
          </w:tcPr>
          <w:p w14:paraId="60D2D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restart"/>
            <w:tcBorders>
              <w:top w:val="single" w:color="000000" w:sz="4" w:space="0"/>
              <w:left w:val="single" w:color="auto" w:sz="4" w:space="0"/>
              <w:right w:val="single" w:color="auto" w:sz="4" w:space="0"/>
            </w:tcBorders>
            <w:noWrap w:val="0"/>
            <w:vAlign w:val="center"/>
          </w:tcPr>
          <w:p w14:paraId="41C26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270AA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single" w:color="000000" w:sz="4" w:space="0"/>
              <w:left w:val="nil"/>
              <w:bottom w:val="single" w:color="auto" w:sz="4" w:space="0"/>
              <w:right w:val="single" w:color="auto" w:sz="4" w:space="0"/>
            </w:tcBorders>
            <w:shd w:val="clear" w:color="auto" w:fill="auto"/>
            <w:noWrap w:val="0"/>
            <w:vAlign w:val="center"/>
          </w:tcPr>
          <w:p w14:paraId="2ABD7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保障县域经济可持续发展</w:t>
            </w:r>
          </w:p>
        </w:tc>
        <w:tc>
          <w:tcPr>
            <w:tcW w:w="624" w:type="pct"/>
            <w:tcBorders>
              <w:top w:val="single" w:color="000000" w:sz="4" w:space="0"/>
              <w:left w:val="nil"/>
              <w:bottom w:val="single" w:color="auto" w:sz="4" w:space="0"/>
              <w:right w:val="single" w:color="auto" w:sz="4" w:space="0"/>
            </w:tcBorders>
            <w:shd w:val="clear" w:color="auto" w:fill="auto"/>
            <w:noWrap w:val="0"/>
            <w:vAlign w:val="center"/>
          </w:tcPr>
          <w:p w14:paraId="42BD44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≥98%</w:t>
            </w:r>
          </w:p>
        </w:tc>
        <w:tc>
          <w:tcPr>
            <w:tcW w:w="673" w:type="pct"/>
            <w:tcBorders>
              <w:top w:val="single" w:color="000000" w:sz="4" w:space="0"/>
              <w:left w:val="nil"/>
              <w:bottom w:val="single" w:color="auto" w:sz="4" w:space="0"/>
              <w:right w:val="single" w:color="auto" w:sz="4" w:space="0"/>
            </w:tcBorders>
            <w:shd w:val="clear" w:color="auto" w:fill="auto"/>
            <w:noWrap w:val="0"/>
            <w:vAlign w:val="center"/>
          </w:tcPr>
          <w:p w14:paraId="3CAA1D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≥98%</w:t>
            </w:r>
          </w:p>
        </w:tc>
        <w:tc>
          <w:tcPr>
            <w:tcW w:w="336" w:type="pct"/>
            <w:tcBorders>
              <w:top w:val="single" w:color="000000" w:sz="4" w:space="0"/>
              <w:left w:val="nil"/>
              <w:bottom w:val="single" w:color="auto" w:sz="4" w:space="0"/>
              <w:right w:val="single" w:color="auto" w:sz="4" w:space="0"/>
            </w:tcBorders>
            <w:shd w:val="clear" w:color="auto" w:fill="auto"/>
            <w:noWrap w:val="0"/>
            <w:vAlign w:val="center"/>
          </w:tcPr>
          <w:p w14:paraId="097208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445" w:type="pct"/>
            <w:tcBorders>
              <w:top w:val="single" w:color="000000" w:sz="4" w:space="0"/>
              <w:left w:val="nil"/>
              <w:bottom w:val="single" w:color="auto" w:sz="4" w:space="0"/>
              <w:right w:val="single" w:color="auto" w:sz="4" w:space="0"/>
            </w:tcBorders>
            <w:shd w:val="clear" w:color="auto" w:fill="auto"/>
            <w:noWrap w:val="0"/>
            <w:vAlign w:val="center"/>
          </w:tcPr>
          <w:p w14:paraId="62B09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13</w:t>
            </w:r>
          </w:p>
        </w:tc>
        <w:tc>
          <w:tcPr>
            <w:tcW w:w="592" w:type="pct"/>
            <w:tcBorders>
              <w:top w:val="single" w:color="000000" w:sz="4" w:space="0"/>
              <w:left w:val="nil"/>
              <w:bottom w:val="single" w:color="auto" w:sz="4" w:space="0"/>
              <w:right w:val="single" w:color="auto" w:sz="4" w:space="0"/>
            </w:tcBorders>
            <w:noWrap w:val="0"/>
            <w:vAlign w:val="center"/>
          </w:tcPr>
          <w:p w14:paraId="023288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36BE8732">
        <w:tblPrEx>
          <w:tblCellMar>
            <w:top w:w="0" w:type="dxa"/>
            <w:left w:w="108" w:type="dxa"/>
            <w:bottom w:w="0" w:type="dxa"/>
            <w:right w:w="108" w:type="dxa"/>
          </w:tblCellMar>
        </w:tblPrEx>
        <w:trPr>
          <w:trHeight w:val="795" w:hRule="exact"/>
          <w:jc w:val="center"/>
        </w:trPr>
        <w:tc>
          <w:tcPr>
            <w:tcW w:w="523" w:type="pct"/>
            <w:vMerge w:val="continue"/>
            <w:tcBorders>
              <w:left w:val="single" w:color="auto" w:sz="4" w:space="0"/>
              <w:right w:val="single" w:color="auto" w:sz="4" w:space="0"/>
            </w:tcBorders>
            <w:noWrap w:val="0"/>
            <w:vAlign w:val="center"/>
          </w:tcPr>
          <w:p w14:paraId="3E2E6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top w:val="single" w:color="auto" w:sz="4" w:space="0"/>
              <w:left w:val="single" w:color="auto" w:sz="4" w:space="0"/>
              <w:bottom w:val="single" w:color="auto" w:sz="4" w:space="0"/>
              <w:right w:val="single" w:color="auto" w:sz="4" w:space="0"/>
            </w:tcBorders>
            <w:noWrap w:val="0"/>
            <w:vAlign w:val="center"/>
          </w:tcPr>
          <w:p w14:paraId="2E62A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single" w:color="auto" w:sz="4" w:space="0"/>
              <w:right w:val="single" w:color="auto" w:sz="4" w:space="0"/>
            </w:tcBorders>
            <w:noWrap w:val="0"/>
            <w:vAlign w:val="center"/>
          </w:tcPr>
          <w:p w14:paraId="44245C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1075" w:type="pct"/>
            <w:gridSpan w:val="2"/>
            <w:tcBorders>
              <w:top w:val="nil"/>
              <w:left w:val="nil"/>
              <w:bottom w:val="single" w:color="auto" w:sz="4" w:space="0"/>
              <w:right w:val="single" w:color="auto" w:sz="4" w:space="0"/>
            </w:tcBorders>
            <w:noWrap w:val="0"/>
            <w:vAlign w:val="center"/>
          </w:tcPr>
          <w:p w14:paraId="553E5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24" w:type="pct"/>
            <w:tcBorders>
              <w:top w:val="nil"/>
              <w:left w:val="nil"/>
              <w:bottom w:val="single" w:color="auto" w:sz="4" w:space="0"/>
              <w:right w:val="single" w:color="auto" w:sz="4" w:space="0"/>
            </w:tcBorders>
            <w:noWrap w:val="0"/>
            <w:vAlign w:val="center"/>
          </w:tcPr>
          <w:p w14:paraId="1438FB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673" w:type="pct"/>
            <w:tcBorders>
              <w:top w:val="nil"/>
              <w:left w:val="nil"/>
              <w:bottom w:val="single" w:color="auto" w:sz="4" w:space="0"/>
              <w:right w:val="single" w:color="auto" w:sz="4" w:space="0"/>
            </w:tcBorders>
            <w:noWrap w:val="0"/>
            <w:vAlign w:val="center"/>
          </w:tcPr>
          <w:p w14:paraId="5F98A9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36" w:type="pct"/>
            <w:tcBorders>
              <w:top w:val="nil"/>
              <w:left w:val="nil"/>
              <w:bottom w:val="single" w:color="auto" w:sz="4" w:space="0"/>
              <w:right w:val="single" w:color="auto" w:sz="4" w:space="0"/>
            </w:tcBorders>
            <w:noWrap w:val="0"/>
            <w:vAlign w:val="center"/>
          </w:tcPr>
          <w:p w14:paraId="4946F6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445" w:type="pct"/>
            <w:tcBorders>
              <w:top w:val="nil"/>
              <w:left w:val="nil"/>
              <w:bottom w:val="single" w:color="auto" w:sz="4" w:space="0"/>
              <w:right w:val="single" w:color="auto" w:sz="4" w:space="0"/>
            </w:tcBorders>
            <w:noWrap w:val="0"/>
            <w:vAlign w:val="center"/>
          </w:tcPr>
          <w:p w14:paraId="77DD2A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592" w:type="pct"/>
            <w:tcBorders>
              <w:top w:val="nil"/>
              <w:left w:val="nil"/>
              <w:bottom w:val="single" w:color="auto" w:sz="4" w:space="0"/>
              <w:right w:val="single" w:color="auto" w:sz="4" w:space="0"/>
            </w:tcBorders>
            <w:noWrap w:val="0"/>
            <w:vAlign w:val="center"/>
          </w:tcPr>
          <w:p w14:paraId="5C011B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11BA7C11">
        <w:tblPrEx>
          <w:tblCellMar>
            <w:top w:w="0" w:type="dxa"/>
            <w:left w:w="108" w:type="dxa"/>
            <w:bottom w:w="0" w:type="dxa"/>
            <w:right w:w="108" w:type="dxa"/>
          </w:tblCellMar>
        </w:tblPrEx>
        <w:trPr>
          <w:trHeight w:val="737" w:hRule="exact"/>
          <w:jc w:val="center"/>
        </w:trPr>
        <w:tc>
          <w:tcPr>
            <w:tcW w:w="523" w:type="pct"/>
            <w:vMerge w:val="continue"/>
            <w:tcBorders>
              <w:left w:val="single" w:color="auto" w:sz="4" w:space="0"/>
              <w:right w:val="single" w:color="auto" w:sz="4" w:space="0"/>
            </w:tcBorders>
            <w:noWrap w:val="0"/>
            <w:vAlign w:val="center"/>
          </w:tcPr>
          <w:p w14:paraId="2CE8FB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restart"/>
            <w:tcBorders>
              <w:top w:val="single" w:color="auto" w:sz="4" w:space="0"/>
              <w:left w:val="single" w:color="auto" w:sz="4" w:space="0"/>
              <w:right w:val="single" w:color="auto" w:sz="4" w:space="0"/>
            </w:tcBorders>
            <w:noWrap w:val="0"/>
            <w:vAlign w:val="center"/>
          </w:tcPr>
          <w:p w14:paraId="1836D1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346" w:type="pct"/>
            <w:vMerge w:val="restart"/>
            <w:tcBorders>
              <w:top w:val="single" w:color="000000" w:sz="6" w:space="0"/>
              <w:left w:val="single" w:color="auto" w:sz="4" w:space="0"/>
              <w:right w:val="single" w:color="auto" w:sz="4" w:space="0"/>
            </w:tcBorders>
            <w:noWrap w:val="0"/>
            <w:vAlign w:val="center"/>
          </w:tcPr>
          <w:p w14:paraId="679CEA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49EC1F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受益对象满意度</w:t>
            </w:r>
          </w:p>
        </w:tc>
        <w:tc>
          <w:tcPr>
            <w:tcW w:w="624" w:type="pct"/>
            <w:tcBorders>
              <w:top w:val="single" w:color="auto" w:sz="4" w:space="0"/>
              <w:left w:val="nil"/>
              <w:bottom w:val="single" w:color="auto" w:sz="4" w:space="0"/>
              <w:right w:val="single" w:color="auto" w:sz="4" w:space="0"/>
            </w:tcBorders>
            <w:shd w:val="clear" w:color="auto" w:fill="auto"/>
            <w:noWrap w:val="0"/>
            <w:vAlign w:val="center"/>
          </w:tcPr>
          <w:p w14:paraId="012A6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≥98%</w:t>
            </w:r>
          </w:p>
        </w:tc>
        <w:tc>
          <w:tcPr>
            <w:tcW w:w="673" w:type="pct"/>
            <w:tcBorders>
              <w:top w:val="single" w:color="auto" w:sz="4" w:space="0"/>
              <w:left w:val="nil"/>
              <w:bottom w:val="single" w:color="auto" w:sz="4" w:space="0"/>
              <w:right w:val="single" w:color="auto" w:sz="4" w:space="0"/>
            </w:tcBorders>
            <w:shd w:val="clear" w:color="auto" w:fill="auto"/>
            <w:noWrap w:val="0"/>
            <w:vAlign w:val="center"/>
          </w:tcPr>
          <w:p w14:paraId="7A021F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≥98%</w:t>
            </w:r>
          </w:p>
        </w:tc>
        <w:tc>
          <w:tcPr>
            <w:tcW w:w="336" w:type="pct"/>
            <w:tcBorders>
              <w:top w:val="single" w:color="auto" w:sz="4" w:space="0"/>
              <w:left w:val="nil"/>
              <w:bottom w:val="single" w:color="auto" w:sz="4" w:space="0"/>
              <w:right w:val="single" w:color="auto" w:sz="4" w:space="0"/>
            </w:tcBorders>
            <w:shd w:val="clear" w:color="auto" w:fill="auto"/>
            <w:noWrap w:val="0"/>
            <w:vAlign w:val="center"/>
          </w:tcPr>
          <w:p w14:paraId="4533FF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445" w:type="pct"/>
            <w:tcBorders>
              <w:top w:val="single" w:color="auto" w:sz="4" w:space="0"/>
              <w:left w:val="nil"/>
              <w:bottom w:val="single" w:color="auto" w:sz="4" w:space="0"/>
              <w:right w:val="single" w:color="auto" w:sz="4" w:space="0"/>
            </w:tcBorders>
            <w:shd w:val="clear" w:color="auto" w:fill="auto"/>
            <w:noWrap w:val="0"/>
            <w:vAlign w:val="center"/>
          </w:tcPr>
          <w:p w14:paraId="2ED5A8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592" w:type="pct"/>
            <w:tcBorders>
              <w:top w:val="single" w:color="auto" w:sz="4" w:space="0"/>
              <w:left w:val="nil"/>
              <w:bottom w:val="single" w:color="auto" w:sz="4" w:space="0"/>
              <w:right w:val="single" w:color="auto" w:sz="4" w:space="0"/>
            </w:tcBorders>
            <w:noWrap w:val="0"/>
            <w:vAlign w:val="center"/>
          </w:tcPr>
          <w:p w14:paraId="54EE6B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77382B9F">
        <w:tblPrEx>
          <w:tblCellMar>
            <w:top w:w="0" w:type="dxa"/>
            <w:left w:w="108" w:type="dxa"/>
            <w:bottom w:w="0" w:type="dxa"/>
            <w:right w:w="108" w:type="dxa"/>
          </w:tblCellMar>
        </w:tblPrEx>
        <w:trPr>
          <w:trHeight w:val="939" w:hRule="exact"/>
          <w:jc w:val="center"/>
        </w:trPr>
        <w:tc>
          <w:tcPr>
            <w:tcW w:w="523" w:type="pct"/>
            <w:vMerge w:val="continue"/>
            <w:tcBorders>
              <w:left w:val="single" w:color="auto" w:sz="4" w:space="0"/>
              <w:right w:val="single" w:color="auto" w:sz="4" w:space="0"/>
            </w:tcBorders>
            <w:noWrap w:val="0"/>
            <w:vAlign w:val="center"/>
          </w:tcPr>
          <w:p w14:paraId="481BAE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81" w:type="pct"/>
            <w:vMerge w:val="continue"/>
            <w:tcBorders>
              <w:left w:val="single" w:color="auto" w:sz="4" w:space="0"/>
              <w:bottom w:val="single" w:color="auto" w:sz="4" w:space="0"/>
              <w:right w:val="single" w:color="auto" w:sz="4" w:space="0"/>
            </w:tcBorders>
            <w:noWrap w:val="0"/>
            <w:vAlign w:val="center"/>
          </w:tcPr>
          <w:p w14:paraId="1D47A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c>
          <w:tcPr>
            <w:tcW w:w="346" w:type="pct"/>
            <w:vMerge w:val="continue"/>
            <w:tcBorders>
              <w:left w:val="single" w:color="auto" w:sz="4" w:space="0"/>
              <w:right w:val="single" w:color="auto" w:sz="4" w:space="0"/>
            </w:tcBorders>
            <w:noWrap w:val="0"/>
            <w:vAlign w:val="center"/>
          </w:tcPr>
          <w:p w14:paraId="5A184A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0"/>
                <w:szCs w:val="20"/>
              </w:rPr>
            </w:pPr>
          </w:p>
        </w:tc>
        <w:tc>
          <w:tcPr>
            <w:tcW w:w="1075" w:type="pct"/>
            <w:gridSpan w:val="2"/>
            <w:tcBorders>
              <w:top w:val="single" w:color="auto" w:sz="4" w:space="0"/>
              <w:left w:val="nil"/>
              <w:bottom w:val="single" w:color="auto" w:sz="4" w:space="0"/>
              <w:right w:val="single" w:color="auto" w:sz="4" w:space="0"/>
            </w:tcBorders>
            <w:shd w:val="clear" w:color="auto" w:fill="auto"/>
            <w:noWrap w:val="0"/>
            <w:vAlign w:val="center"/>
          </w:tcPr>
          <w:p w14:paraId="2D90C7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社会公众满意度</w:t>
            </w:r>
          </w:p>
        </w:tc>
        <w:tc>
          <w:tcPr>
            <w:tcW w:w="624" w:type="pct"/>
            <w:tcBorders>
              <w:top w:val="single" w:color="auto" w:sz="4" w:space="0"/>
              <w:left w:val="nil"/>
              <w:bottom w:val="single" w:color="auto" w:sz="4" w:space="0"/>
              <w:right w:val="single" w:color="auto" w:sz="4" w:space="0"/>
            </w:tcBorders>
            <w:shd w:val="clear" w:color="auto" w:fill="auto"/>
            <w:noWrap w:val="0"/>
            <w:vAlign w:val="center"/>
          </w:tcPr>
          <w:p w14:paraId="3BAFC7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0"/>
                <w:szCs w:val="20"/>
                <w:lang w:val="en-US" w:eastAsia="zh-CN" w:bidi="ar-SA"/>
              </w:rPr>
            </w:pPr>
            <w:r>
              <w:rPr>
                <w:rFonts w:hint="eastAsia" w:ascii="仿宋" w:hAnsi="仿宋" w:eastAsia="仿宋" w:cs="仿宋"/>
                <w:sz w:val="20"/>
                <w:szCs w:val="20"/>
              </w:rPr>
              <w:t>≥98%</w:t>
            </w:r>
          </w:p>
        </w:tc>
        <w:tc>
          <w:tcPr>
            <w:tcW w:w="673" w:type="pct"/>
            <w:tcBorders>
              <w:top w:val="single" w:color="auto" w:sz="4" w:space="0"/>
              <w:left w:val="nil"/>
              <w:bottom w:val="single" w:color="auto" w:sz="4" w:space="0"/>
              <w:right w:val="single" w:color="auto" w:sz="4" w:space="0"/>
            </w:tcBorders>
            <w:shd w:val="clear" w:color="auto" w:fill="auto"/>
            <w:noWrap w:val="0"/>
            <w:vAlign w:val="center"/>
          </w:tcPr>
          <w:p w14:paraId="5113E4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≥98%</w:t>
            </w:r>
          </w:p>
        </w:tc>
        <w:tc>
          <w:tcPr>
            <w:tcW w:w="336" w:type="pct"/>
            <w:tcBorders>
              <w:top w:val="single" w:color="auto" w:sz="4" w:space="0"/>
              <w:left w:val="nil"/>
              <w:bottom w:val="single" w:color="auto" w:sz="4" w:space="0"/>
              <w:right w:val="single" w:color="auto" w:sz="4" w:space="0"/>
            </w:tcBorders>
            <w:shd w:val="clear" w:color="auto" w:fill="auto"/>
            <w:noWrap w:val="0"/>
            <w:vAlign w:val="center"/>
          </w:tcPr>
          <w:p w14:paraId="63EE5C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445" w:type="pct"/>
            <w:tcBorders>
              <w:top w:val="single" w:color="auto" w:sz="4" w:space="0"/>
              <w:left w:val="nil"/>
              <w:bottom w:val="single" w:color="auto" w:sz="4" w:space="0"/>
              <w:right w:val="single" w:color="auto" w:sz="4" w:space="0"/>
            </w:tcBorders>
            <w:shd w:val="clear" w:color="auto" w:fill="auto"/>
            <w:noWrap w:val="0"/>
            <w:vAlign w:val="center"/>
          </w:tcPr>
          <w:p w14:paraId="773927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592" w:type="pct"/>
            <w:tcBorders>
              <w:top w:val="single" w:color="auto" w:sz="4" w:space="0"/>
              <w:left w:val="nil"/>
              <w:bottom w:val="single" w:color="auto" w:sz="4" w:space="0"/>
              <w:right w:val="single" w:color="auto" w:sz="4" w:space="0"/>
            </w:tcBorders>
            <w:noWrap w:val="0"/>
            <w:vAlign w:val="center"/>
          </w:tcPr>
          <w:p w14:paraId="02BE00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r w14:paraId="2D60BED1">
        <w:tblPrEx>
          <w:tblCellMar>
            <w:top w:w="0" w:type="dxa"/>
            <w:left w:w="108" w:type="dxa"/>
            <w:bottom w:w="0" w:type="dxa"/>
            <w:right w:w="108" w:type="dxa"/>
          </w:tblCellMar>
        </w:tblPrEx>
        <w:trPr>
          <w:trHeight w:val="737" w:hRule="exact"/>
          <w:jc w:val="center"/>
        </w:trPr>
        <w:tc>
          <w:tcPr>
            <w:tcW w:w="3624" w:type="pct"/>
            <w:gridSpan w:val="7"/>
            <w:tcBorders>
              <w:top w:val="single" w:color="auto" w:sz="4" w:space="0"/>
              <w:left w:val="single" w:color="auto" w:sz="4" w:space="0"/>
              <w:bottom w:val="single" w:color="auto" w:sz="4" w:space="0"/>
              <w:right w:val="single" w:color="000000" w:sz="4" w:space="0"/>
            </w:tcBorders>
            <w:noWrap w:val="0"/>
            <w:vAlign w:val="center"/>
          </w:tcPr>
          <w:p w14:paraId="2F5693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336" w:type="pct"/>
            <w:tcBorders>
              <w:top w:val="nil"/>
              <w:left w:val="nil"/>
              <w:bottom w:val="single" w:color="auto" w:sz="4" w:space="0"/>
              <w:right w:val="single" w:color="auto" w:sz="4" w:space="0"/>
            </w:tcBorders>
            <w:noWrap w:val="0"/>
            <w:vAlign w:val="center"/>
          </w:tcPr>
          <w:p w14:paraId="24B0E5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445" w:type="pct"/>
            <w:tcBorders>
              <w:top w:val="nil"/>
              <w:left w:val="nil"/>
              <w:bottom w:val="single" w:color="auto" w:sz="4" w:space="0"/>
              <w:right w:val="single" w:color="auto" w:sz="4" w:space="0"/>
            </w:tcBorders>
            <w:noWrap w:val="0"/>
            <w:vAlign w:val="center"/>
          </w:tcPr>
          <w:p w14:paraId="5DDB06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93</w:t>
            </w:r>
          </w:p>
        </w:tc>
        <w:tc>
          <w:tcPr>
            <w:tcW w:w="592" w:type="pct"/>
            <w:tcBorders>
              <w:top w:val="nil"/>
              <w:left w:val="nil"/>
              <w:bottom w:val="single" w:color="auto" w:sz="4" w:space="0"/>
              <w:right w:val="single" w:color="auto" w:sz="4" w:space="0"/>
            </w:tcBorders>
            <w:noWrap w:val="0"/>
            <w:vAlign w:val="center"/>
          </w:tcPr>
          <w:p w14:paraId="787EFB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1"/>
                <w:szCs w:val="21"/>
              </w:rPr>
            </w:pPr>
          </w:p>
        </w:tc>
      </w:tr>
    </w:tbl>
    <w:p w14:paraId="0240AF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960" w:right="0" w:hanging="960" w:hangingChars="400"/>
        <w:jc w:val="both"/>
        <w:textAlignment w:val="auto"/>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DA37C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958" w:leftChars="342" w:right="0" w:hanging="240" w:hangingChars="100"/>
        <w:jc w:val="both"/>
        <w:textAlignment w:val="auto"/>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6DD7F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720" w:firstLineChars="300"/>
        <w:jc w:val="both"/>
        <w:textAlignment w:val="auto"/>
        <w:rPr>
          <w:rFonts w:hint="default" w:ascii="仿宋" w:hAnsi="仿宋" w:eastAsia="仿宋"/>
          <w:sz w:val="32"/>
          <w:szCs w:val="32"/>
          <w:lang w:val="en-US" w:eastAsia="zh-CN"/>
        </w:rPr>
      </w:pP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sectPr>
      <w:footerReference r:id="rId3" w:type="default"/>
      <w:pgSz w:w="11906" w:h="16838"/>
      <w:pgMar w:top="2098" w:right="1247"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BB5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5CF7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75CF7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94EDC"/>
    <w:multiLevelType w:val="singleLevel"/>
    <w:tmpl w:val="FF594E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16048C6"/>
    <w:rsid w:val="032C4E8C"/>
    <w:rsid w:val="03527995"/>
    <w:rsid w:val="06231E4A"/>
    <w:rsid w:val="064A73D7"/>
    <w:rsid w:val="07740BAF"/>
    <w:rsid w:val="07FE3A27"/>
    <w:rsid w:val="086504F8"/>
    <w:rsid w:val="08CE1392"/>
    <w:rsid w:val="08D15F14"/>
    <w:rsid w:val="08FC70AE"/>
    <w:rsid w:val="08FD4BD5"/>
    <w:rsid w:val="09075A53"/>
    <w:rsid w:val="09341002"/>
    <w:rsid w:val="09CE0EBD"/>
    <w:rsid w:val="0A30013D"/>
    <w:rsid w:val="0A6970FA"/>
    <w:rsid w:val="0B0577DC"/>
    <w:rsid w:val="0BEB340A"/>
    <w:rsid w:val="0C306747"/>
    <w:rsid w:val="0C376559"/>
    <w:rsid w:val="0C4F1BEB"/>
    <w:rsid w:val="0C62191E"/>
    <w:rsid w:val="0E544E57"/>
    <w:rsid w:val="0E911238"/>
    <w:rsid w:val="0EC8358F"/>
    <w:rsid w:val="0F5D461F"/>
    <w:rsid w:val="0FC63F72"/>
    <w:rsid w:val="0FF46D31"/>
    <w:rsid w:val="10B771C0"/>
    <w:rsid w:val="10D858C4"/>
    <w:rsid w:val="10EF574B"/>
    <w:rsid w:val="128D6FC9"/>
    <w:rsid w:val="12900868"/>
    <w:rsid w:val="12AA1814"/>
    <w:rsid w:val="12B409FA"/>
    <w:rsid w:val="132A0CBC"/>
    <w:rsid w:val="13D75A7D"/>
    <w:rsid w:val="14C60571"/>
    <w:rsid w:val="14F055ED"/>
    <w:rsid w:val="157D50D3"/>
    <w:rsid w:val="1695469E"/>
    <w:rsid w:val="16C8035E"/>
    <w:rsid w:val="16DC3E4F"/>
    <w:rsid w:val="16EE1BB5"/>
    <w:rsid w:val="178A3AD7"/>
    <w:rsid w:val="17EB6307"/>
    <w:rsid w:val="1AA728D5"/>
    <w:rsid w:val="1B4B17D0"/>
    <w:rsid w:val="1B6A60FA"/>
    <w:rsid w:val="1C1E6EE4"/>
    <w:rsid w:val="1C646FED"/>
    <w:rsid w:val="1C6E5776"/>
    <w:rsid w:val="1D303373"/>
    <w:rsid w:val="1D3F35B6"/>
    <w:rsid w:val="1ECA625E"/>
    <w:rsid w:val="1FE67D19"/>
    <w:rsid w:val="208F1E39"/>
    <w:rsid w:val="214E3DC8"/>
    <w:rsid w:val="23152DEF"/>
    <w:rsid w:val="23713D9D"/>
    <w:rsid w:val="23B02B18"/>
    <w:rsid w:val="23C969CE"/>
    <w:rsid w:val="242157C3"/>
    <w:rsid w:val="24C90335"/>
    <w:rsid w:val="25381017"/>
    <w:rsid w:val="25F82554"/>
    <w:rsid w:val="266259AB"/>
    <w:rsid w:val="268070C2"/>
    <w:rsid w:val="26A5092E"/>
    <w:rsid w:val="26F61189"/>
    <w:rsid w:val="27E17743"/>
    <w:rsid w:val="281025A5"/>
    <w:rsid w:val="285E30F8"/>
    <w:rsid w:val="2A585CB7"/>
    <w:rsid w:val="2A6F4508"/>
    <w:rsid w:val="2AB70C30"/>
    <w:rsid w:val="2B8C3E6A"/>
    <w:rsid w:val="2CA86A82"/>
    <w:rsid w:val="2D391DD0"/>
    <w:rsid w:val="2DD445FD"/>
    <w:rsid w:val="2E6B420B"/>
    <w:rsid w:val="2EDD3879"/>
    <w:rsid w:val="3041038A"/>
    <w:rsid w:val="31D40319"/>
    <w:rsid w:val="324803BF"/>
    <w:rsid w:val="33366527"/>
    <w:rsid w:val="33386686"/>
    <w:rsid w:val="335D6459"/>
    <w:rsid w:val="33AE06F6"/>
    <w:rsid w:val="35011425"/>
    <w:rsid w:val="35135165"/>
    <w:rsid w:val="356F7154"/>
    <w:rsid w:val="35C93742"/>
    <w:rsid w:val="361B561A"/>
    <w:rsid w:val="36201D7F"/>
    <w:rsid w:val="36BF3346"/>
    <w:rsid w:val="36EA6C39"/>
    <w:rsid w:val="378D6FA0"/>
    <w:rsid w:val="38BE6EE7"/>
    <w:rsid w:val="38FD3553"/>
    <w:rsid w:val="394B7113"/>
    <w:rsid w:val="39B0341A"/>
    <w:rsid w:val="3C621664"/>
    <w:rsid w:val="3C8F7316"/>
    <w:rsid w:val="3CE27966"/>
    <w:rsid w:val="3D075683"/>
    <w:rsid w:val="3D430A4C"/>
    <w:rsid w:val="3E43485C"/>
    <w:rsid w:val="3E5C593D"/>
    <w:rsid w:val="3EFB6EE5"/>
    <w:rsid w:val="3FC419CD"/>
    <w:rsid w:val="401C1E58"/>
    <w:rsid w:val="40534AFF"/>
    <w:rsid w:val="409A4596"/>
    <w:rsid w:val="40A67324"/>
    <w:rsid w:val="40BB7ACD"/>
    <w:rsid w:val="416A2100"/>
    <w:rsid w:val="41A03D74"/>
    <w:rsid w:val="423D5A66"/>
    <w:rsid w:val="42D96C5F"/>
    <w:rsid w:val="43412912"/>
    <w:rsid w:val="439E653F"/>
    <w:rsid w:val="43F13CDE"/>
    <w:rsid w:val="45857508"/>
    <w:rsid w:val="45A03FEE"/>
    <w:rsid w:val="46080139"/>
    <w:rsid w:val="463201A3"/>
    <w:rsid w:val="470628CB"/>
    <w:rsid w:val="47564A3F"/>
    <w:rsid w:val="477C0DDF"/>
    <w:rsid w:val="48410841"/>
    <w:rsid w:val="49555444"/>
    <w:rsid w:val="49FB0082"/>
    <w:rsid w:val="4A9F106C"/>
    <w:rsid w:val="4AEA6160"/>
    <w:rsid w:val="4AEC7B3E"/>
    <w:rsid w:val="4B896C5F"/>
    <w:rsid w:val="4BF775DF"/>
    <w:rsid w:val="4C3B2111"/>
    <w:rsid w:val="4CA50490"/>
    <w:rsid w:val="4D371B2D"/>
    <w:rsid w:val="4D4F0235"/>
    <w:rsid w:val="4E1E3F1E"/>
    <w:rsid w:val="4EE72FE2"/>
    <w:rsid w:val="504F52E3"/>
    <w:rsid w:val="50E13F2A"/>
    <w:rsid w:val="518912A0"/>
    <w:rsid w:val="51EA20C4"/>
    <w:rsid w:val="52651953"/>
    <w:rsid w:val="53C2277C"/>
    <w:rsid w:val="53D55AFF"/>
    <w:rsid w:val="53FC1186"/>
    <w:rsid w:val="560A5808"/>
    <w:rsid w:val="56EC4DD7"/>
    <w:rsid w:val="571E76EE"/>
    <w:rsid w:val="57E13EFC"/>
    <w:rsid w:val="587F41BA"/>
    <w:rsid w:val="594A6647"/>
    <w:rsid w:val="5A2A7623"/>
    <w:rsid w:val="5CF74D74"/>
    <w:rsid w:val="5D1E0517"/>
    <w:rsid w:val="5DB4040F"/>
    <w:rsid w:val="5F9E389E"/>
    <w:rsid w:val="608B60E3"/>
    <w:rsid w:val="60F4333C"/>
    <w:rsid w:val="6111082B"/>
    <w:rsid w:val="62332162"/>
    <w:rsid w:val="62BD432E"/>
    <w:rsid w:val="62BD7466"/>
    <w:rsid w:val="62FF66F4"/>
    <w:rsid w:val="631D4DCC"/>
    <w:rsid w:val="632A3916"/>
    <w:rsid w:val="632C0E07"/>
    <w:rsid w:val="63473BF7"/>
    <w:rsid w:val="635655AC"/>
    <w:rsid w:val="63585E05"/>
    <w:rsid w:val="635951B9"/>
    <w:rsid w:val="648C3442"/>
    <w:rsid w:val="654A79CF"/>
    <w:rsid w:val="657D7DA4"/>
    <w:rsid w:val="66833198"/>
    <w:rsid w:val="66E520A5"/>
    <w:rsid w:val="677B7170"/>
    <w:rsid w:val="68752FB5"/>
    <w:rsid w:val="68B65AA7"/>
    <w:rsid w:val="68F10FDD"/>
    <w:rsid w:val="6ABB2000"/>
    <w:rsid w:val="6ACA583A"/>
    <w:rsid w:val="6BE648F5"/>
    <w:rsid w:val="6C133210"/>
    <w:rsid w:val="6C152AE5"/>
    <w:rsid w:val="6D62736B"/>
    <w:rsid w:val="6D9565B3"/>
    <w:rsid w:val="6DA560EA"/>
    <w:rsid w:val="6DBE0F5A"/>
    <w:rsid w:val="6DFB2481"/>
    <w:rsid w:val="6EA6036C"/>
    <w:rsid w:val="6EA97E5C"/>
    <w:rsid w:val="6F8F2BAE"/>
    <w:rsid w:val="701E2184"/>
    <w:rsid w:val="70A15FAB"/>
    <w:rsid w:val="71493231"/>
    <w:rsid w:val="721042A2"/>
    <w:rsid w:val="722872EA"/>
    <w:rsid w:val="725400DF"/>
    <w:rsid w:val="73AB01D2"/>
    <w:rsid w:val="73E746C1"/>
    <w:rsid w:val="742F2BB2"/>
    <w:rsid w:val="76203748"/>
    <w:rsid w:val="7645046A"/>
    <w:rsid w:val="76DA79D5"/>
    <w:rsid w:val="778B4D3B"/>
    <w:rsid w:val="7794726C"/>
    <w:rsid w:val="77C704C0"/>
    <w:rsid w:val="783267CC"/>
    <w:rsid w:val="78850FF2"/>
    <w:rsid w:val="791660EE"/>
    <w:rsid w:val="799A0ACD"/>
    <w:rsid w:val="7A2125C0"/>
    <w:rsid w:val="7A9462C6"/>
    <w:rsid w:val="7AE31DA6"/>
    <w:rsid w:val="7C5238E1"/>
    <w:rsid w:val="7C80044E"/>
    <w:rsid w:val="7CC320E9"/>
    <w:rsid w:val="7D935F5F"/>
    <w:rsid w:val="7D9D5624"/>
    <w:rsid w:val="7E7933A7"/>
    <w:rsid w:val="7F141322"/>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qFormat/>
    <w:uiPriority w:val="0"/>
    <w:pPr>
      <w:adjustRightInd w:val="0"/>
      <w:snapToGrid w:val="0"/>
      <w:spacing w:line="660" w:lineRule="exact"/>
      <w:ind w:firstLine="645"/>
    </w:pPr>
    <w:rPr>
      <w:rFonts w:ascii="??_GB2312" w:eastAsia="Times New Roman"/>
      <w:kern w:val="0"/>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hAnsi="Calibri"/>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autoRedefine/>
    <w:qFormat/>
    <w:uiPriority w:val="99"/>
    <w:pPr>
      <w:ind w:firstLine="420" w:firstLineChars="200"/>
    </w:pPr>
    <w:rPr>
      <w:rFonts w:ascii="Calibri" w:hAnsi="Calibri" w:eastAsia="宋体" w:cs="Times New Roman"/>
    </w:rPr>
  </w:style>
  <w:style w:type="table" w:customStyle="1" w:styleId="12">
    <w:name w:val="Table Normal"/>
    <w:autoRedefine/>
    <w:unhideWhenUsed/>
    <w:qFormat/>
    <w:uiPriority w:val="0"/>
    <w:tblPr>
      <w:tblCellMar>
        <w:top w:w="0" w:type="dxa"/>
        <w:left w:w="0" w:type="dxa"/>
        <w:bottom w:w="0" w:type="dxa"/>
        <w:right w:w="0" w:type="dxa"/>
      </w:tblCellMar>
    </w:tblPr>
  </w:style>
  <w:style w:type="paragraph" w:customStyle="1" w:styleId="13">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5266</Words>
  <Characters>5680</Characters>
  <Lines>0</Lines>
  <Paragraphs>0</Paragraphs>
  <TotalTime>56</TotalTime>
  <ScaleCrop>false</ScaleCrop>
  <LinksUpToDate>false</LinksUpToDate>
  <CharactersWithSpaces>5748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云淡风轻</cp:lastModifiedBy>
  <cp:lastPrinted>2025-03-06T01:46:00Z</cp:lastPrinted>
  <dcterms:modified xsi:type="dcterms:W3CDTF">2025-03-14T09:09:48Z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7DE30DF729DC44E5AD1F474FB1A88333</vt:lpwstr>
  </property>
  <property fmtid="{D5CDD505-2E9C-101B-9397-08002B2CF9AE}" pid="4" name="KSOTemplateDocerSaveRecord">
    <vt:lpwstr>eyJoZGlkIjoiZGJiOTRkNmJhNjczMWEwMjk4YmM3NGFmYmM5ZmZkMTMiLCJ1c2VySWQiOiIzODE1NTU3NTcifQ==</vt:lpwstr>
  </property>
</Properties>
</file>